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78740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720" w:right="1620" w:hanging="3699"/>
        <w:spacing w:after="0" w:line="298"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2,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4"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-11430</wp:posOffset>
            </wp:positionV>
            <wp:extent cx="342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p>
      <w:pPr>
        <w:spacing w:after="0" w:line="18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1063"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200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7"/>
          <w:szCs w:val="17"/>
          <w:b w:val="1"/>
          <w:bCs w:val="1"/>
          <w:color w:val="auto"/>
        </w:rPr>
        <w:t>92127</w:t>
      </w:r>
    </w:p>
    <w:p>
      <w:pPr>
        <w:spacing w:after="0" w:line="4"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34"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December 4, 2024 was 237,866,468.</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December 4, 2024 was 37,790,781.</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December 4, 2024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1"/>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300" w:type="dxa"/>
            <w:vAlign w:val="bottom"/>
            <w:tcBorders>
              <w:top w:val="single" w:sz="8" w:color="0000FF"/>
            </w:tcBorders>
            <w:gridSpan w:val="4"/>
          </w:tcPr>
          <w:p>
            <w:pPr>
              <w:spacing w:after="0"/>
              <w:rPr>
                <w:sz w:val="17"/>
                <w:szCs w:val="17"/>
                <w:color w:val="auto"/>
              </w:rPr>
            </w:pPr>
          </w:p>
        </w:tc>
        <w:tc>
          <w:tcPr>
            <w:tcW w:w="6880" w:type="dxa"/>
            <w:vAlign w:val="bottom"/>
            <w:gridSpan w:val="10"/>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tcBorders>
              <w:bottom w:val="single" w:sz="8" w:color="0000FF"/>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6460" w:type="dxa"/>
            <w:vAlign w:val="bottom"/>
            <w:gridSpan w:val="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8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5520" w:type="dxa"/>
            <w:vAlign w:val="bottom"/>
            <w:gridSpan w:val="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80" w:type="dxa"/>
            <w:vAlign w:val="bottom"/>
            <w:tcBorders>
              <w:bottom w:val="single" w:sz="8" w:color="0000FF"/>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20" w:type="dxa"/>
            <w:vAlign w:val="bottom"/>
            <w:gridSpan w:val="6"/>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64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3"/>
          </w:tcPr>
          <w:p>
            <w:pPr>
              <w:spacing w:after="0" w:line="195"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00" w:type="dxa"/>
            <w:vAlign w:val="bottom"/>
            <w:gridSpan w:val="1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411"/>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1"/>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24"/>
                <w:szCs w:val="24"/>
                <w:color w:val="auto"/>
              </w:rPr>
            </w:pPr>
          </w:p>
        </w:tc>
        <w:tc>
          <w:tcPr>
            <w:tcW w:w="742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21"/>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3"/>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7"/>
          </w:tcPr>
          <w:p>
            <w:pPr>
              <w:spacing w:after="0"/>
              <w:rPr>
                <w:sz w:val="17"/>
                <w:szCs w:val="17"/>
                <w:color w:val="auto"/>
              </w:rPr>
            </w:pPr>
          </w:p>
        </w:tc>
        <w:tc>
          <w:tcPr>
            <w:tcW w:w="6980" w:type="dxa"/>
            <w:vAlign w:val="bottom"/>
            <w:gridSpan w:val="11"/>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20"/>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30</w:t>
            </w:r>
          </w:p>
        </w:tc>
      </w:tr>
      <w:tr>
        <w:trPr>
          <w:trHeight w:val="88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23"/>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8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78" w:lineRule="exact"/>
        <w:rPr>
          <w:sz w:val="20"/>
          <w:szCs w:val="20"/>
          <w:color w:val="auto"/>
        </w:rPr>
      </w:pPr>
    </w:p>
    <w:p>
      <w:pPr>
        <w:ind w:right="200" w:firstLine="749"/>
        <w:spacing w:after="0" w:line="272" w:lineRule="auto"/>
        <w:rPr>
          <w:sz w:val="20"/>
          <w:szCs w:val="20"/>
          <w:color w:val="auto"/>
        </w:rPr>
      </w:pPr>
      <w:r>
        <w:rPr>
          <w:rFonts w:ascii="Times New Roman" w:cs="Times New Roman" w:eastAsia="Times New Roman" w:hAnsi="Times New Roman"/>
          <w:sz w:val="17"/>
          <w:szCs w:val="17"/>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6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36"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69" w:lineRule="exact"/>
        <w:rPr>
          <w:sz w:val="20"/>
          <w:szCs w:val="20"/>
          <w:color w:val="auto"/>
        </w:rPr>
      </w:pPr>
    </w:p>
    <w:p>
      <w:pPr>
        <w:jc w:val="both"/>
        <w:ind w:right="120" w:firstLine="749"/>
        <w:spacing w:after="0" w:line="265"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spacing w:after="0" w:line="281" w:lineRule="auto"/>
        <w:rPr>
          <w:sz w:val="20"/>
          <w:szCs w:val="20"/>
          <w:color w:val="auto"/>
        </w:rPr>
      </w:pPr>
      <w:r>
        <w:rPr>
          <w:rFonts w:ascii="Times New Roman" w:cs="Times New Roman" w:eastAsia="Times New Roman" w:hAnsi="Times New Roman"/>
          <w:sz w:val="18"/>
          <w:szCs w:val="18"/>
          <w:color w:val="auto"/>
        </w:rPr>
        <w:t>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November 2,</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3,</w:t>
            </w: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116,675</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Receivables, less allowance for credit losses ($1,623 and $1,806, respectively)</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40,432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690,291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684,502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46,720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37,665</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931,783</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951,744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assets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2,233,558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2,173,015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(1,493,752 )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(1,356,648 )</w:t>
            </w: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Fixed assets, net</w:t>
            </w:r>
          </w:p>
        </w:tc>
        <w:tc>
          <w:tcPr>
            <w:tcW w:w="28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739,806</w:t>
            </w: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816,367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1,328,398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980,297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206,429</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5,211,480</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447,673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129,486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190,789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340,437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5,294</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1,113,679</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1,576,856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1,576,223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1,064,322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1,116,615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taxes, net</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210,708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251,629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123,077</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4,088,642</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4,178,723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(Notes 4 and 8)</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8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- 237.2 million and 231.2 million shares, respectively</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8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80" w:type="dxa"/>
            <w:vAlign w:val="bottom"/>
          </w:tcPr>
          <w:p>
            <w:pPr>
              <w:spacing w:after="0"/>
              <w:rPr>
                <w:sz w:val="10"/>
                <w:szCs w:val="10"/>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8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8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2,271,052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(1,135,221 )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(1,047,243 )</w:t>
            </w: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(13,268 )</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1,122,838</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1,184,429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5,211,480</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-3621405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-3621405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-2842260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-2054225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-2054225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-1463675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-127635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2"/>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32"/>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3,852,997</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236,363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757,658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2,366,472</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467,125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935,680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2,829,190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2,833,321</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1,747,487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1,705,443</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(1,232,134 )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(1,180,480 )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(3,079 )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r>
      <w:tr>
        <w:trPr>
          <w:trHeight w:val="191"/>
        </w:trPr>
        <w:tc>
          <w:tcPr>
            <w:tcW w:w="582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1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(22,009 )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(1,267,613 )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(111,521 )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(1,284,845 )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(17,178 )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(4,479 )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(3,574 )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(10,032 )</w:t>
            </w:r>
          </w:p>
        </w:tc>
      </w:tr>
      <w:tr>
        <w:trPr>
          <w:trHeight w:val="191"/>
        </w:trPr>
        <w:tc>
          <w:tcPr>
            <w:tcW w:w="582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4"/>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(16,673 )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(87,979 )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r>
      <w:tr>
        <w:trPr>
          <w:trHeight w:val="216"/>
        </w:trPr>
        <w:tc>
          <w:tcPr>
            <w:tcW w:w="5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Class A and B-1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(0.32 )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(4.71 )</w:t>
            </w: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(0.32 )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(4.71 )</w:t>
            </w:r>
          </w:p>
        </w:tc>
      </w:tr>
      <w:tr>
        <w:trPr>
          <w:trHeight w:val="216"/>
        </w:trPr>
        <w:tc>
          <w:tcPr>
            <w:tcW w:w="5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-3338830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-3338830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-3338830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-2781935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-2781935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-2781935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-2216785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-2216785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-2216785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-967105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-967105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-967105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p>
      <w:pPr>
        <w:ind w:left="200" w:right="2220" w:hanging="179"/>
        <w:spacing w:after="0" w:line="250" w:lineRule="auto"/>
        <w:rPr>
          <w:sz w:val="20"/>
          <w:szCs w:val="20"/>
          <w:color w:val="auto"/>
        </w:rPr>
      </w:pPr>
      <w:r>
        <w:rPr>
          <w:rFonts w:ascii="Times New Roman" w:cs="Times New Roman" w:eastAsia="Times New Roman" w:hAnsi="Times New Roman"/>
          <w:sz w:val="18"/>
          <w:szCs w:val="18"/>
          <w:color w:val="auto"/>
        </w:rPr>
        <w:t>Weighted average shares used in computing net loss per Class A and B-1 common share:</w:t>
      </w:r>
    </w:p>
    <w:p>
      <w:pPr>
        <w:ind w:left="380"/>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274,495</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267,852</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272,446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267,167</w:t>
            </w:r>
          </w:p>
        </w:tc>
      </w:tr>
      <w:tr>
        <w:trPr>
          <w:trHeight w:val="243"/>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274,495</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267,852</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272,446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-290830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1088" w:right="339" w:bottom="1440" w:gutter="0" w:footer="0" w:header="0"/>
          <w:type w:val="continuous"/>
        </w:sect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6" w:name="page7"/>
    <w:bookmarkEnd w:id="6"/>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3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(16,673 )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(87,979 )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(7,198 )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(16,454 )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(Gains) losses on derivatives reclassified to income</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(15,089 )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Comprehensive loss attributable to Class A and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(19,318 )</w:t>
            </w:r>
          </w:p>
        </w:tc>
        <w:tc>
          <w:tcPr>
            <w:tcW w:w="14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(1,238,388 )</w:t>
            </w:r>
          </w:p>
        </w:tc>
        <w:tc>
          <w:tcPr>
            <w:tcW w:w="1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(103,068 )</w:t>
            </w:r>
          </w:p>
        </w:tc>
        <w:tc>
          <w:tcPr>
            <w:tcW w:w="14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(1,248,997 )</w:t>
            </w:r>
          </w:p>
        </w:tc>
        <w:tc>
          <w:tcPr>
            <w:tcW w:w="0" w:type="dxa"/>
            <w:vAlign w:val="bottom"/>
          </w:tcPr>
          <w:p>
            <w:pPr>
              <w:spacing w:after="0"/>
              <w:rPr>
                <w:sz w:val="1"/>
                <w:szCs w:val="1"/>
                <w:color w:val="auto"/>
              </w:rPr>
            </w:pPr>
          </w:p>
        </w:tc>
      </w:tr>
      <w:tr>
        <w:trPr>
          <w:trHeight w:val="214"/>
        </w:trPr>
        <w:tc>
          <w:tcPr>
            <w:tcW w:w="582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B-1 common stockholders</w:t>
            </w:r>
          </w:p>
        </w:tc>
        <w:tc>
          <w:tcPr>
            <w:tcW w:w="14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-427355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-427355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-427355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ind w:left="3580"/>
        <w:spacing w:after="0"/>
        <w:rPr>
          <w:sz w:val="20"/>
          <w:szCs w:val="20"/>
          <w:color w:val="auto"/>
        </w:rPr>
      </w:pPr>
      <w:r>
        <w:rPr>
          <w:rFonts w:ascii="Times New Roman" w:cs="Times New Roman" w:eastAsia="Times New Roman" w:hAnsi="Times New Roman"/>
          <w:sz w:val="17"/>
          <w:szCs w:val="17"/>
          <w:b w:val="1"/>
          <w:bCs w:val="1"/>
          <w:color w:val="auto"/>
        </w:rPr>
        <w:t>PETCO HEALTH AND WELLNESS COMPANY, INC.</w:t>
      </w:r>
    </w:p>
    <w:p>
      <w:pPr>
        <w:spacing w:after="0" w:line="1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8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40" w:type="dxa"/>
            <w:vAlign w:val="bottom"/>
          </w:tcPr>
          <w:p>
            <w:pPr>
              <w:spacing w:after="0"/>
              <w:rPr>
                <w:sz w:val="10"/>
                <w:szCs w:val="10"/>
                <w:color w:val="auto"/>
              </w:rPr>
            </w:pPr>
          </w:p>
        </w:tc>
        <w:tc>
          <w:tcPr>
            <w:tcW w:w="68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10"/>
                <w:szCs w:val="10"/>
                <w:color w:val="auto"/>
              </w:rPr>
            </w:pPr>
          </w:p>
        </w:tc>
        <w:tc>
          <w:tcPr>
            <w:tcW w:w="9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40" w:type="dxa"/>
            <w:vAlign w:val="bottom"/>
            <w:tcBorders>
              <w:right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231,156</w:t>
            </w:r>
          </w:p>
        </w:tc>
        <w:tc>
          <w:tcPr>
            <w:tcW w:w="86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92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340" w:type="dxa"/>
            <w:vAlign w:val="bottom"/>
            <w:gridSpan w:val="3"/>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269</w:t>
            </w:r>
          </w:p>
        </w:tc>
        <w:tc>
          <w:tcPr>
            <w:tcW w:w="36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2,229,582</w:t>
            </w: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(1,047,243 )</w:t>
            </w: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1,821</w:t>
            </w: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1,184,429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(46,483 )</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(46,483 )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(850 )</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(850 )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1,793</w:t>
            </w: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(277 )</w:t>
            </w:r>
          </w:p>
        </w:tc>
        <w:tc>
          <w:tcPr>
            <w:tcW w:w="140" w:type="dxa"/>
            <w:vAlign w:val="bottom"/>
            <w:tcBorders>
              <w:left w:val="single" w:sz="8" w:color="CFF0FC"/>
            </w:tcBorders>
            <w:shd w:val="clear" w:color="auto" w:fill="CFF0FC"/>
          </w:tcPr>
          <w:p>
            <w:pPr>
              <w:spacing w:after="0"/>
              <w:rPr>
                <w:sz w:val="9"/>
                <w:szCs w:val="9"/>
                <w:color w:val="auto"/>
              </w:rPr>
            </w:pPr>
          </w:p>
        </w:tc>
        <w:tc>
          <w:tcPr>
            <w:tcW w:w="98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(275 )</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May 4, 2024</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232,949</w:t>
            </w:r>
          </w:p>
        </w:tc>
        <w:tc>
          <w:tcPr>
            <w:tcW w:w="2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9"/>
                <w:szCs w:val="9"/>
                <w:color w:val="auto"/>
              </w:rPr>
            </w:pPr>
          </w:p>
        </w:tc>
        <w:tc>
          <w:tcPr>
            <w:tcW w:w="68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20" w:type="dxa"/>
            <w:vAlign w:val="bottom"/>
            <w:gridSpan w:val="2"/>
          </w:tcPr>
          <w:p>
            <w:pPr>
              <w:spacing w:after="0"/>
              <w:rPr>
                <w:sz w:val="9"/>
                <w:szCs w:val="9"/>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271</w:t>
            </w:r>
          </w:p>
        </w:tc>
        <w:tc>
          <w:tcPr>
            <w:tcW w:w="160" w:type="dxa"/>
            <w:vAlign w:val="bottom"/>
          </w:tcPr>
          <w:p>
            <w:pPr>
              <w:spacing w:after="0"/>
              <w:rPr>
                <w:sz w:val="9"/>
                <w:szCs w:val="9"/>
                <w:color w:val="auto"/>
              </w:rPr>
            </w:pPr>
          </w:p>
        </w:tc>
        <w:tc>
          <w:tcPr>
            <w:tcW w:w="20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2,246,756</w:t>
            </w:r>
          </w:p>
        </w:tc>
        <w:tc>
          <w:tcPr>
            <w:tcW w:w="180" w:type="dxa"/>
            <w:vAlign w:val="bottom"/>
          </w:tcPr>
          <w:p>
            <w:pPr>
              <w:spacing w:after="0"/>
              <w:rPr>
                <w:sz w:val="9"/>
                <w:szCs w:val="9"/>
                <w:color w:val="auto"/>
              </w:rPr>
            </w:pPr>
          </w:p>
        </w:tc>
        <w:tc>
          <w:tcPr>
            <w:tcW w:w="14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(1,093,726 )</w:t>
            </w: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9,008</w:t>
            </w:r>
          </w:p>
        </w:tc>
        <w:tc>
          <w:tcPr>
            <w:tcW w:w="220" w:type="dxa"/>
            <w:vAlign w:val="bottom"/>
          </w:tcPr>
          <w:p>
            <w:pPr>
              <w:spacing w:after="0"/>
              <w:rPr>
                <w:sz w:val="9"/>
                <w:szCs w:val="9"/>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1,162,309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340" w:type="dxa"/>
            <w:vAlign w:val="bottom"/>
            <w:tcBorders>
              <w:right w:val="single" w:sz="8" w:color="CFF0FC"/>
            </w:tcBorders>
            <w:shd w:val="clear" w:color="auto" w:fill="CFF0FC"/>
          </w:tcPr>
          <w:p>
            <w:pPr>
              <w:ind w:left="20"/>
              <w:spacing w:after="0" w:line="88"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2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tcBorders>
              <w:right w:val="single" w:sz="8" w:color="CFF0FC"/>
            </w:tcBorders>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720" w:type="dxa"/>
            <w:vAlign w:val="bottom"/>
            <w:tcBorders>
              <w:right w:val="single" w:sz="8" w:color="CFF0FC"/>
            </w:tcBorders>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40" w:type="dxa"/>
            <w:vAlign w:val="bottom"/>
            <w:tcBorders>
              <w:left w:val="single" w:sz="8" w:color="CFF0FC"/>
            </w:tcBorders>
            <w:shd w:val="clear" w:color="auto" w:fill="CFF0FC"/>
          </w:tcPr>
          <w:p>
            <w:pPr>
              <w:spacing w:after="0"/>
              <w:rPr>
                <w:sz w:val="7"/>
                <w:szCs w:val="7"/>
                <w:color w:val="auto"/>
              </w:rPr>
            </w:pPr>
          </w:p>
        </w:tc>
        <w:tc>
          <w:tcPr>
            <w:tcW w:w="760" w:type="dxa"/>
            <w:vAlign w:val="bottom"/>
            <w:tcBorders>
              <w:right w:val="single" w:sz="8" w:color="CFF0FC"/>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800" w:type="dxa"/>
            <w:vAlign w:val="bottom"/>
            <w:tcBorders>
              <w:right w:val="single" w:sz="8" w:color="CFF0FC"/>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1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(24,823 )</w:t>
            </w:r>
          </w:p>
        </w:tc>
        <w:tc>
          <w:tcPr>
            <w:tcW w:w="6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(24,823 )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(10,921 )</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(10,921 )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loss on derivatives (Note 5),</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(7,848 )</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(7,848 )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(862 )</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(862 )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2,878</w:t>
            </w:r>
          </w:p>
        </w:tc>
        <w:tc>
          <w:tcPr>
            <w:tcW w:w="2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340" w:type="dxa"/>
            <w:vAlign w:val="bottom"/>
            <w:tcBorders>
              <w:right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August 3, 2024</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235,827</w:t>
            </w:r>
          </w:p>
        </w:tc>
        <w:tc>
          <w:tcPr>
            <w:tcW w:w="86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92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340" w:type="dxa"/>
            <w:vAlign w:val="bottom"/>
            <w:gridSpan w:val="3"/>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274</w:t>
            </w:r>
          </w:p>
        </w:tc>
        <w:tc>
          <w:tcPr>
            <w:tcW w:w="36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2,260,381</w:t>
            </w:r>
          </w:p>
        </w:tc>
        <w:tc>
          <w:tcPr>
            <w:tcW w:w="18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(1,118,548 )</w:t>
            </w: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(10,623 )</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1,131,484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340" w:type="dxa"/>
            <w:vAlign w:val="bottom"/>
            <w:tcBorders>
              <w:top w:val="single" w:sz="8" w:color="CFF0FC"/>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(16,673 )</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(16,673 )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(7,198 )</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(7,198 )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5,127</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(574 )</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(574 )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(659 )</w:t>
            </w:r>
          </w:p>
        </w:tc>
        <w:tc>
          <w:tcPr>
            <w:tcW w:w="140" w:type="dxa"/>
            <w:vAlign w:val="bottom"/>
            <w:tcBorders>
              <w:left w:val="single" w:sz="8" w:color="CFF0FC"/>
            </w:tcBorders>
            <w:shd w:val="clear" w:color="auto" w:fill="CFF0FC"/>
          </w:tcPr>
          <w:p>
            <w:pPr>
              <w:spacing w:after="0"/>
              <w:rPr>
                <w:sz w:val="9"/>
                <w:szCs w:val="9"/>
                <w:color w:val="auto"/>
              </w:rPr>
            </w:pPr>
          </w:p>
        </w:tc>
        <w:tc>
          <w:tcPr>
            <w:tcW w:w="98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(658 )</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November 2, 2024</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237,158</w:t>
            </w:r>
          </w:p>
        </w:tc>
        <w:tc>
          <w:tcPr>
            <w:tcW w:w="2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9"/>
                <w:szCs w:val="9"/>
                <w:color w:val="auto"/>
              </w:rPr>
            </w:pPr>
          </w:p>
        </w:tc>
        <w:tc>
          <w:tcPr>
            <w:tcW w:w="68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20" w:type="dxa"/>
            <w:vAlign w:val="bottom"/>
            <w:gridSpan w:val="2"/>
          </w:tcPr>
          <w:p>
            <w:pPr>
              <w:spacing w:after="0"/>
              <w:rPr>
                <w:sz w:val="9"/>
                <w:szCs w:val="9"/>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275</w:t>
            </w:r>
          </w:p>
        </w:tc>
        <w:tc>
          <w:tcPr>
            <w:tcW w:w="160" w:type="dxa"/>
            <w:vAlign w:val="bottom"/>
          </w:tcPr>
          <w:p>
            <w:pPr>
              <w:spacing w:after="0"/>
              <w:rPr>
                <w:sz w:val="9"/>
                <w:szCs w:val="9"/>
                <w:color w:val="auto"/>
              </w:rPr>
            </w:pPr>
          </w:p>
        </w:tc>
        <w:tc>
          <w:tcPr>
            <w:tcW w:w="20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2,271,052</w:t>
            </w:r>
          </w:p>
        </w:tc>
        <w:tc>
          <w:tcPr>
            <w:tcW w:w="180" w:type="dxa"/>
            <w:vAlign w:val="bottom"/>
          </w:tcPr>
          <w:p>
            <w:pPr>
              <w:spacing w:after="0"/>
              <w:rPr>
                <w:sz w:val="9"/>
                <w:szCs w:val="9"/>
                <w:color w:val="auto"/>
              </w:rPr>
            </w:pPr>
          </w:p>
        </w:tc>
        <w:tc>
          <w:tcPr>
            <w:tcW w:w="14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(1,135,221 )</w:t>
            </w: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(13,268 )</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1,122,838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8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Retained earnings</w:t>
            </w: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40" w:type="dxa"/>
            <w:vAlign w:val="bottom"/>
          </w:tcPr>
          <w:p>
            <w:pPr>
              <w:spacing w:after="0"/>
              <w:rPr>
                <w:sz w:val="10"/>
                <w:szCs w:val="10"/>
                <w:color w:val="auto"/>
              </w:rPr>
            </w:pPr>
          </w:p>
        </w:tc>
        <w:tc>
          <w:tcPr>
            <w:tcW w:w="68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B-2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120" w:type="dxa"/>
            <w:vAlign w:val="bottom"/>
            <w:gridSpan w:val="3"/>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(loss) income</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40" w:type="dxa"/>
            <w:vAlign w:val="bottom"/>
            <w:tcBorders>
              <w:right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28, 2023</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228,338</w:t>
            </w:r>
          </w:p>
        </w:tc>
        <w:tc>
          <w:tcPr>
            <w:tcW w:w="86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0" w:type="dxa"/>
            <w:vAlign w:val="bottom"/>
            <w:shd w:val="clear" w:color="auto" w:fill="CFF0FC"/>
          </w:tcPr>
          <w:p>
            <w:pPr>
              <w:spacing w:after="0"/>
              <w:rPr>
                <w:sz w:val="9"/>
                <w:szCs w:val="9"/>
                <w:color w:val="auto"/>
              </w:rPr>
            </w:pPr>
          </w:p>
        </w:tc>
        <w:tc>
          <w:tcPr>
            <w:tcW w:w="2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266</w:t>
            </w:r>
          </w:p>
        </w:tc>
        <w:tc>
          <w:tcPr>
            <w:tcW w:w="360" w:type="dxa"/>
            <w:vAlign w:val="bottom"/>
            <w:gridSpan w:val="2"/>
            <w:shd w:val="clear" w:color="auto" w:fill="CFF0FC"/>
          </w:tcPr>
          <w:p>
            <w:pPr>
              <w:ind w:left="1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2,152,342</w:t>
            </w: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232,967</w:t>
            </w: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right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(4,098 )</w:t>
            </w: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22,282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(1,892 )</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(1,892 )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loss on derivatives (Note 4),</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(984 )</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(984 )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4),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(1,254 )</w:t>
            </w:r>
          </w:p>
        </w:tc>
        <w:tc>
          <w:tcPr>
            <w:tcW w:w="140" w:type="dxa"/>
            <w:vAlign w:val="bottom"/>
            <w:tcBorders>
              <w:left w:val="single" w:sz="8" w:color="CFF0FC"/>
            </w:tcBorders>
            <w:shd w:val="clear" w:color="auto" w:fill="CFF0FC"/>
          </w:tcPr>
          <w:p>
            <w:pPr>
              <w:spacing w:after="0"/>
              <w:rPr>
                <w:sz w:val="9"/>
                <w:szCs w:val="9"/>
                <w:color w:val="auto"/>
              </w:rPr>
            </w:pPr>
          </w:p>
        </w:tc>
        <w:tc>
          <w:tcPr>
            <w:tcW w:w="9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(1,253 )</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April 29, 2023</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229,065</w:t>
            </w:r>
          </w:p>
        </w:tc>
        <w:tc>
          <w:tcPr>
            <w:tcW w:w="2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267</w:t>
            </w:r>
          </w:p>
        </w:tc>
        <w:tc>
          <w:tcPr>
            <w:tcW w:w="160" w:type="dxa"/>
            <w:vAlign w:val="bottom"/>
          </w:tcPr>
          <w:p>
            <w:pPr>
              <w:spacing w:after="0"/>
              <w:rPr>
                <w:sz w:val="9"/>
                <w:szCs w:val="9"/>
                <w:color w:val="auto"/>
              </w:rPr>
            </w:pPr>
          </w:p>
        </w:tc>
        <w:tc>
          <w:tcPr>
            <w:tcW w:w="2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2,173,370</w:t>
            </w:r>
          </w:p>
        </w:tc>
        <w:tc>
          <w:tcPr>
            <w:tcW w:w="180" w:type="dxa"/>
            <w:vAlign w:val="bottom"/>
          </w:tcPr>
          <w:p>
            <w:pPr>
              <w:spacing w:after="0"/>
              <w:rPr>
                <w:sz w:val="9"/>
                <w:szCs w:val="9"/>
                <w:color w:val="auto"/>
              </w:rPr>
            </w:pPr>
          </w:p>
        </w:tc>
        <w:tc>
          <w:tcPr>
            <w:tcW w:w="1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231,075</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(3,592 )</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2,401,120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340" w:type="dxa"/>
            <w:vAlign w:val="bottom"/>
            <w:tcBorders>
              <w:right w:val="single" w:sz="8" w:color="CFF0FC"/>
            </w:tcBorders>
            <w:shd w:val="clear" w:color="auto" w:fill="CFF0FC"/>
          </w:tcPr>
          <w:p>
            <w:pPr>
              <w:ind w:left="20"/>
              <w:spacing w:after="0" w:line="88"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2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tcBorders>
              <w:right w:val="single" w:sz="8" w:color="CFF0FC"/>
            </w:tcBorders>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720" w:type="dxa"/>
            <w:vAlign w:val="bottom"/>
            <w:tcBorders>
              <w:right w:val="single" w:sz="8" w:color="CFF0FC"/>
            </w:tcBorders>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40" w:type="dxa"/>
            <w:vAlign w:val="bottom"/>
            <w:tcBorders>
              <w:left w:val="single" w:sz="8" w:color="CFF0FC"/>
            </w:tcBorders>
            <w:shd w:val="clear" w:color="auto" w:fill="CFF0FC"/>
          </w:tcPr>
          <w:p>
            <w:pPr>
              <w:spacing w:after="0"/>
              <w:rPr>
                <w:sz w:val="7"/>
                <w:szCs w:val="7"/>
                <w:color w:val="auto"/>
              </w:rPr>
            </w:pPr>
          </w:p>
        </w:tc>
        <w:tc>
          <w:tcPr>
            <w:tcW w:w="760" w:type="dxa"/>
            <w:vAlign w:val="bottom"/>
            <w:tcBorders>
              <w:right w:val="single" w:sz="8" w:color="CFF0FC"/>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800" w:type="dxa"/>
            <w:vAlign w:val="bottom"/>
            <w:tcBorders>
              <w:right w:val="single" w:sz="8" w:color="CFF0FC"/>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24,322</w:t>
            </w:r>
          </w:p>
        </w:tc>
        <w:tc>
          <w:tcPr>
            <w:tcW w:w="1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(14,606 )</w:t>
            </w:r>
          </w:p>
        </w:tc>
        <w:tc>
          <w:tcPr>
            <w:tcW w:w="6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(14,606 )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4),</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income (Note 4), 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2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(1,457 )</w:t>
            </w:r>
          </w:p>
        </w:tc>
        <w:tc>
          <w:tcPr>
            <w:tcW w:w="140" w:type="dxa"/>
            <w:vAlign w:val="bottom"/>
          </w:tcPr>
          <w:p>
            <w:pPr>
              <w:spacing w:after="0"/>
              <w:rPr>
                <w:sz w:val="9"/>
                <w:szCs w:val="9"/>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(1,456 )</w:t>
            </w:r>
          </w:p>
        </w:tc>
        <w:tc>
          <w:tcPr>
            <w:tcW w:w="0" w:type="dxa"/>
            <w:vAlign w:val="bottom"/>
          </w:tcPr>
          <w:p>
            <w:pPr>
              <w:spacing w:after="0"/>
              <w:rPr>
                <w:sz w:val="1"/>
                <w:szCs w:val="1"/>
                <w:color w:val="auto"/>
              </w:rPr>
            </w:pPr>
          </w:p>
        </w:tc>
      </w:tr>
      <w:tr>
        <w:trPr>
          <w:trHeight w:val="122"/>
        </w:trPr>
        <w:tc>
          <w:tcPr>
            <w:tcW w:w="33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340" w:type="dxa"/>
            <w:vAlign w:val="bottom"/>
            <w:tcBorders>
              <w:bottom w:val="single" w:sz="8" w:color="CFF0FC"/>
              <w:right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July 29, 2023</w:t>
            </w:r>
          </w:p>
        </w:tc>
        <w:tc>
          <w:tcPr>
            <w:tcW w:w="600" w:type="dxa"/>
            <w:vAlign w:val="bottom"/>
            <w:tcBorders>
              <w:top w:val="single" w:sz="8" w:color="auto"/>
              <w:bottom w:val="single" w:sz="8" w:color="auto"/>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229,826</w:t>
            </w:r>
          </w:p>
        </w:tc>
        <w:tc>
          <w:tcPr>
            <w:tcW w:w="240" w:type="dxa"/>
            <w:vAlign w:val="bottom"/>
            <w:tcBorders>
              <w:bottom w:val="single" w:sz="8" w:color="CFF0FC"/>
              <w:right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bottom w:val="single" w:sz="8" w:color="CFF0FC"/>
              <w:right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right w:val="single" w:sz="8" w:color="CFF0FC"/>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268</w:t>
            </w:r>
          </w:p>
        </w:tc>
        <w:tc>
          <w:tcPr>
            <w:tcW w:w="1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top w:val="single" w:sz="8" w:color="auto"/>
              <w:left w:val="single" w:sz="8" w:color="CFF0FC"/>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right w:val="single" w:sz="8" w:color="CFF0FC"/>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2,196,235</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left w:val="single" w:sz="8" w:color="CFF0FC"/>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216,469</w:t>
            </w:r>
          </w:p>
        </w:tc>
        <w:tc>
          <w:tcPr>
            <w:tcW w:w="220" w:type="dxa"/>
            <w:vAlign w:val="bottom"/>
            <w:tcBorders>
              <w:bottom w:val="single" w:sz="8" w:color="CFF0FC"/>
              <w:right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1,791</w:t>
            </w:r>
          </w:p>
        </w:tc>
        <w:tc>
          <w:tcPr>
            <w:tcW w:w="22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2,414,763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34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18,678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(1,241,137 )</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(1,241,137 )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(286 )</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(286 )</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240" w:type="dxa"/>
            <w:vAlign w:val="bottom"/>
            <w:tcBorders>
              <w:right w:val="single" w:sz="8" w:color="CFF0FC"/>
            </w:tcBorders>
            <w:shd w:val="clear" w:color="auto" w:fill="CFF0FC"/>
          </w:tcPr>
          <w:p>
            <w:pPr>
              <w:spacing w:after="0"/>
              <w:rPr>
                <w:sz w:val="9"/>
                <w:szCs w:val="9"/>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(2,200 )</w:t>
            </w:r>
          </w:p>
        </w:tc>
        <w:tc>
          <w:tcPr>
            <w:tcW w:w="140" w:type="dxa"/>
            <w:vAlign w:val="bottom"/>
            <w:tcBorders>
              <w:left w:val="single" w:sz="8" w:color="CFF0FC"/>
            </w:tcBorders>
            <w:shd w:val="clear" w:color="auto" w:fill="CFF0FC"/>
          </w:tcPr>
          <w:p>
            <w:pPr>
              <w:spacing w:after="0"/>
              <w:rPr>
                <w:sz w:val="9"/>
                <w:szCs w:val="9"/>
                <w:color w:val="auto"/>
              </w:rPr>
            </w:pPr>
          </w:p>
        </w:tc>
        <w:tc>
          <w:tcPr>
            <w:tcW w:w="9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(2,200 )</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October 28, 2023</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230,293</w:t>
            </w:r>
          </w:p>
        </w:tc>
        <w:tc>
          <w:tcPr>
            <w:tcW w:w="24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268</w:t>
            </w:r>
          </w:p>
        </w:tc>
        <w:tc>
          <w:tcPr>
            <w:tcW w:w="160" w:type="dxa"/>
            <w:vAlign w:val="bottom"/>
          </w:tcPr>
          <w:p>
            <w:pPr>
              <w:spacing w:after="0"/>
              <w:rPr>
                <w:sz w:val="9"/>
                <w:szCs w:val="9"/>
                <w:color w:val="auto"/>
              </w:rPr>
            </w:pPr>
          </w:p>
        </w:tc>
        <w:tc>
          <w:tcPr>
            <w:tcW w:w="2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2,212,713</w:t>
            </w:r>
          </w:p>
        </w:tc>
        <w:tc>
          <w:tcPr>
            <w:tcW w:w="180" w:type="dxa"/>
            <w:vAlign w:val="bottom"/>
          </w:tcPr>
          <w:p>
            <w:pPr>
              <w:spacing w:after="0"/>
              <w:rPr>
                <w:sz w:val="9"/>
                <w:szCs w:val="9"/>
                <w:color w:val="auto"/>
              </w:rPr>
            </w:pPr>
          </w:p>
        </w:tc>
        <w:tc>
          <w:tcPr>
            <w:tcW w:w="1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(1,024,668 )</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4,540</w:t>
            </w:r>
          </w:p>
        </w:tc>
        <w:tc>
          <w:tcPr>
            <w:tcW w:w="220" w:type="dxa"/>
            <w:vAlign w:val="bottom"/>
          </w:tcPr>
          <w:p>
            <w:pPr>
              <w:spacing w:after="0"/>
              <w:rPr>
                <w:sz w:val="9"/>
                <w:szCs w:val="9"/>
                <w:color w:val="auto"/>
              </w:rPr>
            </w:pP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1,192,853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-5401945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-5401945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-5401945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-5401945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-5401945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-5401945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-5401945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-5401945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-4366260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-4349115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-4366260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-4349115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-4366260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-4349115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-4366260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-4349115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-4366260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-4349115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-4366260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-4349115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-4366260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-4349115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-4366260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-4349115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-3501390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-3501390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-3501390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-3501390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-3501390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-3501390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-3501390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-3501390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-2011680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-2011680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-2011680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-2011680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-2011680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-2011680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-2011680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-975360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-958215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-975360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-958215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-975360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-958215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-975360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-958215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-975360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-958215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-975360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-958215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-975360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-958215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-110490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-110490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-110490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-110490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-110490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-110490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-110490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 w:name="page9"/>
    <w:bookmarkEnd w:id="8"/>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60" w:type="dxa"/>
            <w:vAlign w:val="bottom"/>
            <w:gridSpan w:val="5"/>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08"/>
        </w:trPr>
        <w:tc>
          <w:tcPr>
            <w:tcW w:w="77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gridSpan w:val="2"/>
          </w:tcPr>
          <w:p>
            <w:pPr>
              <w:jc w:val="right"/>
              <w:ind w:right="720"/>
              <w:spacing w:after="0" w:line="109" w:lineRule="exact"/>
              <w:rPr>
                <w:sz w:val="20"/>
                <w:szCs w:val="20"/>
                <w:color w:val="auto"/>
              </w:rPr>
            </w:pPr>
            <w:r>
              <w:rPr>
                <w:rFonts w:ascii="Times New Roman" w:cs="Times New Roman" w:eastAsia="Times New Roman" w:hAnsi="Times New Roman"/>
                <w:sz w:val="12"/>
                <w:szCs w:val="12"/>
                <w:b w:val="1"/>
                <w:bCs w:val="1"/>
                <w:color w:val="auto"/>
              </w:rPr>
              <w:t>November 2,</w:t>
            </w: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right"/>
              <w:ind w:right="413"/>
              <w:spacing w:after="0" w:line="109" w:lineRule="exact"/>
              <w:rPr>
                <w:sz w:val="20"/>
                <w:szCs w:val="20"/>
                <w:color w:val="auto"/>
              </w:rPr>
            </w:pPr>
            <w:r>
              <w:rPr>
                <w:rFonts w:ascii="Times New Roman" w:cs="Times New Roman" w:eastAsia="Times New Roman" w:hAnsi="Times New Roman"/>
                <w:sz w:val="12"/>
                <w:szCs w:val="12"/>
                <w:b w:val="1"/>
                <w:bCs w:val="1"/>
                <w:color w:val="auto"/>
              </w:rPr>
              <w:t>October 28,</w:t>
            </w:r>
          </w:p>
        </w:tc>
        <w:tc>
          <w:tcPr>
            <w:tcW w:w="100" w:type="dxa"/>
            <w:vAlign w:val="bottom"/>
          </w:tcPr>
          <w:p>
            <w:pPr>
              <w:spacing w:after="0"/>
              <w:rPr>
                <w:sz w:val="9"/>
                <w:szCs w:val="9"/>
                <w:color w:val="auto"/>
              </w:rPr>
            </w:pPr>
          </w:p>
        </w:tc>
      </w:tr>
      <w:tr>
        <w:trPr>
          <w:trHeight w:val="155"/>
        </w:trPr>
        <w:tc>
          <w:tcPr>
            <w:tcW w:w="7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Net loss</w:t>
            </w:r>
          </w:p>
        </w:tc>
        <w:tc>
          <w:tcPr>
            <w:tcW w:w="28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(87,979 )</w:t>
            </w:r>
          </w:p>
        </w:tc>
        <w:tc>
          <w:tcPr>
            <w:tcW w:w="28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(1,257,635 )</w:t>
            </w:r>
          </w:p>
        </w:tc>
      </w:tr>
      <w:tr>
        <w:trPr>
          <w:trHeight w:val="136"/>
        </w:trPr>
        <w:tc>
          <w:tcPr>
            <w:tcW w:w="7700" w:type="dxa"/>
            <w:vAlign w:val="bottom"/>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operating</w:t>
            </w:r>
          </w:p>
        </w:tc>
        <w:tc>
          <w:tcPr>
            <w:tcW w:w="2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activities: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149,414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148,593</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3,661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3,658</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Provision for deferred taxes</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(35,629 )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(35,164 )</w:t>
            </w: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Equity-based compensation</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40,705</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64,431</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8,449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2,202</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Loss on partial extinguishment of debt</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920</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Income from equity method investees</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(13,557 )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(10,032 )</w:t>
            </w: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Amounts reclassified out of accumulated other comprehensive (loss) income</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(3,035 )</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674</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Goodwill impairment</w:t>
            </w:r>
          </w:p>
        </w:tc>
        <w:tc>
          <w:tcPr>
            <w:tcW w:w="280" w:type="dxa"/>
            <w:vAlign w:val="bottom"/>
          </w:tcPr>
          <w:p>
            <w:pPr>
              <w:spacing w:after="0"/>
              <w:rPr>
                <w:sz w:val="12"/>
                <w:szCs w:val="12"/>
                <w:color w:val="auto"/>
              </w:rPr>
            </w:pPr>
          </w:p>
        </w:tc>
        <w:tc>
          <w:tcPr>
            <w:tcW w:w="15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1,222,524</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Non-cash operating lease costs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311,347</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316,355</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Other non-operating income</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(5,800 )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(4,727 )</w:t>
            </w:r>
          </w:p>
        </w:tc>
      </w:tr>
      <w:tr>
        <w:trPr>
          <w:trHeight w:val="148"/>
        </w:trPr>
        <w:tc>
          <w:tcPr>
            <w:tcW w:w="77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Changes in assets and liabilities: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560"/>
              <w:spacing w:after="0" w:line="149" w:lineRule="exact"/>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4,287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(600 )</w:t>
            </w:r>
          </w:p>
        </w:tc>
      </w:tr>
      <w:tr>
        <w:trPr>
          <w:trHeight w:val="148"/>
        </w:trPr>
        <w:tc>
          <w:tcPr>
            <w:tcW w:w="77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3"/>
                <w:szCs w:val="13"/>
                <w:color w:val="auto"/>
              </w:rPr>
              <w:t>Merchandise inventories</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(6,194 )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(77,718 )</w:t>
            </w:r>
          </w:p>
        </w:tc>
      </w:tr>
      <w:tr>
        <w:trPr>
          <w:trHeight w:val="148"/>
        </w:trPr>
        <w:tc>
          <w:tcPr>
            <w:tcW w:w="7700" w:type="dxa"/>
            <w:vAlign w:val="bottom"/>
          </w:tcPr>
          <w:p>
            <w:pPr>
              <w:ind w:left="560"/>
              <w:spacing w:after="0" w:line="149"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1,601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(6,004 )</w:t>
            </w:r>
          </w:p>
        </w:tc>
      </w:tr>
      <w:tr>
        <w:trPr>
          <w:trHeight w:val="148"/>
        </w:trPr>
        <w:tc>
          <w:tcPr>
            <w:tcW w:w="77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3"/>
                <w:szCs w:val="13"/>
                <w:color w:val="auto"/>
              </w:rPr>
              <w:t>Accounts payable and book overdrafts</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(36,427 )</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105,421</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560"/>
              <w:spacing w:after="0" w:line="149" w:lineRule="exact"/>
              <w:rPr>
                <w:sz w:val="20"/>
                <w:szCs w:val="20"/>
                <w:color w:val="auto"/>
              </w:rPr>
            </w:pPr>
            <w:r>
              <w:rPr>
                <w:rFonts w:ascii="Times New Roman" w:cs="Times New Roman" w:eastAsia="Times New Roman" w:hAnsi="Times New Roman"/>
                <w:sz w:val="13"/>
                <w:szCs w:val="13"/>
                <w:color w:val="auto"/>
              </w:rPr>
              <w:t>Accrued salaries and employee benefits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28,986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11,586</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3"/>
                <w:szCs w:val="13"/>
                <w:color w:val="auto"/>
              </w:rPr>
              <w:t>Accrued expenses and other liabilities</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(817 )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(1,098 )</w:t>
            </w:r>
          </w:p>
        </w:tc>
      </w:tr>
      <w:tr>
        <w:trPr>
          <w:trHeight w:val="148"/>
        </w:trPr>
        <w:tc>
          <w:tcPr>
            <w:tcW w:w="7700" w:type="dxa"/>
            <w:vAlign w:val="bottom"/>
          </w:tcPr>
          <w:p>
            <w:pPr>
              <w:ind w:left="560"/>
              <w:spacing w:after="0" w:line="149" w:lineRule="exact"/>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(280,101 )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(312,935 )</w:t>
            </w:r>
          </w:p>
        </w:tc>
      </w:tr>
      <w:tr>
        <w:trPr>
          <w:trHeight w:val="148"/>
        </w:trPr>
        <w:tc>
          <w:tcPr>
            <w:tcW w:w="770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2,769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(1,755 )</w:t>
            </w:r>
          </w:p>
        </w:tc>
      </w:tr>
      <w:tr>
        <w:trPr>
          <w:trHeight w:val="142"/>
        </w:trPr>
        <w:tc>
          <w:tcPr>
            <w:tcW w:w="7700" w:type="dxa"/>
            <w:vAlign w:val="bottom"/>
            <w:tcBorders>
              <w:top w:val="single" w:sz="8" w:color="CFF0FC"/>
            </w:tcBorders>
          </w:tcPr>
          <w:p>
            <w:pPr>
              <w:ind w:left="740"/>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81,680</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168,696</w:t>
            </w:r>
          </w:p>
        </w:tc>
        <w:tc>
          <w:tcPr>
            <w:tcW w:w="100" w:type="dxa"/>
            <w:vAlign w:val="bottom"/>
            <w:tcBorders>
              <w:top w:val="single" w:sz="8" w:color="CFF0FC"/>
            </w:tcBorders>
          </w:tcPr>
          <w:p>
            <w:pPr>
              <w:spacing w:after="0"/>
              <w:rPr>
                <w:sz w:val="12"/>
                <w:szCs w:val="12"/>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paid for fixed assets</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(91,041 )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(176,532 )</w:t>
            </w: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(464 )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(4,495 )</w:t>
            </w: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paid for investment</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(457 )</w:t>
            </w:r>
          </w:p>
        </w:tc>
        <w:tc>
          <w:tcPr>
            <w:tcW w:w="2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Proceeds from investment</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998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24,878</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Proceeds from sale of assets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1,252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77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received from partial surrender of officers' life insurance</w:t>
            </w:r>
          </w:p>
        </w:tc>
        <w:tc>
          <w:tcPr>
            <w:tcW w:w="2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206</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ind w:left="74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(89,506 )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(156,149 )</w:t>
            </w: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Borrowings under long-term debt agreements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201,000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Repayments of long-term debt</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(201,000 )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(75,000 )</w:t>
            </w: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Debt refinancing costs</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(3,028 )</w:t>
            </w:r>
          </w:p>
        </w:tc>
        <w:tc>
          <w:tcPr>
            <w:tcW w:w="2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Payments for finance lease liabilities</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(4,608 )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(4,627 )</w:t>
            </w: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2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2,585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3,324</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Tax withholdings on stock-based awards</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3"/>
                <w:szCs w:val="13"/>
                <w:color w:val="auto"/>
              </w:rPr>
              <w:t>(5,251 )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(7,737 )</w:t>
            </w: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Proceeds from issuance of common stock</w:t>
            </w: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2,500</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r>
      <w:tr>
        <w:trPr>
          <w:trHeight w:val="142"/>
        </w:trPr>
        <w:tc>
          <w:tcPr>
            <w:tcW w:w="7700" w:type="dxa"/>
            <w:vAlign w:val="bottom"/>
            <w:shd w:val="clear" w:color="auto" w:fill="CFF0FC"/>
          </w:tcPr>
          <w:p>
            <w:pPr>
              <w:ind w:left="74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(7,802 )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(84,040 )</w:t>
            </w:r>
          </w:p>
        </w:tc>
      </w:tr>
      <w:tr>
        <w:trPr>
          <w:trHeight w:val="20"/>
        </w:trPr>
        <w:tc>
          <w:tcPr>
            <w:tcW w:w="77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28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(15,628 )</w:t>
            </w: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(71,493 )</w:t>
            </w:r>
          </w:p>
        </w:tc>
      </w:tr>
      <w:tr>
        <w:trPr>
          <w:trHeight w:val="148"/>
        </w:trPr>
        <w:tc>
          <w:tcPr>
            <w:tcW w:w="77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136,649</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213,727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121,021</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142,234</w:t>
            </w:r>
          </w:p>
        </w:tc>
        <w:tc>
          <w:tcPr>
            <w:tcW w:w="100" w:type="dxa"/>
            <w:vAlign w:val="bottom"/>
          </w:tcPr>
          <w:p>
            <w:pPr>
              <w:spacing w:after="0"/>
              <w:rPr>
                <w:sz w:val="12"/>
                <w:szCs w:val="12"/>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7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Supplemental cash flow disclosures:</w:t>
            </w:r>
          </w:p>
        </w:tc>
        <w:tc>
          <w:tcPr>
            <w:tcW w:w="2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Interest paid, net</w:t>
            </w:r>
          </w:p>
        </w:tc>
        <w:tc>
          <w:tcPr>
            <w:tcW w:w="28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105,252</w:t>
            </w:r>
          </w:p>
        </w:tc>
        <w:tc>
          <w:tcPr>
            <w:tcW w:w="260" w:type="dxa"/>
            <w:vAlign w:val="bottom"/>
          </w:tcPr>
          <w:p>
            <w:pPr>
              <w:spacing w:after="0"/>
              <w:rPr>
                <w:sz w:val="12"/>
                <w:szCs w:val="12"/>
                <w:color w:val="auto"/>
              </w:rPr>
            </w:pPr>
          </w:p>
        </w:tc>
        <w:tc>
          <w:tcPr>
            <w:tcW w:w="28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107,229</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Income taxes paid</w:t>
            </w:r>
          </w:p>
        </w:tc>
        <w:tc>
          <w:tcPr>
            <w:tcW w:w="280" w:type="dxa"/>
            <w:vAlign w:val="bottom"/>
            <w:shd w:val="clear" w:color="auto" w:fill="CFF0FC"/>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24,652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31,261</w:t>
            </w:r>
          </w:p>
        </w:tc>
        <w:tc>
          <w:tcPr>
            <w:tcW w:w="100" w:type="dxa"/>
            <w:vAlign w:val="bottom"/>
            <w:shd w:val="clear" w:color="auto" w:fill="CFF0FC"/>
          </w:tcPr>
          <w:p>
            <w:pPr>
              <w:spacing w:after="0"/>
              <w:rPr>
                <w:sz w:val="12"/>
                <w:szCs w:val="12"/>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80" w:type="dxa"/>
            <w:vAlign w:val="bottom"/>
            <w:shd w:val="clear" w:color="auto" w:fill="CFF0FC"/>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14,936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26,621</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-2533650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-1763395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-795655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-598805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pet health and wellness company focused on improving the lives of pets, pet parents, and its own partners. The Company manages its business as one reportable operating segment.</w:t>
      </w:r>
    </w:p>
    <w:p>
      <w:pPr>
        <w:spacing w:after="0" w:line="163"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7"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February 3, 2024.</w:t>
      </w:r>
    </w:p>
    <w:p>
      <w:pPr>
        <w:spacing w:after="0" w:line="16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February 3, 2024, from which the prior year balance sheet information herein was derived.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 on December 31, 2024. The interest rate caps are accounted for as cash flow hedges, and changes in the fair value of the interest rate caps are reported as a component of accumulated other comprehensive income (loss) ("AOCI").</w:t>
      </w:r>
    </w:p>
    <w:p>
      <w:pPr>
        <w:spacing w:after="0" w:line="18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77"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ind w:right="560" w:firstLine="509"/>
        <w:spacing w:after="0" w:line="265" w:lineRule="auto"/>
        <w:rPr>
          <w:sz w:val="20"/>
          <w:szCs w:val="20"/>
          <w:color w:val="auto"/>
        </w:rPr>
      </w:pPr>
      <w:r>
        <w:rPr>
          <w:rFonts w:ascii="Times New Roman" w:cs="Times New Roman" w:eastAsia="Times New Roman" w:hAnsi="Times New Roman"/>
          <w:sz w:val="18"/>
          <w:szCs w:val="18"/>
          <w:color w:val="auto"/>
        </w:rPr>
        <w:t>In December 2023, the Company entered into an interest rate collar agreement to limit the maximum interest on a portion of the Company’s variable-rate debt and decrease its exposure to interest rate variability relating to three-month Term SOFR. The interest rate collar becomes effective December 31, 2024 and expires on December 31, 2026.</w:t>
      </w:r>
    </w:p>
    <w:p>
      <w:pPr>
        <w:spacing w:after="0" w:line="177"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spacing w:after="0" w:line="17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interest rate collars are accounted for as cash flow hedges, and changes in the fair value of the interest rate collars are reported as a component of AOCI.</w:t>
      </w:r>
    </w:p>
    <w:p>
      <w:pPr>
        <w:spacing w:after="0" w:line="163"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In August 2024, the Company entered into an interest rate swap agreement to fix the interest rate on a portion of the Company’s variable-rate debt and decrease its exposure to interest rate variability relating to three-month Term SOFR. The interest rate swap became effective September 30, 2024 and expires on December 31, 2026. The interest rate swap is accounted for as a cash flow hedge, and changes in the fair value of the interest rate swap are reported as a component of AOCI.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1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121,021</w:t>
            </w:r>
          </w:p>
        </w:tc>
        <w:tc>
          <w:tcPr>
            <w:tcW w:w="4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statement of cash flows</w:t>
            </w:r>
          </w:p>
        </w:tc>
        <w:tc>
          <w:tcPr>
            <w:tcW w:w="160" w:type="dxa"/>
            <w:vAlign w:val="bottom"/>
            <w:vMerge w:val="continue"/>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79"/>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17"/>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79"/>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7"/>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5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753,230</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733,277</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2,261,970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2,230,405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1,622,592</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236,363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757,658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4,564,332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-170815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the Company’s goodwill were as follows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ind w:left="1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37"/>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980,297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Activity from acquisitions and divestiture</w:t>
            </w: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3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(1,222,524 )</w:t>
            </w:r>
          </w:p>
        </w:tc>
        <w:tc>
          <w:tcPr>
            <w:tcW w:w="0" w:type="dxa"/>
            <w:vAlign w:val="bottom"/>
          </w:tcPr>
          <w:p>
            <w:pPr>
              <w:spacing w:after="0"/>
              <w:rPr>
                <w:sz w:val="1"/>
                <w:szCs w:val="1"/>
                <w:color w:val="auto"/>
              </w:rPr>
            </w:pPr>
          </w:p>
        </w:tc>
      </w:tr>
      <w:tr>
        <w:trPr>
          <w:trHeight w:val="209"/>
        </w:trPr>
        <w:tc>
          <w:tcPr>
            <w:tcW w:w="4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3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980,064</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976,247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-1078230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 w:name="page12"/>
    <w:bookmarkEnd w:id="11"/>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w:t>
      </w:r>
    </w:p>
    <w:p>
      <w:pPr>
        <w:spacing w:after="0" w:line="16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During the third quarter of fiscal 2023, the Company concluded that indicators of impairment existed due to declines in the Company's share price, as well as macroeconomic conditions, and performed an interim impairment test. The fair value of the Company’s reporting unit was estimated by management with the assistance of a third-party valuation specialist. Fair value estimates used in the quantitative impairment test were calculated using a combination of discounted cash flow analysis and a public company analysis. The discounted cash flow analysis measures the value of an asset by the present value of its future estimated cash flows. The Company makes estimates and assumptions about sales, gross margins, selling, general and administrative percentages and profit margins, based on budgets and forecasts, business plans, economic projections, anticipated future cash flows, and marketplace data. The public company analysis analyzes transactional and financial data of publicly traded companies to develop valuation multiples. These multiples are then applied to the Company to develop an indication of fair value.</w:t>
      </w:r>
    </w:p>
    <w:p>
      <w:pPr>
        <w:spacing w:after="0" w:line="189" w:lineRule="exact"/>
        <w:rPr>
          <w:sz w:val="20"/>
          <w:szCs w:val="20"/>
          <w:color w:val="auto"/>
        </w:rPr>
      </w:pPr>
    </w:p>
    <w:p>
      <w:pPr>
        <w:ind w:right="100" w:firstLine="554"/>
        <w:spacing w:after="0" w:line="265"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third quarter of fiscal 2023 reflected the Company's most recent cash flow projections, a discount rate of 16.4% and a terminal growth rate of 3%.</w:t>
      </w:r>
    </w:p>
    <w:p>
      <w:pPr>
        <w:spacing w:after="0" w:line="177"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As a result of the impairment test, the Company concluded that the carrying value of the Company’s reporting unit exceeded its fair value and recorded a pre-tax goodwill impairment charge of $1,222.5 million for the thirteen week period ended October 28, 2023. This charge was recorded in goodwill impairment in the consolidated statements of operations.</w:t>
      </w:r>
    </w:p>
    <w:p>
      <w:pPr>
        <w:spacing w:after="0" w:line="6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discounted cash flow model used to determine the fair value of the reporting unit during the first quarter of fiscal 2024 reflected the Company's most recent cash flow projections, a discount rate of 13.2%, and a terminal growth rate of 3%. The reporting unit fair value measurement is classified as Level 3 in the fair value hierarchy because it involves significant unobservable inputs.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Senior Secured Credit Facilities</w:t>
      </w:r>
    </w:p>
    <w:p>
      <w:pPr>
        <w:spacing w:after="0" w:line="229"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originally maturing on March 4, 2026 (as amended from time to time, the “ABL Revolving Credit Facility”). 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89"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As of November 2, 2024, the Company was in compliance with its covenants under the First Lien Term Loan and the ABL Revolving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400" w:firstLine="515"/>
        <w:spacing w:after="0" w:line="265" w:lineRule="auto"/>
        <w:rPr>
          <w:sz w:val="20"/>
          <w:szCs w:val="20"/>
          <w:color w:val="auto"/>
        </w:rPr>
      </w:pPr>
      <w:r>
        <w:rPr>
          <w:rFonts w:ascii="Times New Roman" w:cs="Times New Roman" w:eastAsia="Times New Roman" w:hAnsi="Times New Roman"/>
          <w:sz w:val="18"/>
          <w:szCs w:val="18"/>
          <w:color w:val="auto"/>
        </w:rPr>
        <w:t>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rate. The base rate is the greater of the bank prime rate, federal funds effective rate plus 0.5% or Adjusted Term SOFR plus 1.0%. The applicable rate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 per annum for a base rate loan or 3.25% per annum for an Adjusted Term SOFR loan. Principal and interest payments commenced on June 30, 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are normally $4.25 million quarterly.</w:t>
      </w:r>
    </w:p>
    <w:p>
      <w:pPr>
        <w:spacing w:after="0" w:line="206"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The Company voluntarily repaid $35.0 million, $25.0 million and $15.0 million of the principal of the First Lien Term Loan using existing cash on hand in March 2023, May 2023, and August 2023, respectively. The repayments were applied to the remaining principal payments in order of scheduled payment date and, as a result, the entire remaining balance was included in senior secured credit facilities, net, excluding current portion in the consolidated balance sheets as of February 3, 2024. The Company accounted for the repayments as partial extinguishments and recognized losses on debt extinguishment of $0.2 million and $0.9 million during the thirteen and thirty-nine week periods ended October 28, 2023, respectively.</w:t>
      </w:r>
    </w:p>
    <w:p>
      <w:pPr>
        <w:spacing w:after="0" w:line="182" w:lineRule="exact"/>
        <w:rPr>
          <w:sz w:val="20"/>
          <w:szCs w:val="20"/>
          <w:color w:val="auto"/>
        </w:rPr>
      </w:pPr>
    </w:p>
    <w:p>
      <w:pPr>
        <w:ind w:right="40" w:firstLine="515"/>
        <w:spacing w:after="0" w:line="256" w:lineRule="auto"/>
        <w:rPr>
          <w:sz w:val="20"/>
          <w:szCs w:val="20"/>
          <w:color w:val="auto"/>
        </w:rPr>
      </w:pPr>
      <w:r>
        <w:rPr>
          <w:rFonts w:ascii="Times New Roman" w:cs="Times New Roman" w:eastAsia="Times New Roman" w:hAnsi="Times New Roman"/>
          <w:sz w:val="18"/>
          <w:szCs w:val="18"/>
          <w:color w:val="auto"/>
        </w:rPr>
        <w:t>As of November 2, 2024, the outstanding principal balance of the First Lien Term Loan was $1,595.3 million ($1,581.5 million, net of the unamortized discount and debt issuance costs). As of February 3, 2024, the outstanding principal balance of the First Lien Term Loan was $1,595.3 million ($1,578.6 million, net of the unamortized discount and debt issuance costs). The weighted average interest rate on the borrowings outstanding was 8.2% and 9.0% as of November 2, 2024 and February 3, 2024, respectively. Debt issuance costs are being amortized over the contractual term to interest expense using the effective interest rate in effect at issuance. As of November 2, 2024 and February 3, 2024, the estimated fair value of the First Lien Term Loan was approximately $1,509.6 million and $1,497.6 million, respectively, based upon Level 2 fair value hierarchy inputs.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20" w:firstLine="515"/>
        <w:spacing w:after="0" w:line="260"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2" w:lineRule="exact"/>
        <w:rPr>
          <w:sz w:val="20"/>
          <w:szCs w:val="20"/>
          <w:color w:val="auto"/>
        </w:rPr>
      </w:pPr>
    </w:p>
    <w:p>
      <w:pPr>
        <w:ind w:right="220" w:firstLine="515"/>
        <w:spacing w:after="0" w:line="258" w:lineRule="auto"/>
        <w:rPr>
          <w:sz w:val="20"/>
          <w:szCs w:val="20"/>
          <w:color w:val="auto"/>
        </w:rPr>
      </w:pPr>
      <w:r>
        <w:rPr>
          <w:rFonts w:ascii="Times New Roman" w:cs="Times New Roman" w:eastAsia="Times New Roman" w:hAnsi="Times New Roman"/>
          <w:sz w:val="18"/>
          <w:szCs w:val="18"/>
          <w:color w:val="auto"/>
        </w:rPr>
        <w:t>As of November 2, 2024 and February 3, 2024, no amounts were outstanding under the ABL Revolving Credit Facility. As of November 2, 2024, $527.6 million was available under the ABL Revolving Credit Facility, which is net of $53.4 million of outstanding letters of credit issued in the normal course of business and no borrowing base reduction for a shortfall in qualifying assets. As of November 2, 2024 and February 3, 2024, unamortized debt issuance costs of $4.6 million and $2.4 million, respectively, relating to the ABL Revolving Credit Facility were outstanding and were being amortized using the straight-line method over the remaining term of the agreement.</w:t>
      </w:r>
    </w:p>
    <w:p>
      <w:pPr>
        <w:spacing w:after="0" w:line="182"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7"/>
          <w:szCs w:val="17"/>
          <w:color w:val="auto"/>
        </w:rPr>
        <w:t>The ABL Revolving Credit Facility has availability up to $581.0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6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3" w:name="page14"/>
    <w:bookmarkEnd w:id="13"/>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Term SOFR</w:t>
            </w: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197"/>
        </w:trPr>
        <w:tc>
          <w:tcPr>
            <w:tcW w:w="59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 Cap</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-547370</wp:posOffset>
            </wp:positionV>
            <wp:extent cx="570230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2300" cy="13716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-136525</wp:posOffset>
            </wp:positionV>
            <wp:extent cx="570230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2300" cy="137160"/>
                    </a:xfrm>
                    <a:prstGeom prst="rect">
                      <a:avLst/>
                    </a:prstGeom>
                    <a:noFill/>
                  </pic:spPr>
                </pic:pic>
              </a:graphicData>
            </a:graphic>
          </wp:anchor>
        </w:drawing>
      </w:r>
    </w:p>
    <w:p>
      <w:pPr>
        <w:spacing w:after="0" w:line="245" w:lineRule="exact"/>
        <w:rPr>
          <w:sz w:val="20"/>
          <w:szCs w:val="20"/>
          <w:color w:val="auto"/>
        </w:rPr>
      </w:pPr>
    </w:p>
    <w:p>
      <w:pPr>
        <w:ind w:right="920" w:firstLine="509"/>
        <w:spacing w:after="0" w:line="281"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Derivative Instruments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interest rate swap, caps and collars are accounted for as cash flow hedges because they are expected to be highly effective in hedging variable rate interest payments. Changes in the fair value of the cash flow hedges are reported as a component of AOCI. As of November 2, 2024, AOCI included unrealized losses of $0.4 million ($0.3 million, net of tax). As of February 3, 2024, AOCI included unrealized losses of $2.2 million ($1.7 million, net of tax). Approximately $0.8 million and $3.0 million of pre-tax gains deferred in AOCI were reclassified to interest expense during the thirteen and thirty-nine week periods ended November 2, 2024, respectively. Approximately $0.4 million of pre-tax gains and $0.7 million of pre-tax losses deferred in AOCI were reclassified to interest expense during the thirteen and thirty-nine week periods ended October 28, 2023, respectively. The Company currently estimates that $1.1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200" w:type="dxa"/>
            <w:vAlign w:val="bottom"/>
          </w:tcPr>
          <w:p>
            <w:pPr>
              <w:spacing w:after="0"/>
              <w:rPr>
                <w:sz w:val="13"/>
                <w:szCs w:val="13"/>
                <w:color w:val="auto"/>
              </w:rPr>
            </w:pPr>
          </w:p>
        </w:tc>
        <w:tc>
          <w:tcPr>
            <w:tcW w:w="30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8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1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2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Non-current asset portion of cash flow</w:t>
            </w:r>
          </w:p>
        </w:tc>
        <w:tc>
          <w:tcPr>
            <w:tcW w:w="200" w:type="dxa"/>
            <w:vAlign w:val="bottom"/>
          </w:tcPr>
          <w:p>
            <w:pPr>
              <w:spacing w:after="0"/>
              <w:rPr>
                <w:sz w:val="17"/>
                <w:szCs w:val="17"/>
                <w:color w:val="auto"/>
              </w:rPr>
            </w:pPr>
          </w:p>
        </w:tc>
        <w:tc>
          <w:tcPr>
            <w:tcW w:w="30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1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Current liability portion of cash flow</w:t>
            </w:r>
          </w:p>
        </w:tc>
        <w:tc>
          <w:tcPr>
            <w:tcW w:w="20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shd w:val="clear" w:color="auto" w:fill="CFF0FC"/>
          </w:tcPr>
          <w:p>
            <w:pPr>
              <w:spacing w:after="0"/>
              <w:rPr>
                <w:sz w:val="20"/>
                <w:szCs w:val="20"/>
                <w:color w:val="auto"/>
              </w:rPr>
            </w:pPr>
          </w:p>
        </w:tc>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Non-current liability portion of cash flow</w:t>
            </w:r>
          </w:p>
        </w:tc>
        <w:tc>
          <w:tcPr>
            <w:tcW w:w="200" w:type="dxa"/>
            <w:vAlign w:val="bottom"/>
          </w:tcPr>
          <w:p>
            <w:pPr>
              <w:spacing w:after="0"/>
              <w:rPr>
                <w:sz w:val="17"/>
                <w:szCs w:val="17"/>
                <w:color w:val="auto"/>
              </w:rPr>
            </w:pPr>
          </w:p>
        </w:tc>
        <w:tc>
          <w:tcPr>
            <w:tcW w:w="30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(3,067 )</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64,231</w:t>
            </w:r>
          </w:p>
        </w:tc>
        <w:tc>
          <w:tcPr>
            <w:tcW w:w="5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(21,860 )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629"/>
        </w:trPr>
        <w:tc>
          <w:tcPr>
            <w:tcW w:w="4400" w:type="dxa"/>
            <w:vAlign w:val="bottom"/>
          </w:tcPr>
          <w:p>
            <w:pPr>
              <w:spacing w:after="0"/>
              <w:rPr>
                <w:sz w:val="24"/>
                <w:szCs w:val="24"/>
                <w:color w:val="auto"/>
              </w:rPr>
            </w:pP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February 3, 2024</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(20,355 )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4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$60.5 million and $69.6 million as of November 2, 2024 and February 3, 2024, respectively. Also included in the Company’s money market mutual funds balances were $3.7 million and $10.6 million as of November 2, 2024 and February 3, 2024, respectively, which relate to the Company’s restricted cash, and are included in other current assets in the consolidated balance sheets.</w:t>
      </w:r>
    </w:p>
    <w:p>
      <w:pPr>
        <w:spacing w:after="0" w:line="182"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warrants were exercised in July 2024, following the satisfaction of the related performance conditions and contingencies. Cash consideration for the exercise of the warrants was de minimis. The Company's interest is accounted for as an investment in an equity security without a readily determinable fair value. When an upward or downward adjustment occurs, the resulting gains or losses are included in other non-operating income in the consolidated statements of operations.</w:t>
      </w:r>
    </w:p>
    <w:p>
      <w:pPr>
        <w:spacing w:after="0" w:line="18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In April 2023, the Company sold its interest in Rover Group, Inc. Class A common stock to a buyer at a price determined based on the daily volume weighted average price, in addition to a premium, over an agreed upon period. The Company's interest in the unsettled cash proceeds were remeasured at fair value at each reporting period, and the resulting gains or losses were included in other non-operating income in the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74"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third quarter of fiscal 2023 and the first quarter of fiscal 2024, the Company performed interim impairment tests of its goodwill and indefinite-lived trade name due to declines in the Company's share price. Refer to Note 3 for further discussion of the results of impairment testing performed on the Company’s goodwill.</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2023, the Company concluded that the fair value of its trade name exceeded its carrying value, and therefore no trade name impairment charge was recorded. The fair value of the Company’s trade name was estimated by management with the assistance of a third-party valuation specialist using the relief from royalty valuation method, which estimates the hypothetical royalties that would have to be paid if the trade name was not owned. The fair value of the Company's trade name reflected the Company's most recent revenue projections at the time of the analysis, a discount rate of 17.4% and a terminal growth rate of 3%.</w:t>
      </w:r>
    </w:p>
    <w:p>
      <w:pPr>
        <w:spacing w:after="0" w:line="74"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During the first quarter of fiscal 2024, the Company concluded that the fair value of its trade name exceeded its carrying value, and therefore no trade name impairment charge was recorded. The fair value of the Company’s trade name was estimated by management using the relief from royalty valuation method. The fair value of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5" w:name="page16"/>
    <w:bookmarkEnd w:id="15"/>
    <w:p>
      <w:pPr>
        <w:ind w:right="120"/>
        <w:spacing w:after="0" w:line="265" w:lineRule="auto"/>
        <w:rPr>
          <w:sz w:val="20"/>
          <w:szCs w:val="20"/>
          <w:color w:val="auto"/>
        </w:rPr>
      </w:pPr>
      <w:r>
        <w:rPr>
          <w:rFonts w:ascii="Times New Roman" w:cs="Times New Roman" w:eastAsia="Times New Roman" w:hAnsi="Times New Roman"/>
          <w:sz w:val="18"/>
          <w:szCs w:val="18"/>
          <w:color w:val="auto"/>
        </w:rPr>
        <w:t>Company's trade name reflected the Company's most recent revenue projections at the time of the analysis, a discount rate of 14.2% and a terminal growth rate of 3%. The Company's trade name fair value measurement is classified as Level 3 in the fair value hierarchy because it involves significant unobservable inputs.</w:t>
      </w:r>
    </w:p>
    <w:p>
      <w:pPr>
        <w:spacing w:after="0" w:line="17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indefinite-lived trade name, other intangible assets or equity and other investments during the thirteen week period ended November 2, 2024. There were no indications of impairment of the Company’s other intangible assets or equity and other investments during the thirty-nine week period ended November 2, 2024. There were no indications of impairment of the Company’s other intangible assets or equity and other investments during the thirteen or thirty-nine week periods ended October 28, 2023. During the thirteen and thirty-nine week periods ended November 2, 2024, the Company recorded fixed asset and right-of-use asset impairment charges of $1.3 million and $8.2 million, respectively. During the thirteen and thirty-nine week periods ended October 28, 2023, the Company recorded fixed asset and right-of-use asset impairment charges of $1.0 million and $2.1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2"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6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238"/>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56"/>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38"/>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76"/>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4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RSAs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4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awards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18"/>
                <w:szCs w:val="18"/>
                <w:color w:val="auto"/>
              </w:rPr>
            </w:pPr>
          </w:p>
        </w:tc>
      </w:tr>
      <w:tr>
        <w:trPr>
          <w:trHeight w:val="249"/>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and the Inducement Awards was as follows (shares and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32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February 3, 2024</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(4,483 )</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8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(5,328 )</w:t>
            </w: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(9,403 )</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November 2, 2024</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Unrecognized compensation expense as of November 2, 2024</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44,288</w:t>
            </w:r>
          </w:p>
        </w:tc>
        <w:tc>
          <w:tcPr>
            <w:tcW w:w="2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11,959</w:t>
            </w: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expense period as of November 2, 2024</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 years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-299085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-281940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market value of the stock on the associated lookback date and (ii) the fair market value of the stock on the last day of the related purchase 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45"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198,145</w:t>
            </w:r>
          </w:p>
        </w:tc>
        <w:tc>
          <w:tcPr>
            <w:tcW w:w="20" w:type="dxa"/>
            <w:vAlign w:val="bottom"/>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(5,202 )</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November 2,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192,943</w:t>
            </w:r>
          </w:p>
        </w:tc>
        <w:tc>
          <w:tcPr>
            <w:tcW w:w="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5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November 2, 2024</w:t>
            </w:r>
          </w:p>
        </w:tc>
        <w:tc>
          <w:tcPr>
            <w:tcW w:w="12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189,564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-470535</wp:posOffset>
            </wp:positionV>
            <wp:extent cx="4272915"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72915" cy="14541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November 2, 2024, unrecognized compensation expense related to the unvested portion of Scooby LP’s Series C Units was $0.6 million, which is expected to be recognized over a weighted average period of 0.6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Per Share</w:t>
      </w:r>
    </w:p>
    <w:p>
      <w:pPr>
        <w:spacing w:after="0" w:line="22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209" w:lineRule="exact"/>
        <w:rPr>
          <w:sz w:val="20"/>
          <w:szCs w:val="20"/>
          <w:color w:val="auto"/>
        </w:rPr>
      </w:pPr>
    </w:p>
    <w:p>
      <w:pPr>
        <w:ind w:right="200" w:firstLine="360"/>
        <w:spacing w:after="0" w:line="251"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thirty-nine weeks ended November 2, 2024 and October 28, 2023, as their effect would be antidilutive in a net loss period</w:t>
      </w:r>
      <w:r>
        <w:rPr>
          <w:rFonts w:ascii="Calibri" w:cs="Calibri" w:eastAsia="Calibri" w:hAnsi="Calibri"/>
          <w:sz w:val="19"/>
          <w:szCs w:val="19"/>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firstLine="613"/>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February 3, 2024 (the “2023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60" w:firstLine="509"/>
        <w:spacing w:after="0" w:line="260"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health and wellness company focused on improving the lives of pets, pet parents, and our own partners. Through our omnichannel ecosystem, we provide our customers with a comprehensive offering of products and services to fulfill their pets’ health and wellness needs through our more than 1,500 pet care centers in the U.S., Mexico, and Puerto Rico, including a network of in-store veterinary hospitals, our digital channel, and our flexible fulfillment options.</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Our e-commerce site and mobile app serve as hubs for pet parents to manage their pets’ health, wellness, and merchandise needs, while enabling them to shop wherever, whenever, and however they want.</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We strive to be a company, that is improving millions of pet lives as well as the lives of pet parents and the partners who work for us. In tandem with Petco Love, a life-changing independent nonprofit organization, we work with and support thousands of local animal welfare groups across the country and, through in-store adoption events, we have helped find homes for nearly </w:t>
      </w:r>
      <w:r>
        <w:rPr>
          <w:rFonts w:ascii="Times New Roman" w:cs="Times New Roman" w:eastAsia="Times New Roman" w:hAnsi="Times New Roman"/>
          <w:sz w:val="18"/>
          <w:szCs w:val="18"/>
          <w:color w:val="002060"/>
        </w:rPr>
        <w:t>7</w:t>
      </w:r>
      <w:r>
        <w:rPr>
          <w:rFonts w:ascii="Times New Roman" w:cs="Times New Roman" w:eastAsia="Times New Roman" w:hAnsi="Times New Roman"/>
          <w:sz w:val="18"/>
          <w:szCs w:val="18"/>
          <w:color w:val="auto"/>
        </w:rPr>
        <w:t xml:space="preserve"> million animals.</w:t>
      </w:r>
    </w:p>
    <w:p>
      <w:pPr>
        <w:spacing w:after="0" w:line="69"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Macroeconomic factors, including rising interest rates, inflationary pressures, supply chain constraints, and global economic and geopolitical developments have had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28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7" w:lineRule="exact"/>
        <w:rPr>
          <w:sz w:val="20"/>
          <w:szCs w:val="20"/>
          <w:color w:val="auto"/>
        </w:rPr>
      </w:pPr>
    </w:p>
    <w:p>
      <w:pPr>
        <w:ind w:right="80" w:firstLine="554"/>
        <w:spacing w:after="0" w:line="260"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Comparing the thirteen weeks ended November 2, 2024 with the thirteen weeks ended October 28, 2023 (unless otherwise noted), our results included the following:</w:t>
      </w:r>
    </w:p>
    <w:p>
      <w:pPr>
        <w:spacing w:after="0" w:line="5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from $1.49 billion to $1.51 billion, representing a period-over-period increase of 1.2%;</w:t>
      </w:r>
    </w:p>
    <w:p>
      <w:pPr>
        <w:spacing w:after="0" w:line="116" w:lineRule="exact"/>
        <w:rPr>
          <w:rFonts w:ascii="Times New Roman" w:cs="Times New Roman" w:eastAsia="Times New Roman" w:hAnsi="Times New Roman"/>
          <w:sz w:val="18"/>
          <w:szCs w:val="18"/>
          <w:color w:val="auto"/>
        </w:rPr>
      </w:pPr>
    </w:p>
    <w:p>
      <w:pPr>
        <w:ind w:left="1020" w:right="62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$4.0 million, compared to an operating loss of $1,232.1 million resulting primarily from goodwill impairment of $1,222.5 million in the prior year period;</w:t>
      </w:r>
    </w:p>
    <w:p>
      <w:pPr>
        <w:spacing w:after="0" w:line="54"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Class A and B-1 common stockholders of $16.7 million, compared to net loss attributable to Class A and B-1 common stockholders of $1,241.1 million impacted by goodwill impairment in the prior year period;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EBITDA from $72.2 million to $81.2 million.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2"/>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32"/>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3,852,997</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236,363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757,658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2,366,472</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467,125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935,680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2,829,190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2,833,321</w:t>
            </w:r>
          </w:p>
        </w:tc>
        <w:tc>
          <w:tcPr>
            <w:tcW w:w="100" w:type="dxa"/>
            <w:vAlign w:val="bottom"/>
          </w:tcPr>
          <w:p>
            <w:pPr>
              <w:spacing w:after="0"/>
              <w:rPr>
                <w:sz w:val="18"/>
                <w:szCs w:val="18"/>
                <w:color w:val="auto"/>
              </w:rPr>
            </w:pPr>
          </w:p>
        </w:tc>
      </w:tr>
      <w:tr>
        <w:trPr>
          <w:trHeight w:val="209"/>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1,747,487</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1,705,443</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(1,232,134 )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(1,180,480 )</w:t>
            </w: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(3,079 )</w:t>
            </w: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111,251</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r>
      <w:tr>
        <w:trPr>
          <w:trHeight w:val="191"/>
        </w:trPr>
        <w:tc>
          <w:tcPr>
            <w:tcW w:w="438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14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3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(22,009 )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(1,267,613 )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(111,521 )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(1,284,845 )</w:t>
            </w: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(17,178 )</w:t>
            </w: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(4,479 )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(3,574 )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(10,032 )</w:t>
            </w:r>
          </w:p>
        </w:tc>
      </w:tr>
      <w:tr>
        <w:trPr>
          <w:trHeight w:val="191"/>
        </w:trPr>
        <w:tc>
          <w:tcPr>
            <w:tcW w:w="438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14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4"/>
        </w:trPr>
        <w:tc>
          <w:tcPr>
            <w:tcW w:w="4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(16,673 )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(87,979 )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r>
      <w:tr>
        <w:trPr>
          <w:trHeight w:val="647"/>
        </w:trPr>
        <w:tc>
          <w:tcPr>
            <w:tcW w:w="438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-3561080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-3561080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-3561080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-3561080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-3004820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-3004820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-3004820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-3004820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-2439670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-2439670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-2439670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-1189355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-1189355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-1189355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9"/>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5"/>
                <w:szCs w:val="15"/>
                <w:color w:val="auto"/>
              </w:rPr>
            </w:pPr>
          </w:p>
        </w:tc>
        <w:tc>
          <w:tcPr>
            <w:tcW w:w="272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080" w:type="dxa"/>
            <w:vAlign w:val="bottom"/>
          </w:tcPr>
          <w:p>
            <w:pPr>
              <w:spacing w:after="0"/>
              <w:rPr>
                <w:sz w:val="10"/>
                <w:szCs w:val="10"/>
                <w:color w:val="auto"/>
              </w:rPr>
            </w:pPr>
          </w:p>
        </w:tc>
        <w:tc>
          <w:tcPr>
            <w:tcW w:w="1840" w:type="dxa"/>
            <w:vAlign w:val="bottom"/>
            <w:tcBorders>
              <w:top w:val="single" w:sz="8" w:color="auto"/>
            </w:tcBorders>
            <w:gridSpan w:val="6"/>
          </w:tcPr>
          <w:p>
            <w:pPr>
              <w:jc w:val="right"/>
              <w:ind w:right="76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120" w:type="dxa"/>
            <w:vAlign w:val="bottom"/>
            <w:tcBorders>
              <w:top w:val="single" w:sz="8" w:color="auto"/>
            </w:tcBorders>
            <w:gridSpan w:val="2"/>
          </w:tcPr>
          <w:p>
            <w:pPr>
              <w:jc w:val="right"/>
              <w:ind w:right="23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jc w:val="right"/>
              <w:ind w:right="60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3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gridSpan w:val="2"/>
          </w:tcPr>
          <w:p>
            <w:pPr>
              <w:spacing w:after="0"/>
              <w:rPr>
                <w:sz w:val="10"/>
                <w:szCs w:val="10"/>
                <w:color w:val="auto"/>
              </w:rPr>
            </w:pPr>
          </w:p>
        </w:tc>
      </w:tr>
      <w:tr>
        <w:trPr>
          <w:trHeight w:val="173"/>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83.6 %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84.1 %</w:t>
            </w: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4"/>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8"/>
                <w:szCs w:val="18"/>
                <w:color w:val="auto"/>
              </w:rPr>
            </w:pPr>
          </w:p>
        </w:tc>
      </w:tr>
      <w:tr>
        <w:trPr>
          <w:trHeight w:val="191"/>
        </w:trPr>
        <w:tc>
          <w:tcPr>
            <w:tcW w:w="508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3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20"/>
                <w:szCs w:val="20"/>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8"/>
                <w:szCs w:val="18"/>
                <w:color w:val="auto"/>
              </w:rPr>
            </w:pPr>
          </w:p>
        </w:tc>
      </w:tr>
      <w:tr>
        <w:trPr>
          <w:trHeight w:val="191"/>
        </w:trPr>
        <w:tc>
          <w:tcPr>
            <w:tcW w:w="508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(83.1 )%</w:t>
            </w:r>
          </w:p>
        </w:tc>
        <w:tc>
          <w:tcPr>
            <w:tcW w:w="160" w:type="dxa"/>
            <w:vAlign w:val="bottom"/>
          </w:tcPr>
          <w:p>
            <w:pPr>
              <w:spacing w:after="0"/>
              <w:rPr>
                <w:sz w:val="20"/>
                <w:szCs w:val="20"/>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391"/>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9"/>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24"/>
                <w:szCs w:val="24"/>
                <w:color w:val="auto"/>
              </w:rPr>
            </w:pPr>
          </w:p>
        </w:tc>
        <w:tc>
          <w:tcPr>
            <w:tcW w:w="27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right"/>
              <w:ind w:right="48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260"/>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320" w:type="dxa"/>
            <w:vAlign w:val="bottom"/>
            <w:gridSpan w:val="2"/>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4"/>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7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gridSpan w:val="2"/>
          </w:tcPr>
          <w:p>
            <w:pPr>
              <w:spacing w:after="0"/>
              <w:rPr>
                <w:sz w:val="10"/>
                <w:szCs w:val="10"/>
                <w:color w:val="auto"/>
              </w:rPr>
            </w:pPr>
          </w:p>
        </w:tc>
      </w:tr>
      <w:tr>
        <w:trPr>
          <w:trHeight w:val="17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change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pet care centers at end of period</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81,236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-3667125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-3667125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-3667125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-3667125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-3110865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-3110865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-3110865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-2545715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-2545715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-2545715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-1295400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-1295400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-1295400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ind w:right="660" w:firstLine="558"/>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Thirteen and Thirty-nine Weeks Ended November 2, 2024 Compared with Thirteen and Thirty-nine Weeks Ended October 28, 2023 </w:t>
      </w:r>
      <w:r>
        <w:rPr>
          <w:rFonts w:ascii="Times New Roman" w:cs="Times New Roman" w:eastAsia="Times New Roman" w:hAnsi="Times New Roman"/>
          <w:sz w:val="18"/>
          <w:szCs w:val="18"/>
          <w:b w:val="1"/>
          <w:bCs w:val="1"/>
          <w:i w:val="1"/>
          <w:iCs w:val="1"/>
          <w:color w:val="auto"/>
        </w:rPr>
        <w:t>Net Sales and Comparable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November 2,</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October 28,</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ind w:right="3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9"/>
                <w:szCs w:val="9"/>
                <w:color w:val="auto"/>
              </w:rPr>
            </w:pPr>
          </w:p>
        </w:tc>
        <w:tc>
          <w:tcPr>
            <w:tcW w:w="880" w:type="dxa"/>
            <w:vAlign w:val="bottom"/>
          </w:tcPr>
          <w:p>
            <w:pPr>
              <w:jc w:val="right"/>
              <w:ind w:right="33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right"/>
              <w:ind w:right="98"/>
              <w:spacing w:after="0" w:line="109" w:lineRule="exact"/>
              <w:rPr>
                <w:sz w:val="20"/>
                <w:szCs w:val="20"/>
                <w:color w:val="auto"/>
              </w:rPr>
            </w:pPr>
            <w:r>
              <w:rPr>
                <w:rFonts w:ascii="Times New Roman" w:cs="Times New Roman" w:eastAsia="Times New Roman" w:hAnsi="Times New Roman"/>
                <w:sz w:val="12"/>
                <w:szCs w:val="12"/>
                <w:b w:val="1"/>
                <w:bCs w:val="1"/>
                <w:color w:val="auto"/>
              </w:rPr>
              <w:t>November 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October 28,</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ind w:right="3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1040" w:type="dxa"/>
            <w:vAlign w:val="bottom"/>
          </w:tcPr>
          <w:p>
            <w:pPr>
              <w:jc w:val="right"/>
              <w:ind w:right="41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Consumables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753,230</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733,277</w:t>
            </w:r>
          </w:p>
        </w:tc>
        <w:tc>
          <w:tcPr>
            <w:tcW w:w="4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19,953</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2.7 %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2,261,970</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2,230,405</w:t>
            </w:r>
          </w:p>
        </w:tc>
        <w:tc>
          <w:tcPr>
            <w:tcW w:w="360" w:type="dxa"/>
            <w:vAlign w:val="bottom"/>
            <w:gridSpan w:val="2"/>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31,565</w:t>
            </w:r>
          </w:p>
        </w:tc>
        <w:tc>
          <w:tcPr>
            <w:tcW w:w="2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Supplies and companion animals</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509,964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524,526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(14,562 )</w:t>
            </w: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(2.8 %)</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1,544,704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1,622,592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(77,888 )</w:t>
            </w:r>
          </w:p>
        </w:tc>
        <w:tc>
          <w:tcPr>
            <w:tcW w:w="1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(4.8 %)</w:t>
            </w:r>
          </w:p>
        </w:tc>
        <w:tc>
          <w:tcPr>
            <w:tcW w:w="0" w:type="dxa"/>
            <w:vAlign w:val="bottom"/>
          </w:tcPr>
          <w:p>
            <w:pPr>
              <w:spacing w:after="0"/>
              <w:rPr>
                <w:sz w:val="1"/>
                <w:szCs w:val="1"/>
                <w:color w:val="auto"/>
              </w:rPr>
            </w:pPr>
          </w:p>
        </w:tc>
      </w:tr>
      <w:tr>
        <w:trPr>
          <w:trHeight w:val="135"/>
        </w:trPr>
        <w:tc>
          <w:tcPr>
            <w:tcW w:w="204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Services and other</w:t>
            </w:r>
          </w:p>
        </w:tc>
        <w:tc>
          <w:tcPr>
            <w:tcW w:w="10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248,243</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236,363</w:t>
            </w:r>
          </w:p>
        </w:tc>
        <w:tc>
          <w:tcPr>
            <w:tcW w:w="2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11,880</w:t>
            </w:r>
          </w:p>
        </w:tc>
        <w:tc>
          <w:tcPr>
            <w:tcW w:w="2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5.0 %</w:t>
            </w: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757,658</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727,811</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29,847</w:t>
            </w:r>
          </w:p>
        </w:tc>
        <w:tc>
          <w:tcPr>
            <w:tcW w:w="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1,511,437</w:t>
            </w:r>
          </w:p>
        </w:tc>
        <w:tc>
          <w:tcPr>
            <w:tcW w:w="2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1,494,166</w:t>
            </w:r>
          </w:p>
        </w:tc>
        <w:tc>
          <w:tcPr>
            <w:tcW w:w="260" w:type="dxa"/>
            <w:vAlign w:val="bottom"/>
          </w:tcPr>
          <w:p>
            <w:pPr>
              <w:spacing w:after="0"/>
              <w:rPr>
                <w:sz w:val="13"/>
                <w:szCs w:val="13"/>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17,271</w:t>
            </w:r>
          </w:p>
        </w:tc>
        <w:tc>
          <w:tcPr>
            <w:tcW w:w="240" w:type="dxa"/>
            <w:vAlign w:val="bottom"/>
          </w:tcPr>
          <w:p>
            <w:pPr>
              <w:spacing w:after="0"/>
              <w:rPr>
                <w:sz w:val="13"/>
                <w:szCs w:val="13"/>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4,564,332</w:t>
            </w:r>
          </w:p>
        </w:tc>
        <w:tc>
          <w:tcPr>
            <w:tcW w:w="2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4,580,808</w:t>
            </w:r>
          </w:p>
        </w:tc>
        <w:tc>
          <w:tcPr>
            <w:tcW w:w="2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(16,476</w:t>
            </w:r>
          </w:p>
        </w:tc>
        <w:tc>
          <w:tcPr>
            <w:tcW w:w="2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-196215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-196215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-196215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-196215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-196215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-196215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sales increased $17.3 million, or 1.2%, to $1.51 billion in the thirteen weeks ended November 2, 2024 compared to net sales of $1.49 billion in the thirteen weeks ended October 28, 2023. Net sales decreased $16.5 million, or 0.4%, to $4.56 billion in the thirty-nine weeks ended November 2, 2024 compared to net sales of $4.58 billion in the thirty-nine weeks ended October 28, 2023. We continue to experience momentum in consumables and services, although we have also experienced a decrease in supplies and companion animals sales driven by softening in discretionary spend associated with the current macroeconomic environment.</w:t>
      </w:r>
    </w:p>
    <w:p>
      <w:pPr>
        <w:spacing w:after="0" w:line="7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comparison of consumables sales between the periods reflects the impact of prior year inflation, coupled with pricing actions taken in the third quarter of fiscal 2023. The decrease in supplies and companion animals sales</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28" w:right="239" w:bottom="1440" w:gutter="0" w:footer="0" w:header="0"/>
        </w:sectPr>
      </w:pPr>
    </w:p>
    <w:bookmarkStart w:id="20" w:name="page21"/>
    <w:bookmarkEnd w:id="20"/>
    <w:p>
      <w:pPr>
        <w:ind w:right="100"/>
        <w:spacing w:after="0" w:line="265" w:lineRule="auto"/>
        <w:rPr>
          <w:sz w:val="20"/>
          <w:szCs w:val="20"/>
          <w:color w:val="auto"/>
        </w:rPr>
      </w:pPr>
      <w:r>
        <w:rPr>
          <w:rFonts w:ascii="Times New Roman" w:cs="Times New Roman" w:eastAsia="Times New Roman" w:hAnsi="Times New Roman"/>
          <w:sz w:val="18"/>
          <w:szCs w:val="18"/>
          <w:color w:val="auto"/>
        </w:rPr>
        <w:t>is primarily due to a decrease in spending on certain non-essential items. The increase in services and other sales was primarily driven by a 8.6% and 9.7% increase in service-related sales during the thirteen and thirty-nine week periods ended November 2, 2024, respectively, reflecting maturity of our veterinary hospital footprint and growth in our veterinary and grooming businesses.</w:t>
      </w:r>
    </w:p>
    <w:p>
      <w:pPr>
        <w:spacing w:after="0" w:line="6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Gross profit increased $25.8 million, or 4.7%, to $575.8 million in the thirteen weeks ended November 2, 2024 compared to gross profit of $550.0 million for the thirteen weeks ended October 28, 2023. As a percentage of sales, our gross profit rate was 38.1% for the thirteen weeks ended November 2, 2024 compared with 36.8% for the thirteen weeks ended October 28, 2023, reflecting improvement in product mix and continued progress on product cost management. Gross profit decreased $12.3 million, or 0.7%, to $1,735.1 million in the thirty-nine weeks ended November 2, 2024 compared to gross profit of $1,747.5 million for the thirty-nine weeks ended October 28, 2023. As a percentage of sales, our gross profit rate was 38.0% for the thirty-nine weeks ended November 2, 2024 compared with 38.1% for the thirty-nine weeks ended October 28, 2023. The decrease in gross profit rate between the thirty-nine week periods was primarily due to the mix impact of higher consumables and services sales and softer supplies and companion animal sales during the thirty-nine weeks ended November 2, 2024. We are unable to quantify the factors impacting gross profit rate described above due to the fact that such factors are based on input measures or qualitative information that do not lend themselves to quantification.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SG&amp;A expenses increased $12.2 million, or 2.2%, to $571.8 million for the thirteen weeks ended November 2, 2024 compared to $559.6 million for the thirteen weeks ended October 28, 2023. As a percentage of net sales, SG&amp;A expenses were 37.8% for the thirteen weeks ended November 2, 2024 compared with 37.5% for the thirteen weeks ended October 28, 2023. The increase in SG&amp;A expenses period-over-period included higher pet care center payroll and fringe benefits and bonuses, which was partially offset by a decrease in stock compensation and advertising expenses.</w:t>
      </w:r>
    </w:p>
    <w:p>
      <w:pPr>
        <w:spacing w:after="0" w:line="74"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SG&amp;A expenses increased $40.0 million, or 2.3%, to $1,745.5 million for the thirty-nine weeks ended November 2, 2024 compared to $1,705.4 million for the thirty-nine weeks ended October 28, 2023. As a percentage of net sales, SG&amp;A expenses were 38.2% for the thirty-nine weeks ended November 2, 2024 compared with 37.2% for the thirty-nine weeks ended October 28, 2023. The increase in SG&amp;A expenses included higher pet care center payroll and fringe benefits, bonuses, and store occupancy costs. This increase was partially offset by a decrease in stock compensation and advertising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 xml:space="preserve">In the thirteen weeks ended October 28, 2023, the Company recorded a pre-tax goodwill impairment charge of $1.22 billion as a result of performing an interim impairment test in the third quarter of fiscal 2023 due to the identification of certain triggering events. For more information on this charge, refer to Note 3,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decreased $0.8 million, or 2.1%, to $35.8 million in the thirteen weeks ended November 2, 2024 compared with $36.6 million in the thirteen weeks ended October 28, 2023. Interest expense decreased $1.9 million, or 1.6%, to $109.4 million in the thirty-nine weeks ended November 2, 2024 compared with $111.3 million in the thirty-nine weeks ended October 28, 2023. The decrease was primarily driven by pre-tax gains recognized in interest expense related to the Company's cash flow hedges during the thirteen and thirty-nine week periods ended November 2, 2024. For more information on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Partial Extinguishment of Debt</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was no loss on debt extinguishment and modification for the thirteen and thirty-nine weeks ended November 2, 2024. Loss on partial extinguishment of debt was $0.2 million and $0.9 million for the thirteen and thirty-nine weeks ended October 28, 2023, respectively. This loss was recognized in conjunction with the $35.0 million, $25.0 million and $15.0 million repayments on the First Lien Term Loan in March 2023, May 2023 and August 2023, respectively. For more information regarding these activities,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w:t>
      </w:r>
    </w:p>
    <w:p>
      <w:pPr>
        <w:spacing w:after="0" w:line="229"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Other non-operating income was $8.5 million and $5.8 million for the thirteen and thirty-nine weeks ended November 2, 2024, respectively, and were related to remeasurements of an equity investment without a readily determinable fair value. Other non-operating income was $0.1 million and 4.7 million for the thirteen and thirty-nine weeks ended October 28, 2023. For more information regarding this activity, refer to Note 6,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effective tax rates were 4.9% and 10.2%, resulting in income tax benefit of $0.9 million and $10.0 million for the thirteen and thirty-nine weeks ended November 2, 2024, respectively, compared to effective tax rates of 1.8% and 1.3%, resulting in income tax benefit of $22.9 million and $17.2 million for the thirteen and thirty-nine weeks ended October 28, 2023, respectively. The change in effective tax rates for the thirteen and thirty-nine weeks ended November 2, 2024 was primarily driven by non-deductible goodwill impaired during the third quarter ending October 28, 2023, in addition to a shortfall in tax deductions resulting from the exercise and vesting of equity-based compensation awards for the periods.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 Reconciliation of Non-GAAP Financial Measures to GAAP Measures” included in the 2023 Form 10-K for more information regarding how we define Adjusted EBITDA.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58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right"/>
              <w:ind w:right="4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2"/>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right"/>
              <w:ind w:right="42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32"/>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gridSpan w:val="2"/>
          </w:tcPr>
          <w:p>
            <w:pPr>
              <w:spacing w:after="0"/>
              <w:rPr>
                <w:sz w:val="10"/>
                <w:szCs w:val="10"/>
                <w:color w:val="auto"/>
              </w:rPr>
            </w:pPr>
          </w:p>
        </w:tc>
      </w:tr>
      <w:tr>
        <w:trPr>
          <w:trHeight w:val="17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82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(16,673 )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(87,979 )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100" w:type="dxa"/>
            <w:vAlign w:val="bottom"/>
          </w:tcPr>
          <w:p>
            <w:pPr>
              <w:spacing w:after="0"/>
              <w:rPr>
                <w:sz w:val="20"/>
                <w:szCs w:val="20"/>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(9,985 )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(17,178 )</w:t>
            </w:r>
          </w:p>
        </w:tc>
        <w:tc>
          <w:tcPr>
            <w:tcW w:w="100" w:type="dxa"/>
            <w:vAlign w:val="bottom"/>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(4,479 )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(3,574 )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(13,557 )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(10,032 )</w:t>
            </w:r>
          </w:p>
        </w:tc>
        <w:tc>
          <w:tcPr>
            <w:tcW w:w="100" w:type="dxa"/>
            <w:vAlign w:val="bottom"/>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4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64,431</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divestiture-related costs (2)</w:t>
            </w:r>
          </w:p>
        </w:tc>
        <w:tc>
          <w:tcPr>
            <w:tcW w:w="14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 (3)</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1,511,437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1,494,166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4,564,332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4,580,808</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margin (4)</w:t>
            </w:r>
          </w:p>
        </w:tc>
        <w:tc>
          <w:tcPr>
            <w:tcW w:w="1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(83.1 )%</w:t>
            </w:r>
          </w:p>
        </w:tc>
        <w:tc>
          <w:tcPr>
            <w:tcW w:w="1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-581660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-581660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-581660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19005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73" w:lineRule="exact"/>
        <w:rPr>
          <w:sz w:val="20"/>
          <w:szCs w:val="20"/>
          <w:color w:val="auto"/>
        </w:rPr>
      </w:pPr>
    </w:p>
    <w:p>
      <w:pPr>
        <w:ind w:left="1020" w:right="240" w:hanging="504"/>
        <w:spacing w:after="0" w:line="235"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0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3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2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3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60,763</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52,933</w:t>
            </w:r>
          </w:p>
        </w:tc>
        <w:tc>
          <w:tcPr>
            <w:tcW w:w="100" w:type="dxa"/>
            <w:vAlign w:val="bottom"/>
          </w:tcPr>
          <w:p>
            <w:pPr>
              <w:spacing w:after="0"/>
              <w:rPr>
                <w:sz w:val="18"/>
                <w:szCs w:val="18"/>
                <w:color w:val="auto"/>
              </w:rPr>
            </w:pPr>
          </w:p>
        </w:tc>
      </w:tr>
      <w:tr>
        <w:trPr>
          <w:trHeight w:val="249"/>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 of 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00" w:type="dxa"/>
            <w:vAlign w:val="bottom"/>
            <w:shd w:val="clear" w:color="auto" w:fill="CFF0FC"/>
          </w:tcPr>
          <w:p>
            <w:pPr>
              <w:spacing w:after="0"/>
              <w:rPr>
                <w:sz w:val="21"/>
                <w:szCs w:val="21"/>
                <w:color w:val="auto"/>
              </w:rPr>
            </w:pPr>
          </w:p>
        </w:tc>
      </w:tr>
      <w:tr>
        <w:trPr>
          <w:trHeight w:val="88"/>
        </w:trPr>
        <w:tc>
          <w:tcPr>
            <w:tcW w:w="3000" w:type="dxa"/>
            <w:vAlign w:val="bottom"/>
            <w:tcBorders>
              <w:top w:val="single" w:sz="8" w:color="CFF0FC"/>
              <w:bottom w:val="single" w:sz="8" w:color="auto"/>
            </w:tcBorders>
          </w:tcPr>
          <w:p>
            <w:pPr>
              <w:spacing w:after="0"/>
              <w:rPr>
                <w:sz w:val="7"/>
                <w:szCs w:val="7"/>
                <w:color w:val="auto"/>
              </w:rPr>
            </w:pPr>
          </w:p>
        </w:tc>
        <w:tc>
          <w:tcPr>
            <w:tcW w:w="278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-393065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-393065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-393065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-393065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-102235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-85090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-102235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-85090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-102235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-85090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020" w:right="20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8" w:lineRule="exact"/>
        <w:rPr>
          <w:rFonts w:ascii="Times New Roman" w:cs="Times New Roman" w:eastAsia="Times New Roman" w:hAnsi="Times New Roman"/>
          <w:sz w:val="14"/>
          <w:szCs w:val="14"/>
          <w:color w:val="auto"/>
        </w:rPr>
      </w:pPr>
    </w:p>
    <w:p>
      <w:pPr>
        <w:ind w:left="1020" w:right="24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8" w:lineRule="exact"/>
        <w:rPr>
          <w:rFonts w:ascii="Times New Roman" w:cs="Times New Roman" w:eastAsia="Times New Roman" w:hAnsi="Times New Roman"/>
          <w:sz w:val="14"/>
          <w:szCs w:val="14"/>
          <w:color w:val="auto"/>
        </w:rPr>
      </w:pPr>
    </w:p>
    <w:p>
      <w:pPr>
        <w:ind w:left="1020" w:right="22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loss attributable to Class A and B-1 common stockholders divided by net sales and Adjusted EBITDA margin as Adjusted EBITDA divided by net sales.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77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8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38"/>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81,680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(91,041 )</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(176,532 )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(9,361 )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(7,836 )</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Our primary sources of liquidity are funds generated by operating activities and available capacity for borrowings on our $581 million secured asset-based revolving credit facility (as amended,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November 2, 2024 was $644.3 million, inclusive of cash and cash equivalents of $116.7 million and $527.6 million of availability on the ABL Revolving Credit Facility.</w:t>
      </w:r>
    </w:p>
    <w:p>
      <w:pPr>
        <w:spacing w:after="0" w:line="6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1308" w:right="339" w:bottom="1440" w:gutter="0" w:footer="0" w:header="0"/>
        </w:sectPr>
      </w:pP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73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Thirty-nine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8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37"/>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60" w:type="dxa"/>
            <w:vAlign w:val="bottom"/>
          </w:tcPr>
          <w:p>
            <w:pPr>
              <w:spacing w:after="0"/>
              <w:rPr>
                <w:sz w:val="10"/>
                <w:szCs w:val="10"/>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407"/>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81,680</w:t>
            </w:r>
          </w:p>
        </w:tc>
        <w:tc>
          <w:tcPr>
            <w:tcW w:w="2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6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(89,506 )</w:t>
            </w: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(156,149 )</w:t>
            </w:r>
          </w:p>
        </w:tc>
      </w:tr>
      <w:tr>
        <w:trPr>
          <w:trHeight w:val="234"/>
        </w:trPr>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(7,802 )</w:t>
            </w:r>
          </w:p>
        </w:tc>
        <w:tc>
          <w:tcPr>
            <w:tcW w:w="2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(84,040 )</w:t>
            </w:r>
          </w:p>
        </w:tc>
      </w:tr>
      <w:tr>
        <w:trPr>
          <w:trHeight w:val="20"/>
        </w:trPr>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(15,628 )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(71,493 )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3" w:lineRule="exact"/>
        <w:rPr>
          <w:sz w:val="20"/>
          <w:szCs w:val="20"/>
          <w:color w:val="auto"/>
        </w:rPr>
      </w:pPr>
    </w:p>
    <w:p>
      <w:pPr>
        <w:sectPr>
          <w:pgSz w:w="11900" w:h="16838" w:orient="portrait"/>
          <w:cols w:equalWidth="0" w:num="2">
            <w:col w:w="7020" w:space="720"/>
            <w:col w:w="3500"/>
          </w:cols>
          <w:pgMar w:left="320" w:top="1308" w:right="339" w:bottom="1440" w:gutter="0" w:footer="0" w:header="0"/>
          <w:type w:val="continuous"/>
        </w:sect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19" w:lineRule="exact"/>
        <w:rPr>
          <w:sz w:val="20"/>
          <w:szCs w:val="20"/>
          <w:color w:val="auto"/>
        </w:rPr>
      </w:pPr>
    </w:p>
    <w:p>
      <w:pPr>
        <w:jc w:val="both"/>
        <w:ind w:right="220" w:firstLine="469"/>
        <w:spacing w:after="0" w:line="265" w:lineRule="auto"/>
        <w:rPr>
          <w:sz w:val="20"/>
          <w:szCs w:val="20"/>
          <w:color w:val="auto"/>
        </w:rPr>
      </w:pPr>
      <w:r>
        <w:rPr>
          <w:rFonts w:ascii="Times New Roman" w:cs="Times New Roman" w:eastAsia="Times New Roman" w:hAnsi="Times New Roman"/>
          <w:sz w:val="18"/>
          <w:szCs w:val="18"/>
          <w:color w:val="auto"/>
        </w:rPr>
        <w:t>Net cash provided by operating activities was $81.7 million in the thirty-nine weeks ended November 2, 2024 compared with net cash provided by operating activities of $168.7 million in the thirty-nine weeks ended October 28, 2023. The decrease in operating cash flow was driven by an increase in cash paid for inventory, which was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partially offset by decreases in cash paid for advertising, freight, and operating leases as well as other timing differences in accounts payable.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1" w:lineRule="exact"/>
        <w:rPr>
          <w:sz w:val="20"/>
          <w:szCs w:val="20"/>
          <w:color w:val="auto"/>
        </w:rPr>
      </w:pPr>
    </w:p>
    <w:p>
      <w:pPr>
        <w:ind w:right="100" w:firstLine="469"/>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$89.5 million and $156.1 million for the thirty-nine weeks ended November 2, 2024 and October 28, 2023, respectively. This decrease was primarily driven by reductions in capital spend, reflecting fewer anticipated hospital build-outs and a balanced approach between focused investments and cash flow.</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was $7.8 million for the thirty-nine weeks ended November 2, 2024, compared with $84.0 million used in financing activities in the thirty-nine weeks ended October 28, 2023.</w:t>
      </w:r>
    </w:p>
    <w:p>
      <w:pPr>
        <w:spacing w:after="0" w:line="163"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Financing cash flows in the thirty-nine weeks ended November 2, 2024 primarily consisted of borrowings and repayments on the ABL Revolving Credit Facility.</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Financing cash flows in the thirty-nine weeks ended October 28, 2023 primarily consisted of $75.0 million in principal repayments on the term loan.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entering into a $1,700 million secured term loan facility maturing on March 4, 2028 (the “First Lien Term Loan”) and the ABL Revolving Credit Facility, maturing on March 4, 2026 with availability of up to $500.0 million, subject to a borrowing base.</w:t>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 During the thirty-nine weeks ended October 28, 2023, the Company repaid $75.0 million in principal of the First Lien Term Loan using existing cash on hand. The repayments were applied to remaining principal payments in order of scheduled payment date.</w:t>
      </w:r>
    </w:p>
    <w:p>
      <w:pPr>
        <w:spacing w:after="0" w:line="184" w:lineRule="exact"/>
        <w:rPr>
          <w:sz w:val="20"/>
          <w:szCs w:val="20"/>
          <w:color w:val="auto"/>
        </w:rPr>
      </w:pPr>
    </w:p>
    <w:p>
      <w:pPr>
        <w:ind w:right="580" w:firstLine="509"/>
        <w:spacing w:after="0" w:line="283"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 Company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Intangible Assets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share price and market capitalization compared to net book value.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trade name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Factors that may trigger an interim impairment test may include, but are not limited to, a significant decline in the Company's share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7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2023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6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interest rate risk in connection with the First Lien Term Loan and the ABL Revolving Credit Facility. As of November 2, 2024,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November 2, 2024 would have increased annual cash interest in the aggregate by approximately $16.2 million. Additionally, we entered into cash flow hedges to limit the maximum interest rate on a portion of our variable-rate debt and limit our exposure to interest rate variability,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18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As of November 2, 2024,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320" w:firstLine="469"/>
        <w:spacing w:after="0" w:line="26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2" w:lineRule="exact"/>
        <w:rPr>
          <w:sz w:val="20"/>
          <w:szCs w:val="20"/>
          <w:color w:val="auto"/>
        </w:rPr>
      </w:pPr>
    </w:p>
    <w:p>
      <w:pPr>
        <w:jc w:val="both"/>
        <w:ind w:right="140" w:firstLine="469"/>
        <w:spacing w:after="0" w:line="265"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7" w:name="page28"/>
    <w:bookmarkEnd w:id="27"/>
    <w:p>
      <w:pPr>
        <w:ind w:right="740"/>
        <w:spacing w:after="0" w:line="281" w:lineRule="auto"/>
        <w:rPr>
          <w:sz w:val="20"/>
          <w:szCs w:val="20"/>
          <w:color w:val="auto"/>
        </w:rPr>
      </w:pPr>
      <w:r>
        <w:rPr>
          <w:rFonts w:ascii="Times New Roman" w:cs="Times New Roman" w:eastAsia="Times New Roman" w:hAnsi="Times New Roman"/>
          <w:sz w:val="18"/>
          <w:szCs w:val="18"/>
          <w:color w:val="auto"/>
        </w:rPr>
        <w:t>evaluation, our principal executive officer and principal financial officer concluded that our disclosure controls and procedures were effective at a reasonable assurance level as of November 2,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469"/>
        <w:spacing w:after="0" w:line="28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November 2, 2024 which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55"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562"/>
        <w:spacing w:after="0" w:line="283"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Reference is made to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2023 Form 10-K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Quarterly Report on Form 10-Q for the quarter ended May 4, 2024 (the “Q1 Form 10-Q”) for information concerning risk factors. Except as set forth in the Q1 Form 10-Q, there have been no material changes with respect to the risk factors disclosed in the 2023 Form 10-K. You should carefully consider such factors, which could materially and adversely affect our business, financial condition and/or results of operations. The risks described in the Q1 Form 10-Q and the 2023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10-Q:</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3"/>
                <w:szCs w:val="13"/>
                <w:color w:val="auto"/>
              </w:rPr>
            </w:pPr>
          </w:p>
        </w:tc>
        <w:tc>
          <w:tcPr>
            <w:tcW w:w="9140" w:type="dxa"/>
            <w:vAlign w:val="bottom"/>
            <w:gridSpan w:val="4"/>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6"/>
                <w:szCs w:val="16"/>
                <w:color w:val="auto"/>
              </w:rPr>
            </w:pPr>
          </w:p>
        </w:tc>
        <w:tc>
          <w:tcPr>
            <w:tcW w:w="9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shd w:val="clear" w:color="auto" w:fill="0000FF"/>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90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9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00" w:hanging="989"/>
        <w:spacing w:after="0"/>
        <w:tabs>
          <w:tab w:leader="none" w:pos="1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86" w:lineRule="exact"/>
        <w:rPr>
          <w:rFonts w:ascii="Times New Roman" w:cs="Times New Roman" w:eastAsia="Times New Roman" w:hAnsi="Times New Roman"/>
          <w:sz w:val="18"/>
          <w:szCs w:val="18"/>
          <w:color w:val="auto"/>
        </w:rPr>
      </w:pPr>
    </w:p>
    <w:p>
      <w:pPr>
        <w:ind w:left="620" w:right="40" w:hanging="607"/>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19005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8" w:right="4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2024</w:t>
            </w:r>
          </w:p>
        </w:tc>
        <w:tc>
          <w:tcPr>
            <w:tcW w:w="22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LaRose</w:t>
            </w:r>
          </w:p>
        </w:tc>
      </w:tr>
      <w:tr>
        <w:trPr>
          <w:trHeight w:val="191"/>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Brian LaRose</w:t>
            </w: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Anderson,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700" w:val="left"/>
          <w:tab w:leader="none" w:pos="804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17145</wp:posOffset>
            </wp:positionV>
            <wp:extent cx="32365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2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460" w:val="left"/>
          <w:tab w:leader="none" w:pos="802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November 2, 2024,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700" w:val="left"/>
          <w:tab w:leader="none" w:pos="800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November 2, 2024,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700" w:val="left"/>
          <w:tab w:leader="none" w:pos="802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lvl w:ilvl="1">
      <w:lvlJc w:val="left"/>
      <w:lvlText w:val="%2"/>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2024-12-06T15:18:12Z</dcterms:created>
  <dcterms:modified xsi:type="dcterms:W3CDTF">2024-12-06T15:18:12Z</dcterms:modified>
</cp:coreProperties>
</file>