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woof-20260801.htm"/>
      <w:bookmarkStart w:id="1" w:name="kswoof2026080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August 1,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001-39878</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Petco Health and Wellness Company,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81-1005932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10850 Via Frontera</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92127</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(858) 453-7845</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 xml:space="preserve">Securities registered pursuant to Section 12(b) of the Act: </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Class A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WOOF</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xml:space="preserve">Indicate by check mark whether the registrant is a shell company (as defined in Rule 12b-2 of the Exchange Act). Yes ☐ No ☒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number of shares of the registrant’s Class A Common Stock outstanding as of September 2, 2026 was 248,628,576.</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number of shares of the registrant’s Class B-1 Common Stock outstanding as of September 2, 2026 was 37,790,781.</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number of shares of the registrant’s Class B-2 Common Stock outstanding as of September 2, 2026 was 37,790,781.</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mprehensive_lo">
              <w:r>
                <w:rPr>
                  <w:rStyle w:val="InternetLink"/>
                  <w:rFonts w:ascii="Times New Roman" w:hAnsi="Times New Roman"/>
                  <w:color w:val="0000FF"/>
                  <w:sz w:val="20"/>
                  <w:u w:val="single"/>
                </w:rPr>
                <w:t>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members_equity">
              <w:r>
                <w:rPr>
                  <w:rStyle w:val="InternetLink"/>
                  <w:rFonts w:ascii="Times New Roman" w:hAnsi="Times New Roman"/>
                  <w:color w:val="0000FF"/>
                  <w:sz w:val="20"/>
                  <w:u w:val="single"/>
                </w:rPr>
                <w:t>Consolidated Statements of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Unaudited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Forward-Looking Statements</w:t>
      </w:r>
    </w:p>
    <w:p>
      <w:pPr>
        <w:pStyle w:val="TextBody"/>
        <w:bidi w:val="0"/>
        <w:jc w:val="left"/>
        <w:rPr/>
      </w:pPr>
      <w:r>
        <w:rPr/>
        <w:t> </w:t>
      </w:r>
    </w:p>
    <w:p>
      <w:pPr>
        <w:pStyle w:val="TextBody"/>
        <w:bidi w:val="0"/>
        <w:spacing w:before="56" w:after="120"/>
        <w:jc w:val="left"/>
        <w:rPr>
          <w:rFonts w:ascii="Times New Roman" w:hAnsi="Times New Roman"/>
          <w:color w:val="000000"/>
          <w:sz w:val="20"/>
        </w:rPr>
      </w:pPr>
      <w:r>
        <w:rPr>
          <w:rFonts w:ascii="Times New Roman" w:hAnsi="Times New Roman"/>
          <w:color w:val="000000"/>
          <w:sz w:val="20"/>
        </w:rPr>
        <w:t>This Quarterly Report on Form 10-Q (this “Form 10-Q”)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but not limited to,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tariffs, inflationary and interest rate pressures, consumer spending patterns, global supply chain constraints, and global economic and geopolitical developments, on our business. Forward-looking and other statements in this Form 10-Q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Such forward-looking statements can generally be identified by the use of forward-looking terms such as “believes,” “expects,” “may,” “intends,” “will,” “shall,” “should,” “anticipates,” “opportunity,” “illustrative”, “estimates,” “projects,” “forecasts”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Form 10-Q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Form 10-Q as well as the following: (i) increased competition (including from multi-channel retailers, mass and grocery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prevailing interest rates, and the impact of tariffs and tariff refunds; (vii) failure to effectively manage our costs; (viii) our reliance on our information technology systems; (ix) 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conflicts in Ukraine and the Middle East), government shutdowns,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(xx) impairments of the carrying value of our goodwill and other intangible assets; (xxi) our ability to successfully implement our operational adjustments, achieve the expected benefits of our cost action plans, and drive improved profitability; (xxii) our ability to deliver sustainable, profitable growth; and (xxiii) the other risks, uncertainties and other factors referred to under “Risk Factors” and identified elsewhere in this Form 10-Q and our other filings with the SEC. The occurrence of any such factors could significantly alter the results set forth in these statements.</w:t>
      </w:r>
    </w:p>
    <w:p>
      <w:pPr>
        <w:pStyle w:val="TextBody"/>
        <w:bidi w:val="0"/>
        <w:spacing w:before="60" w:after="120"/>
        <w:jc w:val="left"/>
        <w:rPr>
          <w:rFonts w:ascii="Times New Roman" w:hAnsi="Times New Roman"/>
          <w:color w:val="000000"/>
          <w:sz w:val="20"/>
        </w:rPr>
      </w:pPr>
      <w:r>
        <w:rPr>
          <w:rFonts w:ascii="Times New Roman" w:hAnsi="Times New Roman"/>
          <w:color w:val="000000"/>
          <w:sz w:val="20"/>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statements such as “we believe” and similar statements reflect our beliefs and opinions on the relevant subject. These statements are based on information available to us as of the date of this Form 10-Q. While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56" w:after="120"/>
        <w:jc w:val="left"/>
        <w:rPr>
          <w:rFonts w:ascii="Times New Roman" w:hAnsi="Times New Roman"/>
          <w:color w:val="000000"/>
          <w:sz w:val="20"/>
        </w:rPr>
      </w:pPr>
      <w:r>
        <w:rPr>
          <w:rFonts w:ascii="Times New Roman" w:hAnsi="Times New Roman"/>
          <w:color w:val="000000"/>
          <w:sz w:val="20"/>
        </w:rPr>
        <w:t>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PETCO HEALTH AND WELLNESS COMPANY,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4" w:name="consolidated_balance_sheets"/>
      <w:bookmarkEnd w:id="4"/>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9194" w:type="dxa"/>
        <w:jc w:val="left"/>
        <w:tblInd w:w="0" w:type="dxa"/>
        <w:tblLayout w:type="fixed"/>
        <w:tblCellMar>
          <w:top w:w="28" w:type="dxa"/>
          <w:left w:w="28" w:type="dxa"/>
          <w:bottom w:w="28" w:type="dxa"/>
          <w:right w:w="28" w:type="dxa"/>
        </w:tblCellMar>
      </w:tblPr>
      <w:tblGrid>
        <w:gridCol w:w="5961"/>
        <w:gridCol w:w="146"/>
        <w:gridCol w:w="196"/>
        <w:gridCol w:w="886"/>
        <w:gridCol w:w="166"/>
        <w:gridCol w:w="146"/>
        <w:gridCol w:w="196"/>
        <w:gridCol w:w="886"/>
        <w:gridCol w:w="611"/>
      </w:tblGrid>
      <w:tr>
        <w:trPr/>
        <w:tc>
          <w:tcPr>
            <w:tcW w:w="5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January 31,</w:t>
              <w:br/>
              <w:t>2026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256,736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Receivables, less allowance for credit losses ($801 and $779,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Merchandise 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590,210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1,019,786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2,433,782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2,378,208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(1,722,060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Fixed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656,148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1,288,593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980,064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203,834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5,166,650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5,173,425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book overdrafts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450,552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salaries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204,751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320,082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long-term debt and other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1,134,141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 credit facilities, net, excluding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1,488,527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notes,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 excluding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1,047,185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234,911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3,959,723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4,009,171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(Notes 3 and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Class A common stock, $0.001 par value: Authorized - 1.0 billion shares;</w:t>
              <w:br/>
              <w:t>    Issued and outstanding - 248.2 million and 243.7 million 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Class B-1 common stock, $0.001 par value: Authorized - 75.0 million shares;</w:t>
              <w:br/>
              <w:t>    Issued and outstanding - 37.8 million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Class B-2 common stock, $0.000001 par value: Authorized - 75.0 million shares;</w:t>
              <w:br/>
              <w:t>    Issued and outstanding - 37.8 million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Preferred stock, $0.001 par value: Authorized - 25.0 million shares;</w:t>
              <w:br/>
              <w:t>    Issued and outstanding - 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2,328,170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2,312,354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(1,139,993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1,164,254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5,166,650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5,173,425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spacing w:before="120" w:after="283"/>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 (Unaudited)</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44"/>
        <w:gridCol w:w="146"/>
        <w:gridCol w:w="211"/>
        <w:gridCol w:w="931"/>
        <w:gridCol w:w="166"/>
        <w:gridCol w:w="146"/>
        <w:gridCol w:w="211"/>
        <w:gridCol w:w="931"/>
        <w:gridCol w:w="166"/>
        <w:gridCol w:w="146"/>
        <w:gridCol w:w="211"/>
        <w:gridCol w:w="931"/>
        <w:gridCol w:w="166"/>
        <w:gridCol w:w="146"/>
        <w:gridCol w:w="211"/>
        <w:gridCol w:w="931"/>
        <w:gridCol w:w="611"/>
      </w:tblGrid>
      <w:tr>
        <w:trPr/>
        <w:tc>
          <w:tcPr>
            <w:tcW w:w="3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2,467,496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2,981,928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1,513,428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1,826,641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1,155,287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59,381</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Income (loss) before income taxes and income </w:t>
              <w:br/>
              <w:t>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Net income attributable to Class A and B-1 </w:t>
              <w:br/>
              <w:t>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Class A and B-1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w:t>
              <w:br/>
              <w:t>    income per Class A and B-1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284,350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spacing w:before="120" w:after="283"/>
        <w:jc w:val="center"/>
        <w:rPr>
          <w:rFonts w:ascii="Times New Roman" w:hAnsi="Times New Roman"/>
          <w:sz w:val="20"/>
        </w:rPr>
      </w:pPr>
      <w:bookmarkStart w:id="6" w:name="consolidated_statements_comprehensive_lo"/>
      <w:bookmarkEnd w:id="6"/>
      <w:r>
        <w:rPr>
          <w:rFonts w:ascii="Times New Roman" w:hAnsi="Times New Roman"/>
          <w:b/>
          <w:color w:val="000000"/>
          <w:sz w:val="20"/>
        </w:rPr>
        <w:t>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jc w:val="left"/>
        <w:rPr/>
      </w:pPr>
      <w:r>
        <w:rPr/>
        <w:t> </w:t>
      </w:r>
    </w:p>
    <w:tbl>
      <w:tblPr>
        <w:tblW w:w="9287" w:type="dxa"/>
        <w:jc w:val="left"/>
        <w:tblInd w:w="0" w:type="dxa"/>
        <w:tblLayout w:type="fixed"/>
        <w:tblCellMar>
          <w:top w:w="28" w:type="dxa"/>
          <w:left w:w="28" w:type="dxa"/>
          <w:bottom w:w="28" w:type="dxa"/>
          <w:right w:w="28" w:type="dxa"/>
        </w:tblCellMar>
      </w:tblPr>
      <w:tblGrid>
        <w:gridCol w:w="4291"/>
        <w:gridCol w:w="146"/>
        <w:gridCol w:w="211"/>
        <w:gridCol w:w="676"/>
        <w:gridCol w:w="166"/>
        <w:gridCol w:w="146"/>
        <w:gridCol w:w="211"/>
        <w:gridCol w:w="676"/>
        <w:gridCol w:w="166"/>
        <w:gridCol w:w="146"/>
        <w:gridCol w:w="211"/>
        <w:gridCol w:w="676"/>
        <w:gridCol w:w="166"/>
        <w:gridCol w:w="146"/>
        <w:gridCol w:w="211"/>
        <w:gridCol w:w="631"/>
        <w:gridCol w:w="41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Class A and B-1</w:t>
              <w:br/>
              <w:t>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Gains on derivatives reclassified 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Comprehensive income attributable to Class A and </w:t>
              <w:br/>
              <w:t>   B-1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spacing w:before="120" w:after="283"/>
        <w:jc w:val="center"/>
        <w:rPr>
          <w:rFonts w:ascii="Times New Roman" w:hAnsi="Times New Roman"/>
          <w:b/>
          <w:color w:val="000000"/>
          <w:sz w:val="20"/>
        </w:rPr>
      </w:pPr>
      <w:bookmarkStart w:id="7" w:name="consolidated_statements_members_equity"/>
      <w:bookmarkEnd w:id="7"/>
      <w:r>
        <w:rPr>
          <w:rFonts w:ascii="Times New Roman" w:hAnsi="Times New Roman"/>
          <w:b/>
          <w:color w:val="000000"/>
          <w:sz w:val="20"/>
        </w:rPr>
        <w:t>CONSOLIDATED 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77"/>
        <w:gridCol w:w="146"/>
        <w:gridCol w:w="146"/>
        <w:gridCol w:w="496"/>
        <w:gridCol w:w="146"/>
        <w:gridCol w:w="146"/>
        <w:gridCol w:w="146"/>
        <w:gridCol w:w="436"/>
        <w:gridCol w:w="146"/>
        <w:gridCol w:w="146"/>
        <w:gridCol w:w="146"/>
        <w:gridCol w:w="436"/>
        <w:gridCol w:w="146"/>
        <w:gridCol w:w="146"/>
        <w:gridCol w:w="166"/>
        <w:gridCol w:w="346"/>
        <w:gridCol w:w="146"/>
        <w:gridCol w:w="146"/>
        <w:gridCol w:w="286"/>
        <w:gridCol w:w="1011"/>
        <w:gridCol w:w="146"/>
        <w:gridCol w:w="146"/>
        <w:gridCol w:w="166"/>
        <w:gridCol w:w="616"/>
        <w:gridCol w:w="146"/>
        <w:gridCol w:w="146"/>
        <w:gridCol w:w="231"/>
        <w:gridCol w:w="565"/>
        <w:gridCol w:w="146"/>
        <w:gridCol w:w="146"/>
        <w:gridCol w:w="166"/>
        <w:gridCol w:w="586"/>
        <w:gridCol w:w="193"/>
      </w:tblGrid>
      <w:tr>
        <w:trPr/>
        <w:tc>
          <w:tcPr>
            <w:tcW w:w="1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Class </w:t>
              <w:br/>
              <w:t xml:space="preserve">A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Class </w:t>
              <w:br/>
              <w:t xml:space="preserve">B-1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Class </w:t>
              <w:br/>
              <w:t xml:space="preserve">B-2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Accumulated</w:t>
              <w:b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Accumulated</w:t>
              <w:br/>
              <w:t>other</w:t>
              <w:br/>
              <w:t>comprehensive</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Total</w:t>
              <w:br/>
              <w:t>stockholders’</w:t>
              <w:br/>
              <w:t>equity</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Balance at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243,719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2,312,354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(1,139,993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1,164,254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Equity-based compensation expense </w:t>
              <w:br/>
              <w:t>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9,451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(15,146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(15,146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Foreign currency translation </w:t>
              <w:br/>
              <w:t>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(1,118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Unrealized gain on derivatives (Note 5),</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752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Losses on derivatives reclassified to</w:t>
              <w:br/>
              <w:t>   income (Note 5),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Issuance of common stock, </w:t>
              <w:br/>
              <w:t>   net of tax withholdings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3,634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(2,928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(2,925</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Balance at May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247,353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2,318,877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(1,155,139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1,155,305</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Equity-based compensation expense </w:t>
              <w:br/>
              <w:t>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8,599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38,660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38,660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Foreign currency translation </w:t>
              <w:br/>
              <w:t>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3,538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Unrealized gain on derivatives (Note 5),</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186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Gains on derivatives reclassified to</w:t>
              <w:br/>
              <w:t>   income (Note 5),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Issuance of common stock, </w:t>
              <w:br/>
              <w:t>   net of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695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Balance at 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248,249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2,328,170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(1,116,479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1,206,927</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3"/>
        <w:gridCol w:w="146"/>
        <w:gridCol w:w="146"/>
        <w:gridCol w:w="496"/>
        <w:gridCol w:w="146"/>
        <w:gridCol w:w="146"/>
        <w:gridCol w:w="146"/>
        <w:gridCol w:w="436"/>
        <w:gridCol w:w="146"/>
        <w:gridCol w:w="146"/>
        <w:gridCol w:w="146"/>
        <w:gridCol w:w="436"/>
        <w:gridCol w:w="146"/>
        <w:gridCol w:w="146"/>
        <w:gridCol w:w="166"/>
        <w:gridCol w:w="346"/>
        <w:gridCol w:w="146"/>
        <w:gridCol w:w="146"/>
        <w:gridCol w:w="273"/>
        <w:gridCol w:w="965"/>
        <w:gridCol w:w="146"/>
        <w:gridCol w:w="146"/>
        <w:gridCol w:w="166"/>
        <w:gridCol w:w="616"/>
        <w:gridCol w:w="146"/>
        <w:gridCol w:w="146"/>
        <w:gridCol w:w="257"/>
        <w:gridCol w:w="722"/>
        <w:gridCol w:w="146"/>
        <w:gridCol w:w="146"/>
        <w:gridCol w:w="166"/>
        <w:gridCol w:w="586"/>
        <w:gridCol w:w="193"/>
      </w:tblGrid>
      <w:tr>
        <w:trPr/>
        <w:tc>
          <w:tcPr>
            <w:tcW w:w="1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Class </w:t>
              <w:br/>
              <w:t xml:space="preserve">A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Class </w:t>
              <w:br/>
              <w:t xml:space="preserve">B-1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Class </w:t>
              <w:br/>
              <w:t xml:space="preserve">B-2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Accumulated</w:t>
              <w:b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Accumulated</w:t>
              <w:br/>
              <w:t>other</w:t>
              <w:br/>
              <w:t>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Total</w:t>
              <w:br/>
              <w:t>stockholders’</w:t>
              <w:br/>
              <w:t>equity</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Balance at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239,066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2,280,495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(1,149,059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(18,083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1,113,630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Equity-based compensation expense </w:t>
              <w:br/>
              <w:t>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9,445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(11,661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Foreign currency translation </w:t>
              <w:br/>
              <w:t>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Unrealized loss on derivatives (Note 5),</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(2,267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Gains on derivatives reclassified to</w:t>
              <w:br/>
              <w:t>   income (Note 5),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(159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Issuance of common stock, </w:t>
              <w:br/>
              <w:t>   net of tax withholdings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1,765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(1,692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(1,690</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Balance at May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240,831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2,288,248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(1,160,720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(20,477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1,107,330</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Equity-based compensation expense </w:t>
              <w:br/>
              <w:t>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8,807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13,972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13,972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Foreign currency translation </w:t>
              <w:br/>
              <w:t>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7,637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7,637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Unrealized gain on derivatives (Note 5),</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861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Gains on derivatives reclassified to</w:t>
              <w:br/>
              <w:t>   income (Note 5),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(152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Issuance of common stock, </w:t>
              <w:br/>
              <w:t>   net of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648</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Balance at August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242,064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2,297,702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(1,146,748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(12,131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1,139,103</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spacing w:before="120" w:after="283"/>
        <w:jc w:val="center"/>
        <w:rPr>
          <w:rFonts w:ascii="Times New Roman" w:hAnsi="Times New Roman"/>
          <w:sz w:val="20"/>
        </w:rPr>
      </w:pPr>
      <w:bookmarkStart w:id="8" w:name="consolidated_statements_cash_flows"/>
      <w:bookmarkEnd w:id="8"/>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jc w:val="left"/>
        <w:rPr/>
      </w:pPr>
      <w:r>
        <w:rPr/>
        <w:t> </w:t>
      </w:r>
    </w:p>
    <w:tbl>
      <w:tblPr>
        <w:tblW w:w="7839" w:type="dxa"/>
        <w:jc w:val="left"/>
        <w:tblInd w:w="0" w:type="dxa"/>
        <w:tblLayout w:type="fixed"/>
        <w:tblCellMar>
          <w:top w:w="28" w:type="dxa"/>
          <w:left w:w="28" w:type="dxa"/>
          <w:bottom w:w="28" w:type="dxa"/>
          <w:right w:w="28" w:type="dxa"/>
        </w:tblCellMar>
      </w:tblPr>
      <w:tblGrid>
        <w:gridCol w:w="4626"/>
        <w:gridCol w:w="146"/>
        <w:gridCol w:w="181"/>
        <w:gridCol w:w="766"/>
        <w:gridCol w:w="151"/>
        <w:gridCol w:w="146"/>
        <w:gridCol w:w="181"/>
        <w:gridCol w:w="646"/>
        <w:gridCol w:w="996"/>
      </w:tblGrid>
      <w:tr>
        <w:trPr/>
        <w:tc>
          <w:tcPr>
            <w:tcW w:w="4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Twenty-six weeks ended</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August 1,</w:t>
              <w:b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August 2,</w:t>
              <w:br/>
              <w:t>2025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Adjustments to reconcile net income to net cash provided by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99,440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99,171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Amortization of debt discounts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Provision for 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1,113</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18,209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Loss on extinguishment and modification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Income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(8,694</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Amounts reclassified out of 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(413</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Non-cash 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206,243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205,005</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5,783</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Merchandise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44,823</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(9,487</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Accounts payable and book overdrafts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(69,691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Accrued salaries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(26,729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14,508</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(209,279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(206,414</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(1,556</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130,584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70,438</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paid for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(69,788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(60,516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Insurance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2,425</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received from partial surrender of officers' life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(69,292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(58,091</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Borrowings under long-term debt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Repayments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(1,502,250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Debt refinancing costs and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for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employee stock purchase plan and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1,998</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Tax withholdings on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(36,202</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(4,280</w:t>
            </w:r>
          </w:p>
        </w:tc>
        <w:tc>
          <w:tcPr>
            <w:tcW w:w="9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8,067</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269,412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181,665</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294,502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189,732</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Supplemental cash flow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Interest paid,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62,441</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Supplemental non-cash investing and financing activities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 and accrued expenses for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13,415</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spacing w:before="120" w:after="283"/>
        <w:jc w:val="center"/>
        <w:rPr>
          <w:rFonts w:ascii="Times New Roman" w:hAnsi="Times New Roman"/>
          <w:sz w:val="20"/>
        </w:rPr>
      </w:pPr>
      <w:bookmarkStart w:id="9" w:name="notes_to_consolidated_financial_statemen"/>
      <w:bookmarkEnd w:id="9"/>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sz w:val="20"/>
        </w:rPr>
      </w:pPr>
      <w:r>
        <w:rPr>
          <w:rFonts w:ascii="Times New Roman" w:hAnsi="Times New Roman"/>
          <w:b/>
          <w:color w:val="000000"/>
          <w:sz w:val="20"/>
        </w:rPr>
        <w:t>1.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Petco Health and Wellness Company, Inc. (together with its consolidated subsidiaries, the “Company”) is a leading pet specialty retailer focused on improving the lives of pets, pet parents, and its own partners. The Company manages its business as one reportable operating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opinion of management, the accompanying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no significant changes from the significant accounting policies disclosed in Note 1 of the Notes to Consolidated Financial Statements included in the Company’s Annual Report on Form 10-K for the fiscal year ended January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in accordance with GAAP for interim financial information and the instructions to Form 10-Q and Article 10 of Regulation S-X. Accordingly, they do not include all of the information and footnotes required by GAAP for complete financial statements. Interim financial results are not necessarily indicative of results anticipated for the full year. The accompanying consolidated financial statements and these Notes to Consolidated Financial Statements should be read in conjunction with the audited consolidated financial statements and Notes to Consolidated Financial Statements included in the Company’s Annual Report on Form 10-K for the fiscal year ended January 31, 2026, from which the prior year balance sheet information herein was derived.</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these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interest rate collar and interest rate swap agreements to limit the maximum interest on a portion of the Company’s variable-rate debt and decrease its exposure to interest rate variability relating to three-month Term SOFR. The interest rate collars and swap are accounted for as cash flow hedges, and changes in the fair value are reported as a component of accumulated other comprehensive income (loss) ("AOCI").</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a reconciliation of cash, cash equivalents and restricted cash reported in the consolidated balance sheets to the total amounts reported in the consolidated statements of cash flows (in thousands): </w:t>
      </w:r>
    </w:p>
    <w:p>
      <w:pPr>
        <w:pStyle w:val="TextBody"/>
        <w:bidi w:val="0"/>
        <w:jc w:val="left"/>
        <w:rPr/>
      </w:pPr>
      <w:r>
        <w:rPr/>
        <w:t> </w:t>
      </w:r>
    </w:p>
    <w:tbl>
      <w:tblPr>
        <w:tblW w:w="6769" w:type="dxa"/>
        <w:jc w:val="left"/>
        <w:tblInd w:w="0" w:type="dxa"/>
        <w:tblLayout w:type="fixed"/>
        <w:tblCellMar>
          <w:top w:w="28" w:type="dxa"/>
          <w:left w:w="28" w:type="dxa"/>
          <w:bottom w:w="28" w:type="dxa"/>
          <w:right w:w="28" w:type="dxa"/>
        </w:tblCellMar>
      </w:tblPr>
      <w:tblGrid>
        <w:gridCol w:w="4156"/>
        <w:gridCol w:w="146"/>
        <w:gridCol w:w="211"/>
        <w:gridCol w:w="781"/>
        <w:gridCol w:w="146"/>
        <w:gridCol w:w="146"/>
        <w:gridCol w:w="211"/>
        <w:gridCol w:w="781"/>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in</w:t>
              <w:br/>
              <w:t>   the statement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2. Revenue Recognition</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Net sales by product type and services were as follows (in thousands): </w:t>
      </w:r>
    </w:p>
    <w:p>
      <w:pPr>
        <w:pStyle w:val="TextBody"/>
        <w:bidi w:val="0"/>
        <w:jc w:val="left"/>
        <w:rPr/>
      </w:pPr>
      <w:r>
        <w:rPr/>
        <w:t> </w:t>
      </w:r>
    </w:p>
    <w:tbl>
      <w:tblPr>
        <w:tblW w:w="8441" w:type="dxa"/>
        <w:jc w:val="left"/>
        <w:tblInd w:w="0" w:type="dxa"/>
        <w:tblLayout w:type="fixed"/>
        <w:tblCellMar>
          <w:top w:w="28" w:type="dxa"/>
          <w:left w:w="28" w:type="dxa"/>
          <w:bottom w:w="28" w:type="dxa"/>
          <w:right w:w="28" w:type="dxa"/>
        </w:tblCellMar>
      </w:tblPr>
      <w:tblGrid>
        <w:gridCol w:w="2806"/>
        <w:gridCol w:w="211"/>
        <w:gridCol w:w="931"/>
        <w:gridCol w:w="146"/>
        <w:gridCol w:w="146"/>
        <w:gridCol w:w="211"/>
        <w:gridCol w:w="931"/>
        <w:gridCol w:w="146"/>
        <w:gridCol w:w="146"/>
        <w:gridCol w:w="211"/>
        <w:gridCol w:w="931"/>
        <w:gridCol w:w="146"/>
        <w:gridCol w:w="146"/>
        <w:gridCol w:w="211"/>
        <w:gridCol w:w="93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1,477,988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Supplies and companion animals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989,508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2,981,928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3. Senior Secured Credit Facilities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a $1,700.0 million secured term loan facility originally maturing on March 4, 2028 (the “First Lien Term Loan”). As of January 31, 2026, the outstanding principal balance of the First Lien Term Loan was $1,500.0 million. On February 2, 2026, the Company entered into a refinancing amendment to the credit agreement governing the First Lien Term Loan and issued $600.0 million in aggregate principal amount of senior secured notes (the “Senior Secured Notes”). Among other changes, the amendment provided that certain lenders would provide new term loans to the Company in an aggregate principal amount of $900.0 million (the “Amended First Lien Term Loan”), the proceeds of which, together with cash on hand and the proceeds from the Company's issuance of the Senior Secured Notes, would be used to repay the then outstanding principal on the First Lien Term Loan.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under the Amended First Lien Term Loan is, at the Company’s option, either a base rate plus 3.25% or Term SOFR plus 4.25%, payable quarterly in arrears. The base rate is the greater of the bank prime rate, federal funds effective rate plus 0.5% or one month Term SOFR plus 1.0%. The Amended First Lien Term Loan matures on February 2, 2031.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a secured asset-based revolving credit facility (as amended from time to time, the “ABL Revolving Credit Facility”). The first tranche of the ABL Revolving Credit Facility, which had availability of up to $35.0 million, subject to a borrowing base, matured on March 4, 2026. The remaining tranche has availability of up to $546.0 million, subject to a borrowing base, maturing on March 29, 2029. Interest on the ABL Revolving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Facility is based on, at the Company's option, either the base rate subject to a 1% floor, or Term SOFR subject to a floor of 0%, plus an applicable margin.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August 1, 2026, the Company was in compliance with its covenants under the Amended First Lien Term Loan and the ABL Revolving Credit Facility.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Term Loan Facilities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February 2, 2026 refinancing transaction, the Company recognized a loss on debt extinguishment and modification of $11.8 million, which consisted of a $4.0 million write-off of unamortized debt discount and issuance costs on the First Lien Term Loan Facility and $7.8 million of third-party expenses. Fees relating to the Company’s entry into the Amended First Lien Term Loan consisted of arranger fees and other third-party expenses. Of those fees, $1.4 million was capitalized as debt issuance costs, along with $9.0 million of original issue discount. The remaining portion of original issue discount and debt issuance costs of the First Lien Term Loan Facility previously capitalized is being amortized over the contractual term of the Amended First Lien Term Loan to interest expense using the effective interest rate in effect at issuance, as these amounts represent the portion that was not substantially modified.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August 1, 2026, the outstanding principal balance of the Amended First Lien Term Loan was $897.8 million ($884.5 million, net of the unamortized discount and debt issuance costs). As of January 31, 2026, the outstanding principal balance of the First Lien Term Loan was $1,500.0 million ($1,491.8 million, net of the unamortized discount and debt issuance costs). The weighted average interest rate on the borrowings outstanding was 8.1% and 7.3% as of August 1, 2026 and January 31, 2026, respectively. Debt issuance costs are being amortized over the contractual term to interest expense using the effective interest rate in effect at issuance. As of August 1, 2026, the estimated fair value of the Amended First Lien Term Loan was approximately $893.3 million, based upon Level 2 fair value hierarchy inputs. As of January 31, 2026, the estimated fair value of the First Lien Term Loan was $1,496.3 million, based upon Level 2 fair value hierarchy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Scheduled principal payments on the Amended First Lien Term Loan were normally $2.25 million quarterly and commenced on June 30, 2026. In September 2026, the Company voluntarily prepaid $75.0 million of the Amended First Lien Term Loan using existing cash on hand. The prepayment was applied to the remaining principal payments in order of scheduled payment 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Revolving Credit Facilities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August 1, 2026 and January 31, 2026, no amounts were outstanding under the ABL Revolving Credit Facility. As of August 1, 2026, $487.6 million was available under the ABL Revolving Credit Facility, which is net of $58.4 million of outstanding letters of credit issued in the normal course of business. As of August 1, 2026 and January 31, 2026, unamortized debt issuance costs of $2.7 million and $3.2 million, respectively, relating to the ABL Revolving Credit Facility were outstanding and were being amortized using the straight-line method over the remaining term of the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on the ABL Revolving Credit Facility is based on, at the Company’s option, either the base rate subject to a 1% floor, or Term SOFR subject to a floor of 0%, plus an applicable margin. The applicable margin is currently equal to 25 basis points in the case of base rate loans and 125 basis points in the case of Term SOFR loans.</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Senior Secured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February 2, 2026 refinancing of the First Lien Term Loan described in Note 3, "Senior Secured Credit Facilities", the Company issued $600.0 million in aggregate principal amount of senior secured notes. The Senior Secured Notes bear interest at 8.25% per annum, payable semiannually in arrears, and mature on February 1, 2031. Approximately $10.3 million of arranger fees and other third-party expenses relating to the Company’s issuance of the Senior Secured Notes were capitalized as debt issuance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August 1, 2026, the outstanding principal balance of the Senior Secured Notes was $600.0 million ($590.6 million, net of the unamortized debt issuance costs). As of August 1, 2026, the weighted average interest rate on the borrowings outstanding was 8.3%. Debt issuance costs are being amortized over the contractual term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using the effective interest rate in effect at issuance. As of August 1, 2026, the estimated fair value of the Senior Secured Notes was approximately $601.5 million, based upon Level 2 fair value hierarchy inputs.</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Derivative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interest rate swap and collars are accounted for as cash flow hedges because they are expected to be highly effective in hedging variable rate interest payments. Changes in the fair value of the cash flow hedges are reported as a component of AOCI. As of August 1, 2026, AOCI included unrealized gains of $0.2 million ($0.2 million, net of tax). As of January 31, 2026, AOCI included unrealized losses of $1.0 million ($0.8 million, net of tax). The amount of pre-tax gains deferred in AOCI reclassified to interest expense during the thirteen and twenty-six week periods ended August 1, 2026 and August 2, 2025 were not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cash flow hedges are reflected in the Company’s consolidated balance sheets as follows (in thousands):</w:t>
      </w:r>
    </w:p>
    <w:p>
      <w:pPr>
        <w:pStyle w:val="TextBody"/>
        <w:bidi w:val="0"/>
        <w:spacing w:before="240" w:after="283"/>
        <w:jc w:val="left"/>
        <w:rPr/>
      </w:pPr>
      <w:r>
        <w:rPr/>
        <w:t> </w:t>
      </w:r>
    </w:p>
    <w:tbl>
      <w:tblPr>
        <w:tblW w:w="8527" w:type="dxa"/>
        <w:jc w:val="left"/>
        <w:tblInd w:w="0" w:type="dxa"/>
        <w:tblLayout w:type="fixed"/>
        <w:tblCellMar>
          <w:top w:w="28" w:type="dxa"/>
          <w:left w:w="28" w:type="dxa"/>
          <w:bottom w:w="28" w:type="dxa"/>
          <w:right w:w="28" w:type="dxa"/>
        </w:tblCellMar>
      </w:tblPr>
      <w:tblGrid>
        <w:gridCol w:w="3511"/>
        <w:gridCol w:w="146"/>
        <w:gridCol w:w="2416"/>
        <w:gridCol w:w="146"/>
        <w:gridCol w:w="265"/>
        <w:gridCol w:w="530"/>
        <w:gridCol w:w="166"/>
        <w:gridCol w:w="146"/>
        <w:gridCol w:w="301"/>
        <w:gridCol w:w="689"/>
        <w:gridCol w:w="21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 portion of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Non-current asset portion of cash flow </w:t>
              <w:br/>
              <w:t>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Current liability portion of cash flow </w:t>
              <w:br/>
              <w:t>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Accrued expenses and other </w:t>
              <w:b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Non-current liability portion of cash flow </w:t>
              <w:br/>
              <w:t>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6. 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Assets and Liabilities Measured on a Recurring Basis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information about assets and liabilities that are measured at fair value on a recurring basis and indicate the fair value hierarchy of the valuation techniques utilized to determine such fair value (in thousands): </w:t>
      </w:r>
    </w:p>
    <w:tbl>
      <w:tblPr>
        <w:tblW w:w="7466" w:type="dxa"/>
        <w:jc w:val="left"/>
        <w:tblInd w:w="0" w:type="dxa"/>
        <w:tblLayout w:type="fixed"/>
        <w:tblCellMar>
          <w:top w:w="28" w:type="dxa"/>
          <w:left w:w="28" w:type="dxa"/>
          <w:bottom w:w="28" w:type="dxa"/>
          <w:right w:w="28" w:type="dxa"/>
        </w:tblCellMar>
      </w:tblPr>
      <w:tblGrid>
        <w:gridCol w:w="3756"/>
        <w:gridCol w:w="146"/>
        <w:gridCol w:w="211"/>
        <w:gridCol w:w="781"/>
        <w:gridCol w:w="146"/>
        <w:gridCol w:w="146"/>
        <w:gridCol w:w="211"/>
        <w:gridCol w:w="736"/>
        <w:gridCol w:w="166"/>
        <w:gridCol w:w="146"/>
        <w:gridCol w:w="239"/>
        <w:gridCol w:w="391"/>
        <w:gridCol w:w="39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of officers' life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466" w:type="dxa"/>
        <w:jc w:val="left"/>
        <w:tblInd w:w="0" w:type="dxa"/>
        <w:tblLayout w:type="fixed"/>
        <w:tblCellMar>
          <w:top w:w="28" w:type="dxa"/>
          <w:left w:w="28" w:type="dxa"/>
          <w:bottom w:w="28" w:type="dxa"/>
          <w:right w:w="28" w:type="dxa"/>
        </w:tblCellMar>
      </w:tblPr>
      <w:tblGrid>
        <w:gridCol w:w="3756"/>
        <w:gridCol w:w="146"/>
        <w:gridCol w:w="211"/>
        <w:gridCol w:w="781"/>
        <w:gridCol w:w="146"/>
        <w:gridCol w:w="146"/>
        <w:gridCol w:w="211"/>
        <w:gridCol w:w="736"/>
        <w:gridCol w:w="166"/>
        <w:gridCol w:w="146"/>
        <w:gridCol w:w="239"/>
        <w:gridCol w:w="391"/>
        <w:gridCol w:w="39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of officers' life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fair value of money market mutual funds is based on quoted market prices, such as quoted net asset values published by the fund as supported in an active market. Money market mutual funds included in the Company’s cash and cash equivalents were $242.0 million and $204.0 million as of August 1, 2026 and January 31, 2026, respectively. Also included in the Company’s money market mutual funds balances were $1.0 million and $12.7 million as of August 1, 2026 and January 31, 2026, respectively, which relate to the Company’s restricted cash, and are included in other current assets in the consolidated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holds certain investments in equity securities without readily determinable fair values, which are not material. When an upward or downward adjustment occurs, the resulting gains or losses are included in other non-operating income in the consolidated statements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Assets Measured on a Non-Recurring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triggering events identified and no indications of impairment of the Company’s goodwill, indefinite-lived trade name, or equity and other investments during the thirteen and twenty-six week periods ended August 1, 2026 and August 2, 2025. During the thirteen and twenty-six week periods ended August 1, 2026, the Company recorded fixed asset and right-of-use asset impairment charges of $2.4 million and $2.5 million, respectively. During the thirteen and twenty-six week periods ended August 2, 2025, the Company recorded fixed asset and right-of-use asset impairment charges of $0.3 million and $0.9 million, respectively.</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Stockholders’ Equity</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Equity-Based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Equity-based compensation awards under the Company’s current equity incentive plan (as amended, the “2021 Equity Incentive Plan”) include restricted stock units (“RSUs,” which include performance-based stock units and market-based stock units), restricted stock awards (“RSAs”), non-qualified stock options, and other equity compensation awards. In addition, the Company has made equity-based compensation awards of RSUs and non-qualified stock options outside of the 2021 Equity Incentive Plan as employment inducement awards (collectively, the “Inducement Awards”). The Company also has an employee stock purchase plan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 No additional Series C Units have been or will be awarded following the Company’s initial public offering. As of August 1, 2026, substantially all Series C Units are fully vested.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equity-based compensation expense by award type (in thousands):</w:t>
      </w:r>
    </w:p>
    <w:p>
      <w:pPr>
        <w:pStyle w:val="TextBody"/>
        <w:bidi w:val="0"/>
        <w:jc w:val="left"/>
        <w:rPr/>
      </w:pPr>
      <w:r>
        <w:rPr/>
        <w:t> </w:t>
      </w:r>
    </w:p>
    <w:tbl>
      <w:tblPr>
        <w:tblW w:w="8518" w:type="dxa"/>
        <w:jc w:val="left"/>
        <w:tblInd w:w="0" w:type="dxa"/>
        <w:tblLayout w:type="fixed"/>
        <w:tblCellMar>
          <w:top w:w="28" w:type="dxa"/>
          <w:left w:w="28" w:type="dxa"/>
          <w:bottom w:w="28" w:type="dxa"/>
          <w:right w:w="28" w:type="dxa"/>
        </w:tblCellMar>
      </w:tblPr>
      <w:tblGrid>
        <w:gridCol w:w="3741"/>
        <w:gridCol w:w="146"/>
        <w:gridCol w:w="214"/>
        <w:gridCol w:w="581"/>
        <w:gridCol w:w="146"/>
        <w:gridCol w:w="146"/>
        <w:gridCol w:w="214"/>
        <w:gridCol w:w="581"/>
        <w:gridCol w:w="146"/>
        <w:gridCol w:w="146"/>
        <w:gridCol w:w="211"/>
        <w:gridCol w:w="676"/>
        <w:gridCol w:w="146"/>
        <w:gridCol w:w="146"/>
        <w:gridCol w:w="211"/>
        <w:gridCol w:w="676"/>
        <w:gridCol w:w="39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RSAs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Activity under the 2021 Equity Incentive Plan and the Inducement Awards was as follows (shares and dollars in thousands):</w:t>
      </w:r>
    </w:p>
    <w:p>
      <w:pPr>
        <w:pStyle w:val="TextBody"/>
        <w:bidi w:val="0"/>
        <w:jc w:val="left"/>
        <w:rPr/>
      </w:pPr>
      <w:r>
        <w:rPr/>
        <w:t> </w:t>
      </w:r>
    </w:p>
    <w:tbl>
      <w:tblPr>
        <w:tblW w:w="8247" w:type="dxa"/>
        <w:jc w:val="left"/>
        <w:tblInd w:w="0" w:type="dxa"/>
        <w:tblLayout w:type="fixed"/>
        <w:tblCellMar>
          <w:top w:w="28" w:type="dxa"/>
          <w:left w:w="28" w:type="dxa"/>
          <w:bottom w:w="28" w:type="dxa"/>
          <w:right w:w="28" w:type="dxa"/>
        </w:tblCellMar>
      </w:tblPr>
      <w:tblGrid>
        <w:gridCol w:w="5446"/>
        <w:gridCol w:w="146"/>
        <w:gridCol w:w="296"/>
        <w:gridCol w:w="949"/>
        <w:gridCol w:w="166"/>
        <w:gridCol w:w="146"/>
        <w:gridCol w:w="211"/>
        <w:gridCol w:w="676"/>
        <w:gridCol w:w="21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 and RSAs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Nonvested/outstanding,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delivered/exercised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Nonvested/outstanding, 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compensation expense as of August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expense period as of 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 years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 years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Earnings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 options and the ESPP) and the associated unrecognized compensation expense is greater than the average market price of Class A common shares because the inclusion of these securities would be anti-dilutive.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approximately 16.1 million and 16.5 million potential shares that were anti-dilutive and excluded from the computation of diluted shares outstanding during the twenty-six weeks ended August 1, 2026 and August 2, 2025, respectively.</w:t>
      </w:r>
    </w:p>
    <w:p>
      <w:pPr>
        <w:pStyle w:val="TextBody"/>
        <w:bidi w:val="0"/>
        <w:spacing w:before="240" w:after="283"/>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Reportable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one reportable segment managed on a consolidated basis. The measure of segment profit or loss is consolidated net income (loss) that is reported on the consolidated statement of operations. The measure of segment assets is reported on the consolidated balance sheet as total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represents segment information for the Company’s single operating segment, for the periods presented (in thousands):</w:t>
      </w:r>
    </w:p>
    <w:p>
      <w:pPr>
        <w:pStyle w:val="TextBody"/>
        <w:bidi w:val="0"/>
        <w:jc w:val="left"/>
        <w:rPr/>
      </w:pPr>
      <w:r>
        <w:rPr/>
        <w:t> </w:t>
      </w:r>
    </w:p>
    <w:tbl>
      <w:tblPr>
        <w:tblW w:w="9292" w:type="dxa"/>
        <w:jc w:val="left"/>
        <w:tblInd w:w="0" w:type="dxa"/>
        <w:tblLayout w:type="fixed"/>
        <w:tblCellMar>
          <w:top w:w="28" w:type="dxa"/>
          <w:left w:w="28" w:type="dxa"/>
          <w:bottom w:w="28" w:type="dxa"/>
          <w:right w:w="28" w:type="dxa"/>
        </w:tblCellMar>
      </w:tblPr>
      <w:tblGrid>
        <w:gridCol w:w="3111"/>
        <w:gridCol w:w="146"/>
        <w:gridCol w:w="211"/>
        <w:gridCol w:w="931"/>
        <w:gridCol w:w="166"/>
        <w:gridCol w:w="146"/>
        <w:gridCol w:w="211"/>
        <w:gridCol w:w="931"/>
        <w:gridCol w:w="166"/>
        <w:gridCol w:w="146"/>
        <w:gridCol w:w="211"/>
        <w:gridCol w:w="991"/>
        <w:gridCol w:w="166"/>
        <w:gridCol w:w="146"/>
        <w:gridCol w:w="211"/>
        <w:gridCol w:w="991"/>
        <w:gridCol w:w="41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2,981,928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(1,826,641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Advertising and marketing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Stock compensation - general and </w:t>
              <w:br/>
              <w:t>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Other general and </w:t>
              <w:br/>
              <w:t>   administrative expenses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(1,004,560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and</w:t>
              <w:br/>
              <w:t>   modification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Income from equity method </w:t>
              <w:br/>
              <w:t>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general &amp; administrative expenses include pet care center expenses, support center labor and occupancy costs, legal, accounting, information technology, consulting costs, and depreciation and amortization.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January 31, 2026 (the “2025 Form 10-K”). The discussion and analysis below contains certain forward-looking statements about our business and operations that are subject to the risks, uncertainties, and other factors referred to in Part II, Item 1A, “</w:t>
      </w:r>
      <w:r>
        <w:rPr>
          <w:rFonts w:ascii="Times New Roman" w:hAnsi="Times New Roman"/>
          <w:i/>
          <w:color w:val="000000"/>
          <w:sz w:val="20"/>
        </w:rPr>
        <w:t>Risk Factors</w:t>
      </w:r>
      <w:r>
        <w:rPr>
          <w:rFonts w:ascii="Times New Roman" w:hAnsi="Times New Roman"/>
          <w:color w:val="000000"/>
          <w:sz w:val="20"/>
        </w:rPr>
        <w:t>” of this Form 10-Q. These risks, uncertainties, and other factors could cause our actual results to differ materially from those expressed in, or implied by, the forward-looking statements. The risks described in this Form 10-Q and in other documents we file from time to time with the U.S. Securities and Exchange Commission (the “SEC”), including the section entitled “Forward-Looking Statements” in this Form 10-Q, should be carefully reviewed. All amounts herein are unaudited.</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Petco Health and Wellness Company, Inc. (“Petco”, the “Company”, “we”, “our” and “us”) is a leading pet specialty retailer focused on improving the lives of pets, pet parents, and our own partners. We nurture the pet-human bond in the aisles of more than 1,500 Petco stores across the U.S., Mexico, and Chile.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multicategory strategy integrates our digital assets with our nationwide physical footprint to meet the needs of pet parents who are looking for a single source for all their pets' needs. Petco.com, our e-commerce site, and the Petco app, our personalized mobile app, together serve as hubs for pet parents to book appointments and manage all of their pets’ needs, while enabling them to shop wherever, whenever, and however they want. We are focused on continually improving both our digital capabilities as well as our membership offering.</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strive to be a company that is improving millions of pet lives as well as the lives of pet parents and the partners who work for us. In tandem with Petco Love, an independent 501(c)(3) nonprofit organization, we work with and support thousands of local animal welfare groups nationwide and, through these partnerships and in-store adoption events, we have helped find homes for over 7 million animals.</w:t>
      </w:r>
    </w:p>
    <w:p>
      <w:pPr>
        <w:pStyle w:val="TextBody"/>
        <w:bidi w:val="0"/>
        <w:spacing w:before="120" w:after="283"/>
        <w:jc w:val="left"/>
        <w:rPr>
          <w:rFonts w:ascii="Times New Roman" w:hAnsi="Times New Roman"/>
          <w:sz w:val="20"/>
        </w:rPr>
      </w:pPr>
      <w:r>
        <w:rPr>
          <w:rFonts w:ascii="Times New Roman" w:hAnsi="Times New Roman"/>
          <w:color w:val="000000"/>
          <w:sz w:val="20"/>
        </w:rPr>
        <w:t>Macroeconomic factors, including interest rates, potential inflationary pressures, supply chain constraints, tariffs, and global economic and geopolitical developments, including geopolitical conflicts and tensions, have had varying impacts on our results of operations that are difficult to isolate and quantify. We cannot predict the duration or ultimate severity of these macroeconomic factors or the ultimate impact on our operations and liquidity. Please refer to the risk factors referred to in Part II, Item 1A, “</w:t>
      </w:r>
      <w:r>
        <w:rPr>
          <w:rFonts w:ascii="Times New Roman" w:hAnsi="Times New Roman"/>
          <w:i/>
          <w:color w:val="000000"/>
          <w:sz w:val="20"/>
        </w:rPr>
        <w:t>Risk Factors</w:t>
      </w:r>
      <w:r>
        <w:rPr>
          <w:rFonts w:ascii="Times New Roman" w:hAnsi="Times New Roman"/>
          <w:color w:val="000000"/>
          <w:sz w:val="20"/>
        </w:rPr>
        <w:t>” of this Form 10-Q.</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How We Assess the Performance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assessing our performance, we consider a variety of performance and financial measures, including the following:</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Comparable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Comparing the thirteen weeks ended August 1, 2026 with the thirteen weeks ended August 2, 2025 (unless otherwise noted), our results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net sales to $1.49 billion, and a comparable sales increase of 0.6%;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income of $47.8 million, inclusive of a $6.8 million net incremental tariff refund, compared to operating income of $43.0 million in the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income attributable to Class A and B-1 common stockholders of $38.7 million, compared to $14.0 million in the prior year period;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Adjusted EBITDA from $113.9 million to $122.2 million, inclusive of a $6.8 million net incremental tariff refund.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our results of operations and the percent of net sales of line items included in our consolidated statements of operations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44"/>
        <w:gridCol w:w="146"/>
        <w:gridCol w:w="211"/>
        <w:gridCol w:w="931"/>
        <w:gridCol w:w="166"/>
        <w:gridCol w:w="146"/>
        <w:gridCol w:w="211"/>
        <w:gridCol w:w="931"/>
        <w:gridCol w:w="166"/>
        <w:gridCol w:w="146"/>
        <w:gridCol w:w="211"/>
        <w:gridCol w:w="931"/>
        <w:gridCol w:w="166"/>
        <w:gridCol w:w="146"/>
        <w:gridCol w:w="211"/>
        <w:gridCol w:w="931"/>
        <w:gridCol w:w="611"/>
      </w:tblGrid>
      <w:tr>
        <w:trPr/>
        <w:tc>
          <w:tcPr>
            <w:tcW w:w="3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2,467,496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2,981,928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1,513,428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1,826,641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1,155,287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59,381</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Income (loss) before income taxes and income </w:t>
              <w:br/>
              <w:t>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Net income attributable to Class A and B-1 </w:t>
              <w:br/>
              <w:t>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289" w:type="dxa"/>
        <w:jc w:val="left"/>
        <w:tblInd w:w="0" w:type="dxa"/>
        <w:tblLayout w:type="fixed"/>
        <w:tblCellMar>
          <w:top w:w="28" w:type="dxa"/>
          <w:left w:w="28" w:type="dxa"/>
          <w:bottom w:w="28" w:type="dxa"/>
          <w:right w:w="28" w:type="dxa"/>
        </w:tblCellMar>
      </w:tblPr>
      <w:tblGrid>
        <w:gridCol w:w="4201"/>
        <w:gridCol w:w="146"/>
        <w:gridCol w:w="162"/>
        <w:gridCol w:w="633"/>
        <w:gridCol w:w="271"/>
        <w:gridCol w:w="146"/>
        <w:gridCol w:w="162"/>
        <w:gridCol w:w="633"/>
        <w:gridCol w:w="271"/>
        <w:gridCol w:w="146"/>
        <w:gridCol w:w="162"/>
        <w:gridCol w:w="633"/>
        <w:gridCol w:w="271"/>
        <w:gridCol w:w="146"/>
        <w:gridCol w:w="162"/>
        <w:gridCol w:w="633"/>
        <w:gridCol w:w="5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6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6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6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 xml:space="preserve">Income (loss) before income taxes and income </w:t>
              <w:br/>
              <w:t>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6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6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6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 xml:space="preserve">Net income attributable to Class A and B-1 </w:t>
              <w:br/>
              <w:t>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9462" w:type="dxa"/>
        <w:jc w:val="left"/>
        <w:tblInd w:w="0" w:type="dxa"/>
        <w:tblLayout w:type="fixed"/>
        <w:tblCellMar>
          <w:top w:w="28" w:type="dxa"/>
          <w:left w:w="28" w:type="dxa"/>
          <w:bottom w:w="28" w:type="dxa"/>
          <w:right w:w="28" w:type="dxa"/>
        </w:tblCellMar>
      </w:tblPr>
      <w:tblGrid>
        <w:gridCol w:w="3661"/>
        <w:gridCol w:w="146"/>
        <w:gridCol w:w="211"/>
        <w:gridCol w:w="781"/>
        <w:gridCol w:w="271"/>
        <w:gridCol w:w="146"/>
        <w:gridCol w:w="211"/>
        <w:gridCol w:w="781"/>
        <w:gridCol w:w="331"/>
        <w:gridCol w:w="146"/>
        <w:gridCol w:w="211"/>
        <w:gridCol w:w="781"/>
        <w:gridCol w:w="271"/>
        <w:gridCol w:w="146"/>
        <w:gridCol w:w="211"/>
        <w:gridCol w:w="781"/>
        <w:gridCol w:w="376"/>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Operational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sales 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pet care centers (U.S.)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203,309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Thirteen and Twenty-six Weeks Ended August 1, 2026 Compared with Thirteen and Twenty-six Weeks Ended August 2,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 and Comparable Sales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92"/>
        <w:gridCol w:w="181"/>
        <w:gridCol w:w="691"/>
        <w:gridCol w:w="146"/>
        <w:gridCol w:w="146"/>
        <w:gridCol w:w="181"/>
        <w:gridCol w:w="691"/>
        <w:gridCol w:w="146"/>
        <w:gridCol w:w="146"/>
        <w:gridCol w:w="181"/>
        <w:gridCol w:w="556"/>
        <w:gridCol w:w="151"/>
        <w:gridCol w:w="146"/>
        <w:gridCol w:w="170"/>
        <w:gridCol w:w="386"/>
        <w:gridCol w:w="242"/>
        <w:gridCol w:w="146"/>
        <w:gridCol w:w="181"/>
        <w:gridCol w:w="691"/>
        <w:gridCol w:w="146"/>
        <w:gridCol w:w="146"/>
        <w:gridCol w:w="181"/>
        <w:gridCol w:w="691"/>
        <w:gridCol w:w="146"/>
        <w:gridCol w:w="146"/>
        <w:gridCol w:w="181"/>
        <w:gridCol w:w="556"/>
        <w:gridCol w:w="151"/>
        <w:gridCol w:w="146"/>
        <w:gridCol w:w="170"/>
        <w:gridCol w:w="386"/>
        <w:gridCol w:w="289"/>
      </w:tblGrid>
      <w:tr>
        <w:trPr/>
        <w:tc>
          <w:tcPr>
            <w:tcW w:w="16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Thirteen weeks ended</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Twenty-six weeks ended</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August 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August 2,</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 </w:t>
              <w:br/>
              <w:t>Change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 </w:t>
              <w:br/>
              <w:t>Change</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August 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August 2,</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 </w:t>
              <w:br/>
              <w:t>Change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 </w:t>
              <w:br/>
              <w:t>Change</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Consumables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731,279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729,918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1,478,106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1,477,988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Supplies and companion animals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485,578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989,508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Services and other</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262,924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541,008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514,432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26,576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sales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1,489,220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1,488,529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2,985,952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2,981,928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increased $0.7 million to $1.49 billion in the thirteen weeks ended August 1, 2026 compared to net sales of $1.49 billion in the thirteen weeks ended August 2, 2025. Net sales increased $4.0 million to $2.99 billion in the twenty-six weeks ended August 1, 2026 compared to net sales of $2.98 billion in the twenty-six weeks ended August 2, 2025. Sales during the thirteen weeks ended August 1, 2026 reflect a temporary disruption from a stronger-than-expected response to our membership program relaunch. However, we continue to experience growth in our services business, driven by our investments in customer acquisition and retention, as well as optimization of our veterinary footprint. We also experienced positive comparable sales trends in our consumables category, offset by a lower pet care center count. We continue to focus on profitability and margin through a disciplined approach to managing unit costs, pricing, and promotional strategies.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unable to quantify certain factors impacting sales described above due to the fact that such factors are based on input measures or qualitative information that do not lend themselves to quantification.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percentage of net sales, our gross profit rate was 39.7% for the thirteen weeks ended August 1, 2026 compared with 39.3% for the thirteen weeks ended August 2, 2025. As a percentage of net sales, our gross profit rate was 39.0% for the twenty-six weeks ended August 1, 2026 compared with 38.7% for the twenty-six weeks ended August 2, 2025. During the thirteen weeks ended August 1, 2026, the Company received substantially all refunds related to tariffs previously paid under the International Emergency Economic Powers Act ("IEEPA"). The period-over-period increase in gross profit rate was primarily driven by the net benefit of $6.8 million relating to gross refunds, net of an investment to propel the repositioning of new assortments for future growth, as well as incremental cost pressures related to fuel and tariff expense during the thirteen weeks ended August 1, 2026. We continue to focus on effectively utilizing our services footprint and managing our inventory, unit costs, pricing, and promotional strategies. We are unable to quantify the factors impacting gross profit rate described above due to the fact that such factors are based on input measures or qualitative information that do not lend themselves to quantification.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 (“SG&amp;A”)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percentage of net sales, SG&amp;A expenses were 36.5% for the thirteen weeks ended August 1, 2026 compared with 36.4% for the thirteen weeks ended August 2, 2025. The increase in SG&amp;A expenses between the periods was primarily due to an increase in advertising and depreciation expense, along with an increase in certain employee fringe benefits, as the thirteen weeks ended August 2, 2025 included improved actuarial results from employee benefits optimization initiatives. This was partially offset by lower payroll and other compensation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percentage of net sales, SG&amp;A expenses were 36.6% for the twenty-six weeks ended August 1, 2026 compared with 36.8% for the twenty-six weeks ended August 2, 2025. The decrease in SG&amp;A expenses between the periods was primarily due to lower payroll, other compensation, and consulting costs, partially offset by an increase in advertising expenses, along with an increase in certain employee fringe benefits, as the twenty-six weeks ended August 2, 2025 included improved actuarial results from employee benefits optimization initiatives.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40" w:after="283"/>
        <w:jc w:val="left"/>
        <w:rPr>
          <w:rFonts w:ascii="Times New Roman" w:hAnsi="Times New Roman"/>
          <w:sz w:val="20"/>
        </w:rPr>
      </w:pPr>
      <w:r>
        <w:rPr>
          <w:rFonts w:ascii="Times New Roman" w:hAnsi="Times New Roman"/>
          <w:color w:val="000000"/>
          <w:sz w:val="20"/>
        </w:rPr>
        <w:t>Interest expense decreased $0.7 million, or 2.2%, to $32.6 million in the thirteen weeks ended August 1, 2026 compared with $33.3 million in the thirteen weeks ended August 2, 2025. Interest expense decreased $1.5 million, or 2.2%, to $65.3 million in the twenty-six weeks ended August 1, 2026 compared with $66.8 million in the twenty-six weeks ended August 2, 2025. The period-over-period decrease was primarily driven by a lower aggregate outstanding principal balance of indebtedness, partially offset by higher interest rates during the thirteen and twenty-six week periods ended August 1, 2026. For more information, refer to Note 3, “</w:t>
      </w:r>
      <w:r>
        <w:rPr>
          <w:rFonts w:ascii="Times New Roman" w:hAnsi="Times New Roman"/>
          <w:i/>
          <w:color w:val="000000"/>
          <w:sz w:val="20"/>
        </w:rPr>
        <w:t>Senior Secured Credit Facilities,”</w:t>
      </w:r>
      <w:r>
        <w:rPr>
          <w:rFonts w:ascii="Times New Roman" w:hAnsi="Times New Roman"/>
          <w:color w:val="000000"/>
          <w:sz w:val="20"/>
        </w:rPr>
        <w:t xml:space="preserve"> and Note 4, </w:t>
      </w:r>
      <w:r>
        <w:rPr>
          <w:rFonts w:ascii="Times New Roman" w:hAnsi="Times New Roman"/>
          <w:i/>
          <w:color w:val="000000"/>
          <w:sz w:val="20"/>
        </w:rPr>
        <w:t>"Senior Secured Notes"</w:t>
      </w:r>
      <w:r>
        <w:rPr>
          <w:rFonts w:ascii="Times New Roman" w:hAnsi="Times New Roman"/>
          <w:color w:val="000000"/>
          <w:sz w:val="20"/>
        </w:rPr>
        <w:t xml:space="preserve"> to the Notes to Consolidated Financial Statements included in Part I, Item 1 of this Form 10-Q.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on Extinguishment and Modification of Debt</w:t>
      </w:r>
    </w:p>
    <w:p>
      <w:pPr>
        <w:pStyle w:val="TextBody"/>
        <w:bidi w:val="0"/>
        <w:spacing w:before="240" w:after="283"/>
        <w:jc w:val="left"/>
        <w:rPr>
          <w:rFonts w:ascii="Times New Roman" w:hAnsi="Times New Roman"/>
          <w:sz w:val="20"/>
        </w:rPr>
      </w:pPr>
      <w:r>
        <w:rPr>
          <w:rFonts w:ascii="Times New Roman" w:hAnsi="Times New Roman"/>
          <w:color w:val="000000"/>
          <w:sz w:val="20"/>
        </w:rPr>
        <w:t>Loss on extinguishment and modification of debt was $11.8 million for the twenty-six weeks ended August 1, 2026. This loss was recognized in conjunction with the February 2, 2026 debt refinancing transaction described under "Sources of Liquidity—Senior Secured Credit Facilities and Senior Secured Notes" below. There was no loss on debt extinguishment and modification of debt for the thirteen weeks ended August 1, 2026 or the thirteen and twenty-six weeks ended August 2, 2025. For more information, refer to Note 3, “</w:t>
      </w:r>
      <w:r>
        <w:rPr>
          <w:rFonts w:ascii="Times New Roman" w:hAnsi="Times New Roman"/>
          <w:i/>
          <w:color w:val="000000"/>
          <w:sz w:val="20"/>
        </w:rPr>
        <w:t>Senior Secured Credit Facilities</w:t>
      </w:r>
      <w:r>
        <w:rPr>
          <w:rFonts w:ascii="Times New Roman" w:hAnsi="Times New Roman"/>
          <w:color w:val="000000"/>
          <w:sz w:val="20"/>
        </w:rPr>
        <w:t>,” and Note 4, "</w:t>
      </w:r>
      <w:r>
        <w:rPr>
          <w:rFonts w:ascii="Times New Roman" w:hAnsi="Times New Roman"/>
          <w:i/>
          <w:color w:val="000000"/>
          <w:sz w:val="20"/>
        </w:rPr>
        <w:t>Senior Secured Notes</w:t>
      </w:r>
      <w:r>
        <w:rPr>
          <w:rFonts w:ascii="Times New Roman" w:hAnsi="Times New Roman"/>
          <w:color w:val="000000"/>
          <w:sz w:val="20"/>
        </w:rPr>
        <w:t>," to the Notes to Consolidated Financial Statements included in Part I, Item 1 of this Form 10-Q.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(Benefit)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effective tax rates were (68.5)% and (135.1)%, resulting in income tax benefit of $15.7 million and $13.5 million for the thirteen and twenty-six weeks ended August 1, 2026, respectively, compared to effective tax rates of 5.1% and 34.9%, resulting in income tax expense of $0.7 million and $1.2 million for the thirteen and twenty-six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weeks ended August 2, 2025, respectively. The change in effective tax rate was primarily driven by a $13.4 million reduction in unrecognized tax benefits, including accrued penalties and interest, following the successful completion of a federal tax refund review by the Joint Committee on Taxation in the quarter ended August 1, 2026. As of August 1, 2026, the Company’s liability for unrecognized tax benefits was $3.5 million.</w:t>
      </w:r>
    </w:p>
    <w:p>
      <w:pPr>
        <w:pStyle w:val="TextBody"/>
        <w:bidi w:val="0"/>
        <w:jc w:val="left"/>
        <w:rPr/>
      </w:pPr>
      <w:r>
        <w:rPr/>
        <w:t> </w:t>
      </w:r>
    </w:p>
    <w:p>
      <w:pPr>
        <w:pStyle w:val="TextBody"/>
        <w:bidi w:val="0"/>
        <w:spacing w:before="160" w:after="283"/>
        <w:jc w:val="center"/>
        <w:rPr>
          <w:rFonts w:ascii="Times New Roman" w:hAnsi="Times New Roman"/>
          <w:sz w:val="20"/>
        </w:rPr>
      </w:pPr>
      <w:r>
        <w:rPr>
          <w:rFonts w:ascii="Times New Roman" w:hAnsi="Times New Roman"/>
          <w:b/>
          <w:color w:val="000000"/>
          <w:sz w:val="20"/>
        </w:rPr>
        <w:t>Reconciliation of</w:t>
      </w:r>
      <w:r>
        <w:rPr>
          <w:rFonts w:ascii="Times New Roman" w:hAnsi="Times New Roman"/>
          <w:color w:val="000000"/>
          <w:sz w:val="20"/>
        </w:rPr>
        <w:t xml:space="preserve"> </w:t>
      </w:r>
      <w:r>
        <w:rPr>
          <w:rFonts w:ascii="Times New Roman" w:hAnsi="Times New Roman"/>
          <w:b/>
          <w:color w:val="000000"/>
          <w:sz w:val="20"/>
        </w:rPr>
        <w:t>Non-GAAP Financial Measures</w:t>
      </w:r>
      <w:r>
        <w:rPr>
          <w:rFonts w:ascii="Times New Roman" w:hAnsi="Times New Roman"/>
          <w:color w:val="000000"/>
          <w:sz w:val="20"/>
        </w:rPr>
        <w:t xml:space="preserve"> </w:t>
      </w:r>
      <w:r>
        <w:rPr>
          <w:rFonts w:ascii="Times New Roman" w:hAnsi="Times New Roman"/>
          <w:b/>
          <w:color w:val="000000"/>
          <w:sz w:val="20"/>
        </w:rPr>
        <w:t>to 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not a substitute for net income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 Refer to Part II, Item 7, “Management’s Discussion and Analysis of Financial Condition and Results of Operations—Reconciliation of Non-GAAP Financial Measures to GAAP Measures” included in the 2025 Form 10-K for more information regarding how we define Adjusted EBITDA.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reflects the calculation of Adjusted EBITDA and Adjusted EBITDA Margin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931"/>
        <w:gridCol w:w="271"/>
        <w:gridCol w:w="146"/>
        <w:gridCol w:w="211"/>
        <w:gridCol w:w="931"/>
        <w:gridCol w:w="271"/>
        <w:gridCol w:w="146"/>
        <w:gridCol w:w="211"/>
        <w:gridCol w:w="931"/>
        <w:gridCol w:w="271"/>
        <w:gridCol w:w="146"/>
        <w:gridCol w:w="211"/>
        <w:gridCol w:w="931"/>
        <w:gridCol w:w="716"/>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Net income attributable to Class A and B-1 </w:t>
              <w:br/>
              <w:t>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99,171</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(8,694</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18,209</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Mexico joint venture EBITDA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20,558</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122,219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219,550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203,309</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1,489,220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1,488,529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2,985,952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2,981,928</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margin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pStyle w:val="TextBody"/>
        <w:bidi w:val="0"/>
        <w:jc w:val="left"/>
        <w:rPr/>
      </w:pPr>
      <w:r>
        <w:rPr/>
        <w:t> </w:t>
      </w:r>
    </w:p>
    <w:tbl>
      <w:tblPr>
        <w:tblW w:w="7022" w:type="dxa"/>
        <w:jc w:val="left"/>
        <w:tblInd w:w="0" w:type="dxa"/>
        <w:tblLayout w:type="fixed"/>
        <w:tblCellMar>
          <w:top w:w="28" w:type="dxa"/>
          <w:left w:w="28" w:type="dxa"/>
          <w:bottom w:w="28" w:type="dxa"/>
          <w:right w:w="28" w:type="dxa"/>
        </w:tblCellMar>
      </w:tblPr>
      <w:tblGrid>
        <w:gridCol w:w="2061"/>
        <w:gridCol w:w="146"/>
        <w:gridCol w:w="211"/>
        <w:gridCol w:w="676"/>
        <w:gridCol w:w="146"/>
        <w:gridCol w:w="146"/>
        <w:gridCol w:w="211"/>
        <w:gridCol w:w="676"/>
        <w:gridCol w:w="146"/>
        <w:gridCol w:w="146"/>
        <w:gridCol w:w="211"/>
        <w:gridCol w:w="676"/>
        <w:gridCol w:w="146"/>
        <w:gridCol w:w="146"/>
        <w:gridCol w:w="211"/>
        <w:gridCol w:w="676"/>
        <w:gridCol w:w="391"/>
      </w:tblGrid>
      <w:tr>
        <w:trPr/>
        <w:tc>
          <w:tcPr>
            <w:tcW w:w="2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 of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Other costs include, as incurred: restructuring costs and restructuring-related severance costs; legal reserves associated with significant, non-ordinary course legal or regulatory matters; and costs related to certain significant strategic transactions.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We define net margin as net income attributable to Class A and B-1 common stockholders divided by net sales and Adjusted EBITDA margin as Adjusted EBITDA divided by net sales.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Free Cash Flow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reflects the calculation of Free Cash Flow for the periods presented:</w:t>
      </w:r>
    </w:p>
    <w:p>
      <w:pPr>
        <w:pStyle w:val="TextBody"/>
        <w:bidi w:val="0"/>
        <w:jc w:val="left"/>
        <w:rPr/>
      </w:pPr>
      <w:r>
        <w:rPr/>
        <w:t> </w:t>
      </w:r>
    </w:p>
    <w:tbl>
      <w:tblPr>
        <w:tblW w:w="6274" w:type="dxa"/>
        <w:jc w:val="left"/>
        <w:tblInd w:w="0" w:type="dxa"/>
        <w:tblLayout w:type="fixed"/>
        <w:tblCellMar>
          <w:top w:w="28" w:type="dxa"/>
          <w:left w:w="28" w:type="dxa"/>
          <w:bottom w:w="28" w:type="dxa"/>
          <w:right w:w="28" w:type="dxa"/>
        </w:tblCellMar>
      </w:tblPr>
      <w:tblGrid>
        <w:gridCol w:w="3466"/>
        <w:gridCol w:w="146"/>
        <w:gridCol w:w="211"/>
        <w:gridCol w:w="781"/>
        <w:gridCol w:w="166"/>
        <w:gridCol w:w="146"/>
        <w:gridCol w:w="211"/>
        <w:gridCol w:w="736"/>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sources of liquidity are funds generated by operating activities and available capacity for borrowings on our $546.0 million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August 1, 2026 was $781.1 million, inclusive of cash and cash equivalents of $293.5 million and $487.6 million of availability on the ABL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party to contractual obligations involving commitments to make payments to third parties. These obligations impact our short-term and long-term liquidity and capital resource needs.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consolidated cash flows:</w:t>
      </w:r>
    </w:p>
    <w:p>
      <w:pPr>
        <w:pStyle w:val="TextBody"/>
        <w:bidi w:val="0"/>
        <w:jc w:val="left"/>
        <w:rPr/>
      </w:pPr>
      <w:r>
        <w:rPr/>
        <w:t> </w:t>
      </w:r>
    </w:p>
    <w:tbl>
      <w:tblPr>
        <w:tblW w:w="5819" w:type="dxa"/>
        <w:jc w:val="left"/>
        <w:tblInd w:w="0" w:type="dxa"/>
        <w:tblLayout w:type="fixed"/>
        <w:tblCellMar>
          <w:top w:w="28" w:type="dxa"/>
          <w:left w:w="28" w:type="dxa"/>
          <w:bottom w:w="28" w:type="dxa"/>
          <w:right w:w="28" w:type="dxa"/>
        </w:tblCellMar>
      </w:tblPr>
      <w:tblGrid>
        <w:gridCol w:w="3211"/>
        <w:gridCol w:w="146"/>
        <w:gridCol w:w="211"/>
        <w:gridCol w:w="781"/>
        <w:gridCol w:w="166"/>
        <w:gridCol w:w="146"/>
        <w:gridCol w:w="211"/>
        <w:gridCol w:w="736"/>
        <w:gridCol w:w="2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increase in cash, cash equivalents </w:t>
              <w:br/>
              <w:t>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income adjusted for certain non-cash items, including: depreciation and amortization; amortization of debt discounts and issuance costs; deferred income taxes; equity-based compensation; impairments of goodwill and intangible assets; other non-operating income; and the effect of changes in operating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provided by operating activities was $130.6 million in the twenty-six weeks ended August 1, 2026 compared with net cash provided by operating activities of $70.4 million in the twenty-six weeks ended August 2, 2025. The increase in operating cash flows were primarily driven by the timing of interest and rent payments,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decrease in inventory purchases, and the net impact of tariff refunds. This was partially offset by timing of invoice payments.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Net cash used in investing activities was $69.3 million and $58.1 million for the twenty-six weeks ended August 1, 2026 and August 2, 2025, respectively, and consisted primarily of capital expenditures to support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Net cash used in financing activities was $36.2 million for the twenty-six weeks ended August 1, 2026, compared with $4.3 million used in financing activities for the twenty-six weeks ended August 2, 2025. Financing cash flows in the twenty-six weeks ended August 1, 2026 primarily consisted of payments of debt issuance costs and borrowings and repayments of debt in connection with the February 2, 2026 refinancing transaction discussed under "Sources of Liquidity" below. Financing cash flows in the twenty-six weeks ended August 2, 2025 were not 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Senior Secured Credit Facilities and Senior Secured Notes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had a secured term loan facility originally maturing on March 4, 2028 (the “First Lien Term Loan”), with an outstanding principal balance of $1,500.0 million as of January 31, 2026. On February 2, 2026, the Company entered into a refinancing amendment to the credit agreement governing the First Lien Term Loan (“Amended First Lien Term Loan”) and issued $600.0 million in aggregate principal amount of senior secured notes (the “Senior Secured Notes”). Following the amendment, $900.0 million of principal remained on the Amended First Lien Term Loan.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September 2026, the Company voluntarily prepaid $75.0 million of the Amended First Lien Term Loan using existing cash on hand. The prepayment was applied to the remaining principal payments in order of scheduled payment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secured asset-based revolving credit facility (as amended from time to time, the “ABL Revolving Credit Facility”). The first tranche of the ABL Revolving Credit Facility, which had availability of up to $35.0 million, subject to a borrowing base, matured on March 4, 2026. The remaining tranche has availability of up to $546.0 million, subject to a borrowing base, maturing on March 29, 2029.</w:t>
      </w:r>
    </w:p>
    <w:p>
      <w:pPr>
        <w:pStyle w:val="TextBody"/>
        <w:bidi w:val="0"/>
        <w:spacing w:before="120" w:after="283"/>
        <w:jc w:val="left"/>
        <w:rPr>
          <w:rFonts w:ascii="Times New Roman" w:hAnsi="Times New Roman"/>
          <w:sz w:val="20"/>
        </w:rPr>
      </w:pPr>
      <w:r>
        <w:rPr>
          <w:rFonts w:ascii="Times New Roman" w:hAnsi="Times New Roman"/>
          <w:color w:val="000000"/>
          <w:sz w:val="20"/>
        </w:rPr>
        <w:t>For more information regarding this indebtedness, refer to Note 3, “</w:t>
      </w:r>
      <w:r>
        <w:rPr>
          <w:rFonts w:ascii="Times New Roman" w:hAnsi="Times New Roman"/>
          <w:i/>
          <w:color w:val="000000"/>
          <w:sz w:val="20"/>
        </w:rPr>
        <w:t>Senior Secured Credit Facilities</w:t>
      </w:r>
      <w:r>
        <w:rPr>
          <w:rFonts w:ascii="Times New Roman" w:hAnsi="Times New Roman"/>
          <w:color w:val="000000"/>
          <w:sz w:val="20"/>
        </w:rPr>
        <w:t>,” and Note 4 “</w:t>
      </w:r>
      <w:r>
        <w:rPr>
          <w:rFonts w:ascii="Times New Roman" w:hAnsi="Times New Roman"/>
          <w:i/>
          <w:color w:val="000000"/>
          <w:sz w:val="20"/>
        </w:rPr>
        <w:t>Senior Secured Notes</w:t>
      </w:r>
      <w:r>
        <w:rPr>
          <w:rFonts w:ascii="Times New Roman" w:hAnsi="Times New Roman"/>
          <w:color w:val="000000"/>
          <w:sz w:val="20"/>
        </w:rPr>
        <w:t>,” to the Notes to Consolidated Financial Statements included in Part I, Item 1 of this Form 10-Q.</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 Instruments</w:t>
      </w:r>
    </w:p>
    <w:p>
      <w:pPr>
        <w:pStyle w:val="TextBody"/>
        <w:bidi w:val="0"/>
        <w:spacing w:before="160" w:after="283"/>
        <w:jc w:val="left"/>
        <w:rPr>
          <w:rFonts w:ascii="Times New Roman" w:hAnsi="Times New Roman"/>
          <w:sz w:val="20"/>
        </w:rPr>
      </w:pPr>
      <w:r>
        <w:rPr>
          <w:rFonts w:ascii="Times New Roman" w:hAnsi="Times New Roman"/>
          <w:color w:val="000000"/>
          <w:sz w:val="20"/>
        </w:rPr>
        <w:t>The Company has entered into interest rate collar and swap agreements to limit the maximum interest on a portion of the Company’s variable-rate debt and decrease its exposure to interest rate variability relating to three-month Term SOFR. For more information regarding derivative instruments, refer to Note 5, “</w:t>
      </w:r>
      <w:r>
        <w:rPr>
          <w:rFonts w:ascii="Times New Roman" w:hAnsi="Times New Roman"/>
          <w:i/>
          <w:color w:val="000000"/>
          <w:sz w:val="20"/>
        </w:rPr>
        <w:t xml:space="preserve">Derivative Instruments,” </w:t>
      </w:r>
      <w:r>
        <w:rPr>
          <w:rFonts w:ascii="Times New Roman" w:hAnsi="Times New Roman"/>
          <w:color w:val="000000"/>
          <w:sz w:val="20"/>
        </w:rPr>
        <w:t>to the Notes to Consolidated Financial Statements included in Part I, Item 1 of this Form 10-Q.</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as compared to the critical accounting policies and estimates described in the 2025 Form 10-K.</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Refer to Note 1, “</w:t>
      </w:r>
      <w:r>
        <w:rPr>
          <w:rFonts w:ascii="Times New Roman" w:hAnsi="Times New Roman"/>
          <w:i/>
          <w:color w:val="000000"/>
          <w:sz w:val="20"/>
        </w:rPr>
        <w:t>Summary of Significant Accounting Policies</w:t>
      </w:r>
      <w:r>
        <w:rPr>
          <w:rFonts w:ascii="Times New Roman" w:hAnsi="Times New Roman"/>
          <w:color w:val="000000"/>
          <w:sz w:val="20"/>
        </w:rPr>
        <w:t xml:space="preserve">,” to the Notes to Consolidated Financial Statements included in Part I, Item 1 of this Form 10-Q for information regarding recently issued accounting pronouncements. </w:t>
      </w:r>
    </w:p>
    <w:p>
      <w:pPr>
        <w:pStyle w:val="TextBody"/>
        <w:bidi w:val="0"/>
        <w:spacing w:before="36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interest rate risk in connection with the Amended First Lien Term Loan and the ABL Revolving Credit Facility. As of August 1, 2026, we had $897.8 million outstanding under the Amended First Lien Term Loan and no amounts outstanding under the ABL Revolving Credit Facility. The Amended First Lien Term Loan and the ABL Revolving Credit Facility each bear interest at variable rates. An increase of 100 basis points in the variable rates on the Amended First Lien Term Loan and the ABL Revolving Credit Facility as of August 1, 2026 would have increased annual cash interest in the aggregate by approximately $9.1 million. Additionally, we entered into cash flow hedges to limit the maximum interest rate on a portion of our variable-rate debt and limit our exposure to interest rate variability, refer to Note 5, “Derivative Instruments,” to the Notes to Consolidated Financial Statements included in Part I, Item 1 of this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August 1, 2026, substantially all of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of our business is currently conducted in U.S. dollars, with a small amount denominated in foreign currencies. Our expenses are generally denominated in the currencies of the jurisdictions in which we conduct our operations. Our results of current and future operations and cash flows are subject to fluctuations due to changes in foreign currency exchange rates. We do not enter into forward currency contracts to hedge our foreign currency exposure. A hypothetical 10% change in foreign currency exchange rates applicable to our business would not have a material effect on our operating results.</w:t>
      </w:r>
    </w:p>
    <w:p>
      <w:pPr>
        <w:pStyle w:val="TextBody"/>
        <w:bidi w:val="0"/>
        <w:spacing w:before="36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Management’s 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August 1,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change in our internal control over financial reporting that occurred during the quarter ended August 1, 2026, which has materially affected, or is reasonably likely to materially affect, our internal control over financial reporting. </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Limitations on the Effectiveness of Controls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disclosure controls and procedures are designed to provide reasonable assurance of achieving their objectives.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sz w:val="20"/>
        </w:rPr>
      </w:pPr>
      <w:r>
        <w:rPr>
          <w:rFonts w:ascii="Times New Roman" w:hAnsi="Times New Roman"/>
          <w:color w:val="000000"/>
          <w:sz w:val="20"/>
        </w:rPr>
        <w:t>See Note 8, “</w:t>
      </w:r>
      <w:r>
        <w:rPr>
          <w:rFonts w:ascii="Times New Roman" w:hAnsi="Times New Roman"/>
          <w:i/>
          <w:color w:val="000000"/>
          <w:sz w:val="20"/>
        </w:rPr>
        <w:t>Commitments and Contingencies</w:t>
      </w:r>
      <w:r>
        <w:rPr>
          <w:rFonts w:ascii="Times New Roman" w:hAnsi="Times New Roman"/>
          <w:color w:val="000000"/>
          <w:sz w:val="20"/>
        </w:rPr>
        <w:t>,” to the Notes to Consolidated Financial Statements included in Part I, Item 1 of this Form 10-Q for a description of legal proceedings, which is incorporated herein by reference.</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color w:val="000000"/>
          <w:sz w:val="20"/>
        </w:rPr>
        <w:t>Reference is made to Part I, Item 1A, “</w:t>
      </w:r>
      <w:r>
        <w:rPr>
          <w:rFonts w:ascii="Times New Roman" w:hAnsi="Times New Roman"/>
          <w:i/>
          <w:color w:val="000000"/>
          <w:sz w:val="20"/>
        </w:rPr>
        <w:t>Risk Factors</w:t>
      </w:r>
      <w:r>
        <w:rPr>
          <w:rFonts w:ascii="Times New Roman" w:hAnsi="Times New Roman"/>
          <w:color w:val="000000"/>
          <w:sz w:val="20"/>
        </w:rPr>
        <w:t>” included in the 2025 Form 10-K for information concerning risk factors. There have been no material changes with respect to the risk factors disclosed in the 2025 Form 10-K. You should carefully consider such factors, which could materially and adversely affect our business, financial condition and/or results of operations. The risks described in the 2025 Form 10-K are not the only risks we face. Additional risks and uncertainties not currently known to us or that we currently deem to be immaterial also may materially and adversely affect our business, financial condition and/or results of operations.</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directors or Section 16 officers adopted or terminated a Rule 10b5-1 trading arrangement (as defined in Item 408(a) of Regulation S-K) or a non-Rule 10b5-1 trading arrangement (as defined in Item 408(c) of Regulation S-K) during the quarterly period covered by this Form 10-Q.</w:t>
      </w:r>
    </w:p>
    <w:p>
      <w:pPr>
        <w:pStyle w:val="TextBody"/>
        <w:bidi w:val="0"/>
        <w:spacing w:before="12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list of exhibits filed as part of this Quarterly Report on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2"/>
        <w:gridCol w:w="146"/>
        <w:gridCol w:w="9217"/>
      </w:tblGrid>
      <w:tr>
        <w:trPr/>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7" w:type="dxa"/>
            <w:tcBorders/>
            <w:vAlign w:val="center"/>
          </w:tcPr>
          <w:p>
            <w:pPr>
              <w:pStyle w:val="TableContents"/>
              <w:bidi w:val="0"/>
              <w:spacing w:before="0" w:after="283"/>
              <w:jc w:val="left"/>
              <w:rPr>
                <w:sz w:val="4"/>
                <w:szCs w:val="4"/>
              </w:rPr>
            </w:pPr>
            <w:r>
              <w:rPr>
                <w:sz w:val="4"/>
                <w:szCs w:val="4"/>
              </w:rPr>
            </w:r>
          </w:p>
        </w:tc>
      </w:tr>
      <w:tr>
        <w:trPr/>
        <w:tc>
          <w:tcPr>
            <w:tcW w:w="84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Second Amendment to Petco Health and Wellness Company, Inc. 2021 Equity Incentive Plan (incorporated by reference to Exhibit 10.1 of the Company’s Current Report on Form 8-K, filed on July 1, 2026)</w:t>
              </w:r>
            </w:hyperlink>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oof-ex10_2.htm">
              <w:r>
                <w:rPr>
                  <w:rStyle w:val="InternetLink"/>
                  <w:rFonts w:ascii="Times New Roman" w:hAnsi="Times New Roman"/>
                  <w:color w:val="0000FF"/>
                  <w:sz w:val="20"/>
                  <w:u w:val="single"/>
                </w:rPr>
                <w:t>Amended and Restated Executive Severance Plan</w:t>
              </w:r>
            </w:hyperlink>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oof-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oof-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oof-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oof-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With Embedded Linkbase Documents</w:t>
            </w:r>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r>
        <w:trPr/>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tbl>
      <w:tblPr>
        <w:tblW w:w="5150" w:type="dxa"/>
        <w:jc w:val="left"/>
        <w:tblInd w:w="0" w:type="dxa"/>
        <w:tblLayout w:type="fixed"/>
        <w:tblCellMar>
          <w:top w:w="28" w:type="dxa"/>
          <w:left w:w="28" w:type="dxa"/>
          <w:bottom w:w="28" w:type="dxa"/>
          <w:right w:w="28" w:type="dxa"/>
        </w:tblCellMar>
      </w:tblPr>
      <w:tblGrid>
        <w:gridCol w:w="124"/>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50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Management contract or compensatory plan or arrangement.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 and not deemed to be “filed” for purposes of Section 18 of the Securities Exchange Act of 1934, as amended, or incorporated by reference into any filing under the Securities Act of 1933, as amended, or the Securities Exchange Act of 1934, as amended.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34" w:type="dxa"/>
        <w:jc w:val="left"/>
        <w:tblInd w:w="0" w:type="dxa"/>
        <w:tblLayout w:type="fixed"/>
        <w:tblCellMar>
          <w:top w:w="28" w:type="dxa"/>
          <w:left w:w="28" w:type="dxa"/>
          <w:bottom w:w="28" w:type="dxa"/>
          <w:right w:w="28" w:type="dxa"/>
        </w:tblCellMar>
      </w:tblPr>
      <w:tblGrid>
        <w:gridCol w:w="2116"/>
        <w:gridCol w:w="406"/>
        <w:gridCol w:w="146"/>
        <w:gridCol w:w="3766"/>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Petco Health and Wellness Company, Inc.</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4,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Sabrina Simmons</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Sabrina Simmons</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tbl>
      <w:tblPr>
        <w:tblW w:w="790" w:type="dxa"/>
        <w:jc w:val="left"/>
        <w:tblInd w:w="0" w:type="dxa"/>
        <w:tblLayout w:type="fixed"/>
        <w:tblCellMar>
          <w:top w:w="28" w:type="dxa"/>
          <w:left w:w="28" w:type="dxa"/>
          <w:bottom w:w="28" w:type="dxa"/>
          <w:right w:w="28" w:type="dxa"/>
        </w:tblCellMar>
      </w:tblPr>
      <w:tblGrid>
        <w:gridCol w:w="161"/>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2" w:name="woof-ex10_2.htm"/>
      <w:bookmarkStart w:id="23" w:name="kswoofex10_2"/>
      <w:bookmarkEnd w:id="22"/>
      <w:bookmarkEnd w:id="23"/>
      <w:r>
        <w:rPr>
          <w:rFonts w:ascii="Times New Roman" w:hAnsi="Times New Roman"/>
          <w:b/>
          <w:color w:val="000000"/>
          <w:sz w:val="24"/>
        </w:rPr>
        <w:t>EXHIBIT 10.2</w:t>
      </w:r>
      <w:r>
        <w:br w:type="page"/>
      </w:r>
    </w:p>
    <w:p>
      <w:pPr>
        <w:pStyle w:val="TextBody"/>
        <w:bidi w:val="0"/>
        <w:jc w:val="center"/>
        <w:rPr>
          <w:rFonts w:ascii="Times New Roman" w:hAnsi="Times New Roman"/>
          <w:b/>
          <w:color w:val="002060"/>
          <w:sz w:val="23"/>
        </w:rPr>
      </w:pPr>
      <w:r>
        <w:rPr>
          <w:rFonts w:ascii="Times New Roman" w:hAnsi="Times New Roman"/>
          <w:b/>
          <w:color w:val="002060"/>
          <w:sz w:val="23"/>
        </w:rPr>
        <w:t>PETCO HEALTH AND WELLNESS COMPANY, INC.</w:t>
      </w:r>
    </w:p>
    <w:p>
      <w:pPr>
        <w:pStyle w:val="TextBody"/>
        <w:bidi w:val="0"/>
        <w:spacing w:before="0" w:after="240"/>
        <w:jc w:val="center"/>
        <w:rPr>
          <w:rFonts w:ascii="Times New Roman" w:hAnsi="Times New Roman"/>
          <w:b/>
          <w:color w:val="002060"/>
          <w:sz w:val="23"/>
        </w:rPr>
      </w:pPr>
      <w:r>
        <w:rPr>
          <w:rFonts w:ascii="Times New Roman" w:hAnsi="Times New Roman"/>
          <w:b/>
          <w:color w:val="002060"/>
          <w:sz w:val="23"/>
        </w:rPr>
        <w:t>AMENDED AND RESTATED EXECUTIVE SEVERANCE PLAN</w:t>
      </w:r>
    </w:p>
    <w:p>
      <w:pPr>
        <w:pStyle w:val="TextBody"/>
        <w:bidi w:val="0"/>
        <w:spacing w:before="0" w:after="240"/>
        <w:jc w:val="center"/>
        <w:rPr/>
      </w:pPr>
      <w:r>
        <w:rPr/>
        <w:t> </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1.</w:t>
      </w:r>
    </w:p>
    <w:p>
      <w:pPr>
        <w:pStyle w:val="TextBody"/>
        <w:bidi w:val="0"/>
        <w:spacing w:before="0" w:after="240"/>
        <w:jc w:val="both"/>
        <w:rPr>
          <w:rFonts w:ascii="Times New Roman" w:hAnsi="Times New Roman"/>
          <w:sz w:val="23"/>
        </w:rPr>
      </w:pPr>
      <w:r>
        <w:rPr>
          <w:rFonts w:ascii="Times New Roman" w:hAnsi="Times New Roman"/>
          <w:b/>
          <w:color w:val="002060"/>
          <w:sz w:val="23"/>
        </w:rPr>
        <w:t>Purpose.</w:t>
      </w:r>
      <w:r>
        <w:rPr>
          <w:rFonts w:ascii="Times New Roman" w:hAnsi="Times New Roman"/>
          <w:color w:val="002060"/>
          <w:sz w:val="23"/>
        </w:rPr>
        <w:t xml:space="preserve"> The purpose of the Petco Health and Wellness Company, Inc. Amended and Restated Executive Severance Plan (the “</w:t>
      </w:r>
      <w:r>
        <w:rPr>
          <w:rFonts w:ascii="Times New Roman" w:hAnsi="Times New Roman"/>
          <w:b/>
          <w:i/>
          <w:color w:val="002060"/>
          <w:sz w:val="23"/>
        </w:rPr>
        <w:t>Plan</w:t>
      </w:r>
      <w:r>
        <w:rPr>
          <w:rFonts w:ascii="Times New Roman" w:hAnsi="Times New Roman"/>
          <w:color w:val="002060"/>
          <w:sz w:val="23"/>
        </w:rPr>
        <w:t>”) is to provide severance benefits to certain employees of Petco Health and Wellness Company, Inc. and its Affiliates (as defined below) in the event of a Qualifying Termination (as defined below). The Plan is maintained for the purpose of providing benefits for a select group of management or highly compensated employees.</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2.</w:t>
      </w:r>
    </w:p>
    <w:p>
      <w:pPr>
        <w:pStyle w:val="TextBody"/>
        <w:bidi w:val="0"/>
        <w:spacing w:before="0" w:after="240"/>
        <w:jc w:val="both"/>
        <w:rPr>
          <w:rFonts w:ascii="Times New Roman" w:hAnsi="Times New Roman"/>
          <w:sz w:val="23"/>
        </w:rPr>
      </w:pPr>
      <w:r>
        <w:rPr>
          <w:rFonts w:ascii="Times New Roman" w:hAnsi="Times New Roman"/>
          <w:b/>
          <w:color w:val="002060"/>
          <w:sz w:val="23"/>
        </w:rPr>
        <w:t>Term.</w:t>
      </w:r>
      <w:r>
        <w:rPr>
          <w:rFonts w:ascii="Times New Roman" w:hAnsi="Times New Roman"/>
          <w:color w:val="002060"/>
          <w:sz w:val="23"/>
        </w:rPr>
        <w:t xml:space="preserve"> The Plan was originally effective as of September 29, 2022, was amended and restated effective as of June 4, 2025, and was further amended and restated effective as of June 3, 2026 (the “</w:t>
      </w:r>
      <w:r>
        <w:rPr>
          <w:rFonts w:ascii="Times New Roman" w:hAnsi="Times New Roman"/>
          <w:b/>
          <w:i/>
          <w:color w:val="002060"/>
          <w:sz w:val="23"/>
        </w:rPr>
        <w:t>Restatement Effective Date</w:t>
      </w:r>
      <w:r>
        <w:rPr>
          <w:rFonts w:ascii="Times New Roman" w:hAnsi="Times New Roman"/>
          <w:color w:val="002060"/>
          <w:sz w:val="23"/>
        </w:rPr>
        <w:t xml:space="preserve">”). The Plan will remain in effect until terminated pursuant to </w:t>
      </w:r>
      <w:r>
        <w:rPr>
          <w:rFonts w:ascii="Times New Roman" w:hAnsi="Times New Roman"/>
          <w:color w:val="002060"/>
          <w:sz w:val="23"/>
          <w:u w:val="single"/>
        </w:rPr>
        <w:t>Section 9</w:t>
      </w:r>
      <w:r>
        <w:rPr>
          <w:rFonts w:ascii="Times New Roman" w:hAnsi="Times New Roman"/>
          <w:color w:val="002060"/>
          <w:sz w:val="23"/>
        </w:rPr>
        <w:t>.</w:t>
      </w:r>
    </w:p>
    <w:p>
      <w:pPr>
        <w:pStyle w:val="TextBody"/>
        <w:bidi w:val="0"/>
        <w:spacing w:before="0" w:after="240"/>
        <w:jc w:val="left"/>
        <w:rPr>
          <w:rFonts w:ascii="Times New Roman" w:hAnsi="Times New Roman"/>
          <w:color w:val="002060"/>
          <w:sz w:val="23"/>
        </w:rPr>
      </w:pPr>
      <w:r>
        <w:rPr>
          <w:rFonts w:ascii="Times New Roman" w:hAnsi="Times New Roman"/>
          <w:color w:val="002060"/>
          <w:sz w:val="23"/>
        </w:rPr>
        <w:t>3.</w:t>
      </w:r>
    </w:p>
    <w:p>
      <w:pPr>
        <w:pStyle w:val="TextBody"/>
        <w:bidi w:val="0"/>
        <w:spacing w:before="0" w:after="240"/>
        <w:jc w:val="left"/>
        <w:rPr>
          <w:rFonts w:ascii="Times New Roman" w:hAnsi="Times New Roman"/>
          <w:b/>
          <w:color w:val="002060"/>
          <w:sz w:val="23"/>
        </w:rPr>
      </w:pPr>
      <w:r>
        <w:rPr>
          <w:rFonts w:ascii="Times New Roman" w:hAnsi="Times New Roman"/>
          <w:b/>
          <w:color w:val="002060"/>
          <w:sz w:val="23"/>
        </w:rPr>
        <w:t>Definitions.</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(a)</w:t>
      </w:r>
    </w:p>
    <w:p>
      <w:pPr>
        <w:pStyle w:val="TextBody"/>
        <w:bidi w:val="0"/>
        <w:spacing w:before="0" w:after="240"/>
        <w:jc w:val="both"/>
        <w:rPr/>
      </w:pPr>
      <w:r>
        <w:rPr>
          <w:color w:val="002060"/>
        </w:rPr>
        <w:t>“</w:t>
      </w:r>
      <w:r>
        <w:rPr>
          <w:rFonts w:ascii="Times New Roman" w:hAnsi="Times New Roman"/>
          <w:b/>
          <w:i/>
          <w:color w:val="002060"/>
          <w:sz w:val="23"/>
        </w:rPr>
        <w:t>Affiliate</w:t>
      </w:r>
      <w:r>
        <w:rPr>
          <w:rFonts w:ascii="Times New Roman" w:hAnsi="Times New Roman"/>
          <w:color w:val="002060"/>
          <w:sz w:val="23"/>
        </w:rPr>
        <w:t>” means any entity in which the Company has a substantial direct or indirect equity interest.</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(b)</w:t>
      </w:r>
    </w:p>
    <w:p>
      <w:pPr>
        <w:pStyle w:val="TextBody"/>
        <w:bidi w:val="0"/>
        <w:spacing w:before="0" w:after="240"/>
        <w:jc w:val="both"/>
        <w:rPr/>
      </w:pPr>
      <w:r>
        <w:rPr>
          <w:color w:val="002060"/>
        </w:rPr>
        <w:t>“</w:t>
      </w:r>
      <w:r>
        <w:rPr>
          <w:rFonts w:ascii="Times New Roman" w:hAnsi="Times New Roman"/>
          <w:b/>
          <w:i/>
          <w:color w:val="002060"/>
          <w:sz w:val="23"/>
        </w:rPr>
        <w:t>Base Salary</w:t>
      </w:r>
      <w:r>
        <w:rPr>
          <w:rFonts w:ascii="Times New Roman" w:hAnsi="Times New Roman"/>
          <w:color w:val="002060"/>
          <w:sz w:val="23"/>
        </w:rPr>
        <w:t>” means the annual base salary in effect for the Participant immediately before the Participant’s termination of employment (without giving effect to any reduction that constitutes Good Reason), excluding overtime, bonuses, incentive compensation or any other special payments.</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(c)</w:t>
      </w:r>
    </w:p>
    <w:p>
      <w:pPr>
        <w:pStyle w:val="TextBody"/>
        <w:bidi w:val="0"/>
        <w:spacing w:before="0" w:after="240"/>
        <w:jc w:val="both"/>
        <w:rPr/>
      </w:pPr>
      <w:r>
        <w:rPr>
          <w:color w:val="002060"/>
        </w:rPr>
        <w:t>“</w:t>
      </w:r>
      <w:r>
        <w:rPr>
          <w:rFonts w:ascii="Times New Roman" w:hAnsi="Times New Roman"/>
          <w:b/>
          <w:i/>
          <w:color w:val="002060"/>
          <w:sz w:val="23"/>
        </w:rPr>
        <w:t>Board</w:t>
      </w:r>
      <w:r>
        <w:rPr>
          <w:rFonts w:ascii="Times New Roman" w:hAnsi="Times New Roman"/>
          <w:color w:val="002060"/>
          <w:sz w:val="23"/>
        </w:rPr>
        <w:t>” means the Board of Directors of the Company.</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(d)</w:t>
      </w:r>
    </w:p>
    <w:p>
      <w:pPr>
        <w:pStyle w:val="TextBody"/>
        <w:bidi w:val="0"/>
        <w:spacing w:before="0" w:after="240"/>
        <w:jc w:val="both"/>
        <w:rPr/>
      </w:pPr>
      <w:r>
        <w:rPr>
          <w:color w:val="002060"/>
        </w:rPr>
        <w:t>“</w:t>
      </w:r>
      <w:r>
        <w:rPr>
          <w:rFonts w:ascii="Times New Roman" w:hAnsi="Times New Roman"/>
          <w:b/>
          <w:i/>
          <w:color w:val="002060"/>
          <w:sz w:val="23"/>
        </w:rPr>
        <w:t>Cause</w:t>
      </w:r>
      <w:r>
        <w:rPr>
          <w:rFonts w:ascii="Times New Roman" w:hAnsi="Times New Roman"/>
          <w:color w:val="002060"/>
          <w:sz w:val="23"/>
        </w:rPr>
        <w:t>” means, as determined by the Committee: (i) the Participant’s material breach of any agreement between the Participant and the Company or of any provisions of the Company’s Code of Conduct or other Company policy, which, if capable of cure, remains uncured after 30 days following the Company’s written notice to the Participant thereof; (ii) the Participant’s failure to perform the Participant’s duties to standards acceptable to the Company, as determined in the Committee’s discretion, or the Participant’s gross negligence in performing, or unfitness or unavailability to perform, the Participant’s job duties, in each case, which, if capable of cure, remains uncured after 30 days following the Company’s written notice to the Participant thereof; (iii) the Participant’s commission of an act of theft, fraud or dishonesty in the performance of the Participant’s duties or the Participant’s breach of the Participant’s duty of care or loyalty to the Company; (iv) the Participant’s conviction of, or entry of a guilty or no-contest plea to, any misdemeanor involving dishonesty, fraud or moral turpitude or any felony; or (v) the Participant acting in bad faith or engaging in willful misconduct. A Participant’s employment will be deemed to have been terminated for Cause if it is determined subsequent to such Participant’s termination that grounds for a termination for Cause existed at the time of such termination, as determined by the Committee.</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(e)</w:t>
      </w:r>
    </w:p>
    <w:p>
      <w:pPr>
        <w:pStyle w:val="TextBody"/>
        <w:bidi w:val="0"/>
        <w:spacing w:before="0" w:after="240"/>
        <w:jc w:val="both"/>
        <w:rPr/>
      </w:pPr>
      <w:r>
        <w:rPr>
          <w:color w:val="002060"/>
        </w:rPr>
        <w:t>“</w:t>
      </w:r>
      <w:r>
        <w:rPr>
          <w:rFonts w:ascii="Times New Roman" w:hAnsi="Times New Roman"/>
          <w:b/>
          <w:i/>
          <w:color w:val="002060"/>
          <w:sz w:val="23"/>
        </w:rPr>
        <w:t>Change in Control</w:t>
      </w:r>
      <w:r>
        <w:rPr>
          <w:rFonts w:ascii="Times New Roman" w:hAnsi="Times New Roman"/>
          <w:color w:val="002060"/>
          <w:sz w:val="23"/>
        </w:rPr>
        <w:t>” has the meaning set forth in the Petco Health and Wellness Company, Inc. 2021 Equity Incentive Plan or any successor equity incentive plan adopted by the Company.</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(f)</w:t>
      </w:r>
    </w:p>
    <w:p>
      <w:pPr>
        <w:pStyle w:val="TextBody"/>
        <w:bidi w:val="0"/>
        <w:spacing w:before="0" w:after="240"/>
        <w:jc w:val="both"/>
        <w:rPr/>
      </w:pPr>
      <w:r>
        <w:rPr>
          <w:color w:val="002060"/>
        </w:rPr>
        <w:t>“</w:t>
      </w:r>
      <w:r>
        <w:rPr>
          <w:rFonts w:ascii="Times New Roman" w:hAnsi="Times New Roman"/>
          <w:b/>
          <w:i/>
          <w:color w:val="002060"/>
          <w:sz w:val="23"/>
        </w:rPr>
        <w:t>COBRA</w:t>
      </w:r>
      <w:r>
        <w:rPr>
          <w:rFonts w:ascii="Times New Roman" w:hAnsi="Times New Roman"/>
          <w:color w:val="002060"/>
          <w:sz w:val="23"/>
        </w:rPr>
        <w:t>” means the Consolidated Omnibus Budget Reconciliation Act of 1985 and any guidance and regulations promulgated thereunder.</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(g)</w:t>
      </w:r>
    </w:p>
    <w:p>
      <w:pPr>
        <w:pStyle w:val="TextBody"/>
        <w:bidi w:val="0"/>
        <w:spacing w:before="0" w:after="240"/>
        <w:jc w:val="both"/>
        <w:rPr/>
      </w:pPr>
      <w:r>
        <w:rPr>
          <w:color w:val="002060"/>
        </w:rPr>
        <w:t>“</w:t>
      </w:r>
      <w:r>
        <w:rPr>
          <w:rFonts w:ascii="Times New Roman" w:hAnsi="Times New Roman"/>
          <w:b/>
          <w:i/>
          <w:color w:val="002060"/>
          <w:sz w:val="23"/>
        </w:rPr>
        <w:t>Code</w:t>
      </w:r>
      <w:r>
        <w:rPr>
          <w:rFonts w:ascii="Times New Roman" w:hAnsi="Times New Roman"/>
          <w:color w:val="002060"/>
          <w:sz w:val="23"/>
        </w:rPr>
        <w:t>” means the Internal Revenue Code of 1986 and any guidance and regulations promulgated thereunder.</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(h)</w:t>
      </w:r>
    </w:p>
    <w:p>
      <w:pPr>
        <w:pStyle w:val="TextBody"/>
        <w:bidi w:val="0"/>
        <w:spacing w:before="0" w:after="240"/>
        <w:jc w:val="both"/>
        <w:rPr/>
      </w:pPr>
      <w:r>
        <w:rPr>
          <w:color w:val="002060"/>
        </w:rPr>
        <w:t>“</w:t>
      </w:r>
      <w:r>
        <w:rPr>
          <w:rFonts w:ascii="Times New Roman" w:hAnsi="Times New Roman"/>
          <w:b/>
          <w:i/>
          <w:color w:val="002060"/>
          <w:sz w:val="23"/>
        </w:rPr>
        <w:t>Committee</w:t>
      </w:r>
      <w:r>
        <w:rPr>
          <w:rFonts w:ascii="Times New Roman" w:hAnsi="Times New Roman"/>
          <w:color w:val="002060"/>
          <w:sz w:val="23"/>
        </w:rPr>
        <w:t>” means the Compensation Committee of the Board or another duly constituted committee of the Board designated by the Board as the Committee hereunder.</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(i)</w:t>
      </w:r>
    </w:p>
    <w:p>
      <w:pPr>
        <w:pStyle w:val="TextBody"/>
        <w:bidi w:val="0"/>
        <w:spacing w:before="0" w:after="240"/>
        <w:jc w:val="both"/>
        <w:rPr/>
      </w:pPr>
      <w:r>
        <w:rPr>
          <w:color w:val="002060"/>
        </w:rPr>
        <w:t>“</w:t>
      </w:r>
      <w:r>
        <w:rPr>
          <w:rFonts w:ascii="Times New Roman" w:hAnsi="Times New Roman"/>
          <w:b/>
          <w:i/>
          <w:color w:val="002060"/>
          <w:sz w:val="23"/>
        </w:rPr>
        <w:t>Company</w:t>
      </w:r>
      <w:r>
        <w:rPr>
          <w:rFonts w:ascii="Times New Roman" w:hAnsi="Times New Roman"/>
          <w:color w:val="002060"/>
          <w:sz w:val="23"/>
        </w:rPr>
        <w:t>” means Petco Health and Wellness Company, Inc. and its Affiliates (including the Employer), and shall include any successor.</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(j)</w:t>
      </w:r>
    </w:p>
    <w:p>
      <w:pPr>
        <w:pStyle w:val="TextBody"/>
        <w:bidi w:val="0"/>
        <w:spacing w:before="0" w:after="240"/>
        <w:jc w:val="both"/>
        <w:rPr/>
      </w:pPr>
      <w:r>
        <w:rPr>
          <w:color w:val="002060"/>
        </w:rPr>
        <w:t>“</w:t>
      </w:r>
      <w:r>
        <w:rPr>
          <w:rFonts w:ascii="Times New Roman" w:hAnsi="Times New Roman"/>
          <w:b/>
          <w:i/>
          <w:color w:val="002060"/>
          <w:sz w:val="23"/>
        </w:rPr>
        <w:t>Confidentiality Agreement</w:t>
      </w:r>
      <w:r>
        <w:rPr>
          <w:rFonts w:ascii="Times New Roman" w:hAnsi="Times New Roman"/>
          <w:color w:val="002060"/>
          <w:sz w:val="23"/>
        </w:rPr>
        <w:t>” means a Participant’s confidentiality and inventions agreement with the Company.</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(k)</w:t>
      </w:r>
    </w:p>
    <w:p>
      <w:pPr>
        <w:pStyle w:val="TextBody"/>
        <w:bidi w:val="0"/>
        <w:spacing w:before="0" w:after="240"/>
        <w:jc w:val="both"/>
        <w:rPr/>
      </w:pPr>
      <w:r>
        <w:rPr>
          <w:color w:val="002060"/>
        </w:rPr>
        <w:t>“</w:t>
      </w:r>
      <w:r>
        <w:rPr>
          <w:rFonts w:ascii="Times New Roman" w:hAnsi="Times New Roman"/>
          <w:b/>
          <w:i/>
          <w:color w:val="002060"/>
          <w:sz w:val="23"/>
        </w:rPr>
        <w:t>Disability</w:t>
      </w:r>
      <w:r>
        <w:rPr>
          <w:rFonts w:ascii="Times New Roman" w:hAnsi="Times New Roman"/>
          <w:color w:val="002060"/>
          <w:sz w:val="23"/>
        </w:rPr>
        <w:t>” means, as determined by the Committee, a physical or mental condition of the Participant that would entitle the Participant to payment of disability income payments under the Company’s long-term disability insurance policy or plan for employees as then in effect; or in the event that a Participant is not covered, for whatever reason under the Company’s long-term disability insurance policy or plan for employees or in the event the Company does not maintain such a long-term disability insurance policy, “Disability” means a permanent and total disability as defined in Section 22(e)(3) of the Code. A determination of Disability may be made by a physician selected or approved by the Committee and, in this respect, Participants shall submit to an examination by such physician upon request by the Committee.</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(l)</w:t>
      </w:r>
    </w:p>
    <w:p>
      <w:pPr>
        <w:pStyle w:val="TextBody"/>
        <w:bidi w:val="0"/>
        <w:spacing w:before="0" w:after="240"/>
        <w:jc w:val="both"/>
        <w:rPr/>
      </w:pPr>
      <w:r>
        <w:rPr>
          <w:color w:val="002060"/>
        </w:rPr>
        <w:t>“</w:t>
      </w:r>
      <w:r>
        <w:rPr>
          <w:rFonts w:ascii="Times New Roman" w:hAnsi="Times New Roman"/>
          <w:b/>
          <w:i/>
          <w:color w:val="002060"/>
          <w:sz w:val="23"/>
        </w:rPr>
        <w:t>Employer</w:t>
      </w:r>
      <w:r>
        <w:rPr>
          <w:rFonts w:ascii="Times New Roman" w:hAnsi="Times New Roman"/>
          <w:color w:val="002060"/>
          <w:sz w:val="23"/>
        </w:rPr>
        <w:t>” means Petco Animal Supplies Stores, Inc. or any other applicable Affiliate that employs a Participant.</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(m)</w:t>
      </w:r>
    </w:p>
    <w:p>
      <w:pPr>
        <w:pStyle w:val="TextBody"/>
        <w:bidi w:val="0"/>
        <w:spacing w:before="0" w:after="240"/>
        <w:jc w:val="both"/>
        <w:rPr/>
      </w:pPr>
      <w:r>
        <w:rPr>
          <w:color w:val="002060"/>
        </w:rPr>
        <w:t>“</w:t>
      </w:r>
      <w:r>
        <w:rPr>
          <w:rFonts w:ascii="Times New Roman" w:hAnsi="Times New Roman"/>
          <w:b/>
          <w:i/>
          <w:color w:val="002060"/>
          <w:sz w:val="23"/>
        </w:rPr>
        <w:t>ERISA</w:t>
      </w:r>
      <w:r>
        <w:rPr>
          <w:rFonts w:ascii="Times New Roman" w:hAnsi="Times New Roman"/>
          <w:color w:val="002060"/>
          <w:sz w:val="23"/>
        </w:rPr>
        <w:t>” means the Employee Retirement Income Security Act of 1974 and any guidance and regulations promulgated thereunder.</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(n)</w:t>
      </w:r>
    </w:p>
    <w:p>
      <w:pPr>
        <w:pStyle w:val="TextBody"/>
        <w:bidi w:val="0"/>
        <w:spacing w:before="0" w:after="240"/>
        <w:jc w:val="both"/>
        <w:rPr/>
      </w:pPr>
      <w:r>
        <w:rPr>
          <w:color w:val="002060"/>
        </w:rPr>
        <w:t>“</w:t>
      </w:r>
      <w:r>
        <w:rPr>
          <w:rFonts w:ascii="Times New Roman" w:hAnsi="Times New Roman"/>
          <w:b/>
          <w:i/>
          <w:color w:val="002060"/>
          <w:sz w:val="23"/>
        </w:rPr>
        <w:t>Good Reason</w:t>
      </w:r>
      <w:r>
        <w:rPr>
          <w:rFonts w:ascii="Times New Roman" w:hAnsi="Times New Roman"/>
          <w:color w:val="002060"/>
          <w:sz w:val="23"/>
        </w:rPr>
        <w:t xml:space="preserve">” means the occurrence of any of the following without the prior consent of the Participant: (i) a material diminution in the Participant’s authority, duties or responsibilities; (ii) a material diminution in the Participant’s base salary; (iii) a relocation of the Participant’s principal place of employment by more than 50 miles; or (iv) a material breach by the Company of </w:t>
      </w:r>
      <w:r>
        <w:rPr>
          <w:rFonts w:ascii="Times New Roman" w:hAnsi="Times New Roman"/>
          <w:color w:val="002060"/>
          <w:sz w:val="23"/>
          <w:u w:val="single"/>
        </w:rPr>
        <w:t>Section 13</w:t>
      </w:r>
      <w:r>
        <w:rPr>
          <w:rFonts w:ascii="Times New Roman" w:hAnsi="Times New Roman"/>
          <w:color w:val="002060"/>
          <w:sz w:val="23"/>
        </w:rPr>
        <w:t xml:space="preserve">. Notwithstanding the foregoing, any assertion by the Participant of a termination for Good Reason shall not be effective unless: (A) the Participant provides written notice to the Company of the existence of one or more of the foregoing conditions within 30 days after the initial occurrence of such condition(s); (B) the condition(s) specified in such written notice remain uncorrected for 30 days following the Company’s receipt of such written notice; and (C) the date of the termination of the Participant’s employment with the Company </w:t>
      </w:r>
    </w:p>
    <w:p>
      <w:pPr>
        <w:pStyle w:val="TextBody"/>
        <w:bidi w:val="0"/>
        <w:jc w:val="center"/>
        <w:rPr>
          <w:rFonts w:ascii="Times New Roman" w:hAnsi="Times New Roman"/>
          <w:color w:val="002060"/>
          <w:sz w:val="22"/>
        </w:rPr>
      </w:pPr>
      <w:r>
        <w:rPr>
          <w:rFonts w:ascii="Times New Roman" w:hAnsi="Times New Roman"/>
          <w:color w:val="00206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occurs within 90 days after the initial occurrence of the condition(s) specified in such written notice.</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(o)</w:t>
      </w:r>
    </w:p>
    <w:p>
      <w:pPr>
        <w:pStyle w:val="TextBody"/>
        <w:bidi w:val="0"/>
        <w:spacing w:before="0" w:after="240"/>
        <w:jc w:val="both"/>
        <w:rPr/>
      </w:pPr>
      <w:r>
        <w:rPr>
          <w:color w:val="002060"/>
        </w:rPr>
        <w:t>“</w:t>
      </w:r>
      <w:r>
        <w:rPr>
          <w:rFonts w:ascii="Times New Roman" w:hAnsi="Times New Roman"/>
          <w:b/>
          <w:i/>
          <w:color w:val="002060"/>
          <w:sz w:val="23"/>
        </w:rPr>
        <w:t>Participant</w:t>
      </w:r>
      <w:r>
        <w:rPr>
          <w:rFonts w:ascii="Times New Roman" w:hAnsi="Times New Roman"/>
          <w:color w:val="002060"/>
          <w:sz w:val="23"/>
        </w:rPr>
        <w:t xml:space="preserve">” means an employee of the Company who participates in the Plan pursuant to </w:t>
      </w:r>
      <w:r>
        <w:rPr>
          <w:rFonts w:ascii="Times New Roman" w:hAnsi="Times New Roman"/>
          <w:color w:val="002060"/>
          <w:sz w:val="23"/>
          <w:u w:val="single"/>
        </w:rPr>
        <w:t>Section 4</w:t>
      </w:r>
      <w:r>
        <w:rPr>
          <w:rFonts w:ascii="Times New Roman" w:hAnsi="Times New Roman"/>
          <w:color w:val="002060"/>
          <w:sz w:val="23"/>
        </w:rPr>
        <w:t>.</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(p)</w:t>
      </w:r>
    </w:p>
    <w:p>
      <w:pPr>
        <w:pStyle w:val="TextBody"/>
        <w:bidi w:val="0"/>
        <w:spacing w:before="0" w:after="240"/>
        <w:jc w:val="both"/>
        <w:rPr/>
      </w:pPr>
      <w:r>
        <w:rPr>
          <w:color w:val="002060"/>
        </w:rPr>
        <w:t>“</w:t>
      </w:r>
      <w:r>
        <w:rPr>
          <w:rFonts w:ascii="Times New Roman" w:hAnsi="Times New Roman"/>
          <w:b/>
          <w:i/>
          <w:color w:val="002060"/>
          <w:sz w:val="23"/>
        </w:rPr>
        <w:t>Qualifying Termination</w:t>
      </w:r>
      <w:r>
        <w:rPr>
          <w:rFonts w:ascii="Times New Roman" w:hAnsi="Times New Roman"/>
          <w:color w:val="002060"/>
          <w:sz w:val="23"/>
        </w:rPr>
        <w:t>” means a termination of the Participant’s employment with the Company by the Company without Cause (other than by reason of death or Disability) or by the Participant for Good Reason. If the Participant is primarily providing services to a business unit, as determined by the Committee, which is directly or indirectly sold, licensed or transferred resulting in a termination of the Participant’s employment with the Company, a Qualifying Termination will not be deemed to occur if upon or within 120 days following the closing of such sale, license or transfer, the Participant (i) accepts any position with the purchaser or any of its affiliates or (ii) is offered employment with the purchaser that does not require a relocation of the Participant’s principal place of employment by more than 50 miles and does not result in a material diminution in the Participant’s base salary, even if the Participant does not accept such offer of employment.</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(q)</w:t>
      </w:r>
    </w:p>
    <w:p>
      <w:pPr>
        <w:pStyle w:val="TextBody"/>
        <w:bidi w:val="0"/>
        <w:spacing w:before="0" w:after="240"/>
        <w:jc w:val="both"/>
        <w:rPr/>
      </w:pPr>
      <w:r>
        <w:rPr>
          <w:color w:val="002060"/>
        </w:rPr>
        <w:t>“</w:t>
      </w:r>
      <w:r>
        <w:rPr>
          <w:rFonts w:ascii="Times New Roman" w:hAnsi="Times New Roman"/>
          <w:b/>
          <w:i/>
          <w:color w:val="002060"/>
          <w:sz w:val="23"/>
        </w:rPr>
        <w:t>Severance Benefits</w:t>
      </w:r>
      <w:r>
        <w:rPr>
          <w:rFonts w:ascii="Times New Roman" w:hAnsi="Times New Roman"/>
          <w:color w:val="002060"/>
          <w:sz w:val="23"/>
        </w:rPr>
        <w:t>” means:</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(i)</w:t>
      </w:r>
    </w:p>
    <w:p>
      <w:pPr>
        <w:pStyle w:val="TextBody"/>
        <w:bidi w:val="0"/>
        <w:spacing w:before="0" w:after="240"/>
        <w:jc w:val="both"/>
        <w:rPr>
          <w:rFonts w:ascii="Times New Roman" w:hAnsi="Times New Roman"/>
          <w:sz w:val="23"/>
        </w:rPr>
      </w:pPr>
      <w:r>
        <w:rPr>
          <w:rFonts w:ascii="Times New Roman" w:hAnsi="Times New Roman"/>
          <w:color w:val="002060"/>
          <w:sz w:val="23"/>
        </w:rPr>
        <w:t>Payments in an aggregate amount equal to the Participant’s Severance Multiplier times the Participant’s Base Salary (the “</w:t>
      </w:r>
      <w:r>
        <w:rPr>
          <w:rFonts w:ascii="Times New Roman" w:hAnsi="Times New Roman"/>
          <w:b/>
          <w:i/>
          <w:color w:val="002060"/>
          <w:sz w:val="23"/>
        </w:rPr>
        <w:t>Cash Severance</w:t>
      </w:r>
      <w:r>
        <w:rPr>
          <w:rFonts w:ascii="Times New Roman" w:hAnsi="Times New Roman"/>
          <w:color w:val="002060"/>
          <w:sz w:val="23"/>
        </w:rPr>
        <w:t>”), payable in substantially equal installments over the Participant’s Severance Period in accordance with the Company’s regular payroll practices, commencing on the Company’s first regularly scheduled pay date that is at least five business days following the date the Release becomes effective and irrevocable (or, if the period during which the Release could become effective and irrevocable spans two calendar years, payments will not commence until the second calendar year); provided, however, that to the extent, if any, that the aggregate amount of Cash Severance that would otherwise be paid after March 15 of the calendar year following the calendar year in which the Termination Date occurs (the “</w:t>
      </w:r>
      <w:r>
        <w:rPr>
          <w:rFonts w:ascii="Times New Roman" w:hAnsi="Times New Roman"/>
          <w:b/>
          <w:i/>
          <w:color w:val="002060"/>
          <w:sz w:val="23"/>
        </w:rPr>
        <w:t>Applicable March 15</w:t>
      </w:r>
      <w:r>
        <w:rPr>
          <w:rFonts w:ascii="Times New Roman" w:hAnsi="Times New Roman"/>
          <w:color w:val="002060"/>
          <w:sz w:val="23"/>
        </w:rPr>
        <w:t>”) exceeds the maximum exemption amount under Treasury Regulation Section 1.409A-1(b)(9)(iii)(A), then (A) such excess will be paid in a lump sum with the first installment of the Cash Severance and (B) the final installment will be reduced by such excess (with any remaining excess reducing the next preceding installment until the aggregate reduction equals such excess);</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(ii)</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 xml:space="preserve">For Tier 1 Participants only, payment of a pro-rata portion of the actual annual incentive that the Participant would have earned for the fiscal year in which the Termination Date occurs, based on the number of days the Participant is employed during such fiscal year, payable on the date when annual incentives under the applicable incentive plan are otherwise paid and in all events by April 15 of the fiscal year following the fiscal year in which the Termination Date occurs; provided, however, that if the applicable annual incentive plan involves individual performance metrics, the Participant’s calculated performance shall refer to the average calculated payout percentage for all participants in such </w:t>
      </w:r>
    </w:p>
    <w:p>
      <w:pPr>
        <w:pStyle w:val="TextBody"/>
        <w:bidi w:val="0"/>
        <w:jc w:val="center"/>
        <w:rPr>
          <w:rFonts w:ascii="Times New Roman" w:hAnsi="Times New Roman"/>
          <w:color w:val="002060"/>
          <w:sz w:val="22"/>
        </w:rPr>
      </w:pPr>
      <w:r>
        <w:rPr>
          <w:rFonts w:ascii="Times New Roman" w:hAnsi="Times New Roman"/>
          <w:color w:val="00206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3"/>
        </w:rPr>
      </w:pPr>
      <w:r>
        <w:rPr>
          <w:rFonts w:ascii="Times New Roman" w:hAnsi="Times New Roman"/>
          <w:color w:val="002060"/>
          <w:sz w:val="23"/>
        </w:rPr>
        <w:t>annual incentive plan, rounded to the nearest whole percentage point (the “</w:t>
      </w:r>
      <w:r>
        <w:rPr>
          <w:rFonts w:ascii="Times New Roman" w:hAnsi="Times New Roman"/>
          <w:b/>
          <w:i/>
          <w:color w:val="002060"/>
          <w:sz w:val="23"/>
        </w:rPr>
        <w:t>Pro-Rata Bonus</w:t>
      </w:r>
      <w:r>
        <w:rPr>
          <w:rFonts w:ascii="Times New Roman" w:hAnsi="Times New Roman"/>
          <w:color w:val="002060"/>
          <w:sz w:val="23"/>
        </w:rPr>
        <w:t>”);</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(iii)</w:t>
      </w:r>
    </w:p>
    <w:p>
      <w:pPr>
        <w:pStyle w:val="TextBody"/>
        <w:bidi w:val="0"/>
        <w:spacing w:before="0" w:after="240"/>
        <w:jc w:val="both"/>
        <w:rPr>
          <w:rFonts w:ascii="Times New Roman" w:hAnsi="Times New Roman"/>
          <w:sz w:val="23"/>
        </w:rPr>
      </w:pPr>
      <w:r>
        <w:rPr>
          <w:rFonts w:ascii="Times New Roman" w:hAnsi="Times New Roman"/>
          <w:color w:val="002060"/>
          <w:sz w:val="23"/>
        </w:rPr>
        <w:t>Subject to the Participant’s timely election of continuation coverage under COBRA, the Company will pay or reimburse the premiums for the Participant’s participation in the Company’s group health plans pursuant to COBRA (the “</w:t>
      </w:r>
      <w:r>
        <w:rPr>
          <w:rFonts w:ascii="Times New Roman" w:hAnsi="Times New Roman"/>
          <w:b/>
          <w:i/>
          <w:color w:val="002060"/>
          <w:sz w:val="23"/>
        </w:rPr>
        <w:t>COBRA Subsidy</w:t>
      </w:r>
      <w:r>
        <w:rPr>
          <w:rFonts w:ascii="Times New Roman" w:hAnsi="Times New Roman"/>
          <w:color w:val="002060"/>
          <w:sz w:val="23"/>
        </w:rPr>
        <w:t>”) for a period ending on the earliest of (A) the end of the Severance Period, (B) the Participant becoming eligible for other group health benefits, or (C) the expiration of the Participant’s rights under COBRA; provided, however, that, to the maximum extent permitted under Section 409A of the Code, the Company may, in its sole discretion and in lieu of the COBRA Subsidy, pay to the Participant a lump sum payment equal to (I) the monthly COBRA Subsidy that would have been payable for the first month following the Termination Date, multiplied by (II) the number of months in the Severance Period on the Company’s first regularly scheduled pay date that is at least five business days following the date the Release becomes effective and irrevocable (or, if the period during which the Release could become effective and irrevocable spans two calendar years, payment will not occur until the second calendar year); and</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(iv)</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Payment of any earned but unpaid annual incentive for the fiscal year preceding the fiscal year in which the Termination Date occurs, payable on the date when annual incentives under the applicable incentive plan are otherwise paid and in all events in the fiscal year that includes the Termination Date.</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(r)</w:t>
      </w:r>
    </w:p>
    <w:p>
      <w:pPr>
        <w:pStyle w:val="TextBody"/>
        <w:bidi w:val="0"/>
        <w:spacing w:before="0" w:after="240"/>
        <w:jc w:val="both"/>
        <w:rPr/>
      </w:pPr>
      <w:r>
        <w:rPr>
          <w:color w:val="002060"/>
        </w:rPr>
        <w:t>“</w:t>
      </w:r>
      <w:r>
        <w:rPr>
          <w:rFonts w:ascii="Times New Roman" w:hAnsi="Times New Roman"/>
          <w:b/>
          <w:i/>
          <w:color w:val="002060"/>
          <w:sz w:val="23"/>
        </w:rPr>
        <w:t>Severance Multiplier</w:t>
      </w:r>
      <w:r>
        <w:rPr>
          <w:rFonts w:ascii="Times New Roman" w:hAnsi="Times New Roman"/>
          <w:color w:val="002060"/>
          <w:sz w:val="23"/>
        </w:rPr>
        <w:t xml:space="preserve">” means the applicable severance multiplier for the Participant’s Tier as set forth on </w:t>
      </w:r>
      <w:r>
        <w:rPr>
          <w:rFonts w:ascii="Times New Roman" w:hAnsi="Times New Roman"/>
          <w:color w:val="002060"/>
          <w:sz w:val="23"/>
          <w:u w:val="single"/>
        </w:rPr>
        <w:t>Exhibit A</w:t>
      </w:r>
      <w:r>
        <w:rPr>
          <w:rFonts w:ascii="Times New Roman" w:hAnsi="Times New Roman"/>
          <w:color w:val="002060"/>
          <w:sz w:val="23"/>
        </w:rPr>
        <w:t>.</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(s)</w:t>
      </w:r>
    </w:p>
    <w:p>
      <w:pPr>
        <w:pStyle w:val="TextBody"/>
        <w:bidi w:val="0"/>
        <w:spacing w:before="0" w:after="240"/>
        <w:jc w:val="both"/>
        <w:rPr/>
      </w:pPr>
      <w:r>
        <w:rPr>
          <w:color w:val="002060"/>
        </w:rPr>
        <w:t>“</w:t>
      </w:r>
      <w:r>
        <w:rPr>
          <w:rFonts w:ascii="Times New Roman" w:hAnsi="Times New Roman"/>
          <w:b/>
          <w:i/>
          <w:color w:val="002060"/>
          <w:sz w:val="23"/>
        </w:rPr>
        <w:t>Severance Period</w:t>
      </w:r>
      <w:r>
        <w:rPr>
          <w:rFonts w:ascii="Times New Roman" w:hAnsi="Times New Roman"/>
          <w:color w:val="002060"/>
          <w:sz w:val="23"/>
        </w:rPr>
        <w:t xml:space="preserve">” means the applicable severance period for the Participant’s Tier as set forth on </w:t>
      </w:r>
      <w:r>
        <w:rPr>
          <w:rFonts w:ascii="Times New Roman" w:hAnsi="Times New Roman"/>
          <w:color w:val="002060"/>
          <w:sz w:val="23"/>
          <w:u w:val="single"/>
        </w:rPr>
        <w:t>Exhibit A</w:t>
      </w:r>
      <w:r>
        <w:rPr>
          <w:rFonts w:ascii="Times New Roman" w:hAnsi="Times New Roman"/>
          <w:color w:val="002060"/>
          <w:sz w:val="23"/>
        </w:rPr>
        <w:t>.</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(t)</w:t>
      </w:r>
    </w:p>
    <w:p>
      <w:pPr>
        <w:pStyle w:val="TextBody"/>
        <w:bidi w:val="0"/>
        <w:spacing w:before="0" w:after="240"/>
        <w:jc w:val="both"/>
        <w:rPr/>
      </w:pPr>
      <w:r>
        <w:rPr>
          <w:color w:val="002060"/>
        </w:rPr>
        <w:t>“</w:t>
      </w:r>
      <w:r>
        <w:rPr>
          <w:rFonts w:ascii="Times New Roman" w:hAnsi="Times New Roman"/>
          <w:b/>
          <w:i/>
          <w:color w:val="002060"/>
          <w:sz w:val="23"/>
        </w:rPr>
        <w:t>Termination Date</w:t>
      </w:r>
      <w:r>
        <w:rPr>
          <w:rFonts w:ascii="Times New Roman" w:hAnsi="Times New Roman"/>
          <w:color w:val="002060"/>
          <w:sz w:val="23"/>
        </w:rPr>
        <w:t>” means the date of the Participant’s termination of employment with the Company.</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4.</w:t>
      </w:r>
    </w:p>
    <w:p>
      <w:pPr>
        <w:pStyle w:val="TextBody"/>
        <w:bidi w:val="0"/>
        <w:spacing w:before="0" w:after="240"/>
        <w:jc w:val="both"/>
        <w:rPr>
          <w:rFonts w:ascii="Times New Roman" w:hAnsi="Times New Roman"/>
          <w:b/>
          <w:color w:val="002060"/>
          <w:sz w:val="23"/>
        </w:rPr>
      </w:pPr>
      <w:r>
        <w:rPr>
          <w:rFonts w:ascii="Times New Roman" w:hAnsi="Times New Roman"/>
          <w:b/>
          <w:color w:val="002060"/>
          <w:sz w:val="23"/>
        </w:rPr>
        <w:t xml:space="preserve">Eligibility. </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(a)</w:t>
      </w:r>
    </w:p>
    <w:p>
      <w:pPr>
        <w:pStyle w:val="TextBody"/>
        <w:bidi w:val="0"/>
        <w:spacing w:before="0" w:after="240"/>
        <w:jc w:val="both"/>
        <w:rPr>
          <w:rFonts w:ascii="Times New Roman" w:hAnsi="Times New Roman"/>
          <w:sz w:val="23"/>
        </w:rPr>
      </w:pPr>
      <w:r>
        <w:rPr>
          <w:rFonts w:ascii="Times New Roman" w:hAnsi="Times New Roman"/>
          <w:color w:val="002060"/>
          <w:sz w:val="23"/>
        </w:rPr>
        <w:t>Unless otherwise determined by the Committee, all employees of the Company who are designated as “officers” of the Company under Section 16 of the Securities Exchange Act of 1934 or otherwise hold the title of Senior Vice President or higher, excluding the Chief Executive Officer of the Company (collectively the “</w:t>
      </w:r>
      <w:r>
        <w:rPr>
          <w:rFonts w:ascii="Times New Roman" w:hAnsi="Times New Roman"/>
          <w:b/>
          <w:i/>
          <w:color w:val="002060"/>
          <w:sz w:val="23"/>
        </w:rPr>
        <w:t>Eligible Employees</w:t>
      </w:r>
      <w:r>
        <w:rPr>
          <w:rFonts w:ascii="Times New Roman" w:hAnsi="Times New Roman"/>
          <w:color w:val="002060"/>
          <w:sz w:val="23"/>
        </w:rPr>
        <w:t xml:space="preserve">”), shall automatically be Participants; provided, however, that (i) any employee who becomes an Eligible Employee on or after the Restatement Effective Date must have completed at least six months of continuous employment with the Company before becoming a Participant, and (ii) if an Eligible Employee is party to an employment agreement, letter agreement or any other arrangement with the Company providing for severance benefits, such Eligible Employee will not become a Participant until he or she executes a Participation Agreement with the Company in the form attached hereto as </w:t>
      </w:r>
      <w:r>
        <w:rPr>
          <w:rFonts w:ascii="Times New Roman" w:hAnsi="Times New Roman"/>
          <w:color w:val="002060"/>
          <w:sz w:val="23"/>
          <w:u w:val="single"/>
        </w:rPr>
        <w:t>Exhibit B</w:t>
      </w:r>
      <w:r>
        <w:rPr>
          <w:rFonts w:ascii="Times New Roman" w:hAnsi="Times New Roman"/>
          <w:color w:val="002060"/>
          <w:sz w:val="23"/>
        </w:rPr>
        <w:t xml:space="preserve">. If an employee ceases to hold a position qualifying as an Eligible Employee, then such employee shall no longer be a Participant with no further </w:t>
      </w:r>
    </w:p>
    <w:p>
      <w:pPr>
        <w:pStyle w:val="TextBody"/>
        <w:bidi w:val="0"/>
        <w:jc w:val="center"/>
        <w:rPr>
          <w:rFonts w:ascii="Times New Roman" w:hAnsi="Times New Roman"/>
          <w:color w:val="002060"/>
          <w:sz w:val="22"/>
        </w:rPr>
      </w:pPr>
      <w:r>
        <w:rPr>
          <w:rFonts w:ascii="Times New Roman" w:hAnsi="Times New Roman"/>
          <w:color w:val="00206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action required on the part of the Company or such employee, effective as of the date such employee ceases to hold a position qualifying as an Eligible Employee.</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(b)</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Unless otherwise determined by the Committee, Participants in Tier 1 shall include all “officers” of the Company under Section 16 of the Securities Exchange Act of 1934, other than the Chief Executive Officer of the Company, and Participants in Tier 2 shall include all other Eligible Employees.</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5.</w:t>
      </w:r>
    </w:p>
    <w:p>
      <w:pPr>
        <w:pStyle w:val="TextBody"/>
        <w:bidi w:val="0"/>
        <w:spacing w:before="0" w:after="240"/>
        <w:jc w:val="both"/>
        <w:rPr>
          <w:rFonts w:ascii="Times New Roman" w:hAnsi="Times New Roman"/>
          <w:sz w:val="23"/>
        </w:rPr>
      </w:pPr>
      <w:r>
        <w:rPr>
          <w:rFonts w:ascii="Times New Roman" w:hAnsi="Times New Roman"/>
          <w:b/>
          <w:color w:val="002060"/>
          <w:sz w:val="23"/>
        </w:rPr>
        <w:t>Severance Benefits</w:t>
      </w:r>
      <w:r>
        <w:rPr>
          <w:rFonts w:ascii="Times New Roman" w:hAnsi="Times New Roman"/>
          <w:color w:val="002060"/>
          <w:sz w:val="23"/>
        </w:rPr>
        <w:t>.</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(a)</w:t>
      </w:r>
    </w:p>
    <w:p>
      <w:pPr>
        <w:pStyle w:val="TextBody"/>
        <w:bidi w:val="0"/>
        <w:spacing w:before="0" w:after="240"/>
        <w:jc w:val="both"/>
        <w:rPr>
          <w:rFonts w:ascii="Times New Roman" w:hAnsi="Times New Roman"/>
          <w:sz w:val="23"/>
        </w:rPr>
      </w:pPr>
      <w:r>
        <w:rPr>
          <w:rFonts w:ascii="Times New Roman" w:hAnsi="Times New Roman"/>
          <w:color w:val="002060"/>
          <w:sz w:val="23"/>
          <w:u w:val="single"/>
        </w:rPr>
        <w:t>Qualifying Termination</w:t>
      </w:r>
      <w:r>
        <w:rPr>
          <w:rFonts w:ascii="Times New Roman" w:hAnsi="Times New Roman"/>
          <w:color w:val="002060"/>
          <w:sz w:val="23"/>
        </w:rPr>
        <w:t xml:space="preserve">. Upon a Participant’s Qualifying Termination, subject to </w:t>
      </w:r>
      <w:r>
        <w:rPr>
          <w:rFonts w:ascii="Times New Roman" w:hAnsi="Times New Roman"/>
          <w:color w:val="002060"/>
          <w:sz w:val="23"/>
          <w:u w:val="single"/>
        </w:rPr>
        <w:t>Section 5(c)</w:t>
      </w:r>
      <w:r>
        <w:rPr>
          <w:rFonts w:ascii="Times New Roman" w:hAnsi="Times New Roman"/>
          <w:color w:val="002060"/>
          <w:sz w:val="23"/>
        </w:rPr>
        <w:t>, such Participant will receive the Severance Benefits.</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(b)</w:t>
      </w:r>
    </w:p>
    <w:p>
      <w:pPr>
        <w:pStyle w:val="TextBody"/>
        <w:bidi w:val="0"/>
        <w:spacing w:before="0" w:after="240"/>
        <w:jc w:val="both"/>
        <w:rPr>
          <w:rFonts w:ascii="Times New Roman" w:hAnsi="Times New Roman"/>
          <w:sz w:val="23"/>
        </w:rPr>
      </w:pPr>
      <w:r>
        <w:rPr>
          <w:rFonts w:ascii="Times New Roman" w:hAnsi="Times New Roman"/>
          <w:color w:val="002060"/>
          <w:sz w:val="23"/>
          <w:u w:val="single"/>
        </w:rPr>
        <w:t>Other Termination</w:t>
      </w:r>
      <w:r>
        <w:rPr>
          <w:rFonts w:ascii="Times New Roman" w:hAnsi="Times New Roman"/>
          <w:color w:val="002060"/>
          <w:sz w:val="23"/>
        </w:rPr>
        <w:t>. In the event that a Participant’s employment is terminated other than as the result of a Qualifying Termination, then such Participant shall not be entitled to receive any payments or benefits under this Plan.</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(c)</w:t>
      </w:r>
    </w:p>
    <w:p>
      <w:pPr>
        <w:pStyle w:val="TextBody"/>
        <w:bidi w:val="0"/>
        <w:spacing w:before="0" w:after="240"/>
        <w:jc w:val="both"/>
        <w:rPr>
          <w:rFonts w:ascii="Times New Roman" w:hAnsi="Times New Roman"/>
          <w:sz w:val="23"/>
        </w:rPr>
      </w:pPr>
      <w:r>
        <w:rPr>
          <w:rFonts w:ascii="Times New Roman" w:hAnsi="Times New Roman"/>
          <w:color w:val="002060"/>
          <w:sz w:val="23"/>
          <w:u w:val="single"/>
        </w:rPr>
        <w:t>Release of Claims</w:t>
      </w:r>
      <w:r>
        <w:rPr>
          <w:rFonts w:ascii="Times New Roman" w:hAnsi="Times New Roman"/>
          <w:color w:val="002060"/>
          <w:sz w:val="23"/>
        </w:rPr>
        <w:t>. Payment of the Severance Benefits shall be subject to (i) the Participant’s execution (and non-revocation) of a general release of claims in a form provided by the Company (the “</w:t>
      </w:r>
      <w:r>
        <w:rPr>
          <w:rFonts w:ascii="Times New Roman" w:hAnsi="Times New Roman"/>
          <w:b/>
          <w:i/>
          <w:color w:val="002060"/>
          <w:sz w:val="23"/>
        </w:rPr>
        <w:t>Release</w:t>
      </w:r>
      <w:r>
        <w:rPr>
          <w:rFonts w:ascii="Times New Roman" w:hAnsi="Times New Roman"/>
          <w:color w:val="002060"/>
          <w:sz w:val="23"/>
        </w:rPr>
        <w:t>”) within the time period specified therein and (ii) the Participant’s continued compliance with the Participant’s Confidentiality Agreement.</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(d)</w:t>
      </w:r>
    </w:p>
    <w:p>
      <w:pPr>
        <w:pStyle w:val="TextBody"/>
        <w:bidi w:val="0"/>
        <w:spacing w:before="0" w:after="240"/>
        <w:jc w:val="both"/>
        <w:rPr>
          <w:rFonts w:ascii="Times New Roman" w:hAnsi="Times New Roman"/>
          <w:sz w:val="23"/>
        </w:rPr>
      </w:pPr>
      <w:r>
        <w:rPr>
          <w:rFonts w:ascii="Times New Roman" w:hAnsi="Times New Roman"/>
          <w:color w:val="002060"/>
          <w:sz w:val="23"/>
          <w:u w:val="single"/>
        </w:rPr>
        <w:t>Repayment of Severance Benefits</w:t>
      </w:r>
      <w:r>
        <w:rPr>
          <w:rFonts w:ascii="Times New Roman" w:hAnsi="Times New Roman"/>
          <w:color w:val="002060"/>
          <w:sz w:val="23"/>
        </w:rPr>
        <w:t>. If, following the Participant’s receipt of all or any portion of the Severance Benefits, it is determined that no Qualifying Termination occurred, the Participant must repay to the Company all Severance Benefits received.</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(e)</w:t>
      </w:r>
    </w:p>
    <w:p>
      <w:pPr>
        <w:pStyle w:val="TextBody"/>
        <w:bidi w:val="0"/>
        <w:spacing w:before="0" w:after="240"/>
        <w:jc w:val="both"/>
        <w:rPr>
          <w:rFonts w:ascii="Times New Roman" w:hAnsi="Times New Roman"/>
          <w:sz w:val="23"/>
        </w:rPr>
      </w:pPr>
      <w:r>
        <w:rPr>
          <w:rFonts w:ascii="Times New Roman" w:hAnsi="Times New Roman"/>
          <w:color w:val="002060"/>
          <w:sz w:val="23"/>
          <w:u w:val="single"/>
        </w:rPr>
        <w:t>Offset of Severance Benefits</w:t>
      </w:r>
      <w:r>
        <w:rPr>
          <w:rFonts w:ascii="Times New Roman" w:hAnsi="Times New Roman"/>
          <w:color w:val="002060"/>
          <w:sz w:val="23"/>
        </w:rPr>
        <w:t>.</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If following the Participant’s Termination Date, the Company wishes to rehire, in any capacity, any Participant who is receiving Severance Benefits and such Participant accepts the Company’s offer of employment, the Company will no longer pay any further installments of the Cash Severance and the Participant will no longer be eligible for the COBRA Subsidy following the date the Participant becomes reemployed by the Company.</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6.</w:t>
      </w:r>
    </w:p>
    <w:p>
      <w:pPr>
        <w:pStyle w:val="TextBody"/>
        <w:bidi w:val="0"/>
        <w:spacing w:before="0" w:after="240"/>
        <w:jc w:val="both"/>
        <w:rPr>
          <w:rFonts w:ascii="Times New Roman" w:hAnsi="Times New Roman"/>
          <w:b/>
          <w:color w:val="002060"/>
          <w:sz w:val="23"/>
        </w:rPr>
      </w:pPr>
      <w:r>
        <w:rPr>
          <w:rFonts w:ascii="Times New Roman" w:hAnsi="Times New Roman"/>
          <w:b/>
          <w:color w:val="002060"/>
          <w:sz w:val="23"/>
        </w:rPr>
        <w:t>Administration.</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(a)</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In the event of any conflict or inconsistency between another document and the terms of the Plan, the terms and conditions of the Plan shall govern and control; provided, however, that a Participant’s Participation Agreement will govern their participation in the Plan to the extent of any conflict between such Participation Agreement and the Plan.</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(b)</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 xml:space="preserve">The Plan shall be administered by the Committee in its sole and absolute discretion, and all determinations by the Committee shall be final, binding and conclusive on all parties and be given the maximum possible deference allowed by law. </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(c)</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 xml:space="preserve">The Committee shall have the authority, consistent with the terms of the Plan, to (i) designate Participants, (ii) determine the terms and conditions relating to the Severance </w:t>
      </w:r>
    </w:p>
    <w:p>
      <w:pPr>
        <w:pStyle w:val="TextBody"/>
        <w:bidi w:val="0"/>
        <w:jc w:val="center"/>
        <w:rPr>
          <w:rFonts w:ascii="Times New Roman" w:hAnsi="Times New Roman"/>
          <w:color w:val="002060"/>
          <w:sz w:val="22"/>
        </w:rPr>
      </w:pPr>
      <w:r>
        <w:rPr>
          <w:rFonts w:ascii="Times New Roman" w:hAnsi="Times New Roman"/>
          <w:color w:val="00206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Benefit, if any, (iii) interpret, administer, reconcile any inconsistency, correct any defect and/or supply any omission in the Plan, (iv) establish, amend, suspend or waive any rules and procedures with respect to the Plan, and (v) make any other determination and take any other action that the Committee deems necessary or desirable for administration of the Plan, including the timing and amount of payments. The Committee may delegate to one or more officers of the Company the authority to act on behalf of the Committee.</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7.</w:t>
      </w:r>
    </w:p>
    <w:p>
      <w:pPr>
        <w:pStyle w:val="TextBody"/>
        <w:bidi w:val="0"/>
        <w:spacing w:before="0" w:after="240"/>
        <w:jc w:val="both"/>
        <w:rPr>
          <w:rFonts w:ascii="Times New Roman" w:hAnsi="Times New Roman"/>
          <w:sz w:val="23"/>
        </w:rPr>
      </w:pPr>
      <w:r>
        <w:rPr>
          <w:rFonts w:ascii="Times New Roman" w:hAnsi="Times New Roman"/>
          <w:b/>
          <w:color w:val="002060"/>
          <w:sz w:val="23"/>
        </w:rPr>
        <w:t>Funding.</w:t>
      </w:r>
      <w:r>
        <w:rPr>
          <w:rFonts w:ascii="Times New Roman" w:hAnsi="Times New Roman"/>
          <w:color w:val="002060"/>
          <w:sz w:val="23"/>
        </w:rPr>
        <w:t xml:space="preserve"> The obligations of the Company under the Plan are not funded through contributions to a trust or otherwise, and all benefits shall be payable from the general assets of the Company. Nothing contained in the Plan shall give a Participant any right, title or interest in any property of the Company. Participants shall be mere unsecured creditors of the Company.</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8.</w:t>
      </w:r>
    </w:p>
    <w:p>
      <w:pPr>
        <w:pStyle w:val="TextBody"/>
        <w:bidi w:val="0"/>
        <w:spacing w:before="0" w:after="240"/>
        <w:jc w:val="both"/>
        <w:rPr>
          <w:rFonts w:ascii="Times New Roman" w:hAnsi="Times New Roman"/>
          <w:b/>
          <w:color w:val="002060"/>
          <w:sz w:val="23"/>
        </w:rPr>
      </w:pPr>
      <w:r>
        <w:rPr>
          <w:rFonts w:ascii="Times New Roman" w:hAnsi="Times New Roman"/>
          <w:b/>
          <w:color w:val="002060"/>
          <w:sz w:val="23"/>
        </w:rPr>
        <w:t xml:space="preserve">Section 409A. </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(a)</w:t>
      </w:r>
    </w:p>
    <w:p>
      <w:pPr>
        <w:pStyle w:val="TextBody"/>
        <w:bidi w:val="0"/>
        <w:spacing w:before="0" w:after="240"/>
        <w:jc w:val="both"/>
        <w:rPr>
          <w:rFonts w:ascii="Times New Roman" w:hAnsi="Times New Roman"/>
          <w:sz w:val="23"/>
        </w:rPr>
      </w:pPr>
      <w:r>
        <w:rPr>
          <w:rFonts w:ascii="Times New Roman" w:hAnsi="Times New Roman"/>
          <w:color w:val="002060"/>
          <w:sz w:val="23"/>
          <w:u w:val="single"/>
        </w:rPr>
        <w:t>Compliance</w:t>
      </w:r>
      <w:r>
        <w:rPr>
          <w:rFonts w:ascii="Times New Roman" w:hAnsi="Times New Roman"/>
          <w:color w:val="002060"/>
          <w:sz w:val="23"/>
        </w:rPr>
        <w:t>. Notwithstanding anything herein to the contrary, this Plan is intended to be interpreted and applied so that the payments and benefits set forth herein either shall be exempt from the requirements of Section 409A of the Code or shall comply with the requirements of Section 409A of the Code, and accordingly, to the maximum extent permitted, this Plan shall be interpreted to be exempt from or in compliance with Section 409A of the Code. To the extent that the Company determines that any provision of this Plan would cause a Participant to incur any additional tax or interest under Section 409A of the Code, the Company shall be entitled to reform such provision to attempt to comply with or be exempt from Section 409A of the Code. To the extent that any provision hereof is modified in order to comply with Section 409A of the Code, such modification shall be made in good faith and shall, to the maximum extent reasonably possible, maintain the original intent and economic benefit to Participants and the Company without violating the provisions of Section 409A of the Code. Notwithstanding any of the foregoing to the contrary, none of the Company or its Affiliates or any of their officers, directors, members, employees, agents, advisors, predecessors, successors, or equity holders shall have any liability for the failure of this Plan to be exempt from, or to comply with, the requirements of Section 409A of the Code. Each payment and/or benefit provided hereunder shall be a payment in a series of separate payments for purposes of Section 409A of the Code.</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(b)</w:t>
      </w:r>
    </w:p>
    <w:p>
      <w:pPr>
        <w:pStyle w:val="TextBody"/>
        <w:bidi w:val="0"/>
        <w:spacing w:before="0" w:after="240"/>
        <w:jc w:val="both"/>
        <w:rPr>
          <w:rFonts w:ascii="Times New Roman" w:hAnsi="Times New Roman"/>
          <w:sz w:val="23"/>
        </w:rPr>
      </w:pPr>
      <w:r>
        <w:rPr>
          <w:rFonts w:ascii="Times New Roman" w:hAnsi="Times New Roman"/>
          <w:color w:val="002060"/>
          <w:sz w:val="23"/>
          <w:u w:val="single"/>
        </w:rPr>
        <w:t>Separation from Service</w:t>
      </w:r>
      <w:r>
        <w:rPr>
          <w:rFonts w:ascii="Times New Roman" w:hAnsi="Times New Roman"/>
          <w:color w:val="002060"/>
          <w:sz w:val="23"/>
        </w:rPr>
        <w:t>. Notwithstanding anything in this Plan to the contrary, a termination of employment shall not be deemed to have occurred for purposes of any provision of this Plan unless such termination is also a “separation from service” within the meaning of Section 409A of the Code.</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(c)</w:t>
      </w:r>
    </w:p>
    <w:p>
      <w:pPr>
        <w:pStyle w:val="TextBody"/>
        <w:bidi w:val="0"/>
        <w:spacing w:before="0" w:after="240"/>
        <w:jc w:val="both"/>
        <w:rPr>
          <w:rFonts w:ascii="Times New Roman" w:hAnsi="Times New Roman"/>
          <w:sz w:val="23"/>
        </w:rPr>
      </w:pPr>
      <w:r>
        <w:rPr>
          <w:rFonts w:ascii="Times New Roman" w:hAnsi="Times New Roman"/>
          <w:color w:val="002060"/>
          <w:sz w:val="23"/>
          <w:u w:val="single"/>
        </w:rPr>
        <w:t>Specified Employee</w:t>
      </w:r>
      <w:r>
        <w:rPr>
          <w:rFonts w:ascii="Times New Roman" w:hAnsi="Times New Roman"/>
          <w:color w:val="002060"/>
          <w:sz w:val="23"/>
        </w:rPr>
        <w:t xml:space="preserve">. Notwithstanding anything in this Plan to the contrary, if a Participant is deemed to be a “specified employee” within the meaning of Section 409A of the Code, any payments or benefits due upon a termination of Participant’s employment under any arrangement that constitutes a “deferral of compensation” within the meaning of Section 409A of the Code (whether under this Plan or any other plan, program or payroll practice) and which do not otherwise qualify under the exemptions under Treasury Regulations Section 1.409A-1 (including the short-term deferral exemption and the permitted payments under Treasury Regulations Section 1.409A-1(b)(9)(iii)(A)), shall be delayed and paid or provided to Participant in a lump </w:t>
      </w:r>
    </w:p>
    <w:p>
      <w:pPr>
        <w:pStyle w:val="TextBody"/>
        <w:bidi w:val="0"/>
        <w:jc w:val="center"/>
        <w:rPr>
          <w:rFonts w:ascii="Times New Roman" w:hAnsi="Times New Roman"/>
          <w:color w:val="002060"/>
          <w:sz w:val="22"/>
        </w:rPr>
      </w:pPr>
      <w:r>
        <w:rPr>
          <w:rFonts w:ascii="Times New Roman" w:hAnsi="Times New Roman"/>
          <w:color w:val="00206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sum on the earlier of (i) the date which is six months and one day after Participant’s “separation from service” (as such term is defined in Section 409A of the Code) for any reason other than death, and (ii) the date of Participant’s death.</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9.</w:t>
      </w:r>
    </w:p>
    <w:p>
      <w:pPr>
        <w:pStyle w:val="TextBody"/>
        <w:bidi w:val="0"/>
        <w:spacing w:before="0" w:after="240"/>
        <w:jc w:val="both"/>
        <w:rPr>
          <w:rFonts w:ascii="Times New Roman" w:hAnsi="Times New Roman"/>
          <w:sz w:val="23"/>
        </w:rPr>
      </w:pPr>
      <w:r>
        <w:rPr>
          <w:rFonts w:ascii="Times New Roman" w:hAnsi="Times New Roman"/>
          <w:b/>
          <w:color w:val="002060"/>
          <w:sz w:val="23"/>
        </w:rPr>
        <w:t xml:space="preserve">Amendment or Termination. </w:t>
      </w:r>
      <w:r>
        <w:rPr>
          <w:rFonts w:ascii="Times New Roman" w:hAnsi="Times New Roman"/>
          <w:color w:val="002060"/>
          <w:sz w:val="23"/>
        </w:rPr>
        <w:t xml:space="preserve">The Committee may amend or terminate the Plan at any time, without notice, and for any or no reason, except as prohibited by law. Any action of the Company in amending or terminating the Plan will be taken in a non-fiduciary capacity. During a 24-month period beginning on a Change in Control, the Company and the Committee may not, without a Participant’s written consent, amend or terminate the Plan in any way, nor take any other action, that (i) prevents the Participant from becoming eligible for Severance Benefits under the Plan, or (ii) reduces or alters to the detriment of the Participant the Severance Benefits payable, or potentially payable, to a Participant under the Plan (including imposing additional conditions). </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10.</w:t>
      </w:r>
    </w:p>
    <w:p>
      <w:pPr>
        <w:pStyle w:val="TextBody"/>
        <w:bidi w:val="0"/>
        <w:spacing w:before="0" w:after="240"/>
        <w:jc w:val="both"/>
        <w:rPr>
          <w:rFonts w:ascii="Times New Roman" w:hAnsi="Times New Roman"/>
          <w:sz w:val="23"/>
        </w:rPr>
      </w:pPr>
      <w:r>
        <w:rPr>
          <w:rFonts w:ascii="Times New Roman" w:hAnsi="Times New Roman"/>
          <w:b/>
          <w:color w:val="002060"/>
          <w:sz w:val="23"/>
        </w:rPr>
        <w:t>At-Will Employment.</w:t>
      </w:r>
      <w:r>
        <w:rPr>
          <w:rFonts w:ascii="Times New Roman" w:hAnsi="Times New Roman"/>
          <w:color w:val="002060"/>
          <w:sz w:val="23"/>
        </w:rPr>
        <w:t xml:space="preserve"> Nothing in this Plan or any other act of the Company shall be considered effective to change a Participant’s status as an at-will employee or guarantee any duration of employment. Either the Company or a Participant may terminate the employment relationship at any time, for any reason or no reason, and with or without advance notice.</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11.</w:t>
      </w:r>
    </w:p>
    <w:p>
      <w:pPr>
        <w:pStyle w:val="TextBody"/>
        <w:bidi w:val="0"/>
        <w:spacing w:before="0" w:after="240"/>
        <w:jc w:val="both"/>
        <w:rPr>
          <w:rFonts w:ascii="Times New Roman" w:hAnsi="Times New Roman"/>
          <w:sz w:val="23"/>
        </w:rPr>
      </w:pPr>
      <w:r>
        <w:rPr>
          <w:rFonts w:ascii="Times New Roman" w:hAnsi="Times New Roman"/>
          <w:b/>
          <w:color w:val="002060"/>
          <w:sz w:val="23"/>
        </w:rPr>
        <w:t>Transfer and Assignment.</w:t>
      </w:r>
      <w:r>
        <w:rPr>
          <w:rFonts w:ascii="Times New Roman" w:hAnsi="Times New Roman"/>
          <w:color w:val="002060"/>
          <w:sz w:val="23"/>
        </w:rPr>
        <w:t xml:space="preserve"> In no event may any Participant sell, transfer, anticipate, assign, encumber or otherwise dispose of any right or interest under the Plan. At no time will any such right or interest be subject to the claims of creditors or liable to attachment, execution, or other legal process.</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12.</w:t>
      </w:r>
    </w:p>
    <w:p>
      <w:pPr>
        <w:pStyle w:val="TextBody"/>
        <w:bidi w:val="0"/>
        <w:spacing w:before="0" w:after="240"/>
        <w:jc w:val="both"/>
        <w:rPr>
          <w:rFonts w:ascii="Times New Roman" w:hAnsi="Times New Roman"/>
          <w:sz w:val="23"/>
        </w:rPr>
      </w:pPr>
      <w:r>
        <w:rPr>
          <w:rFonts w:ascii="Times New Roman" w:hAnsi="Times New Roman"/>
          <w:b/>
          <w:color w:val="002060"/>
          <w:sz w:val="23"/>
        </w:rPr>
        <w:t>Severability.</w:t>
      </w:r>
      <w:r>
        <w:rPr>
          <w:rFonts w:ascii="Times New Roman" w:hAnsi="Times New Roman"/>
          <w:color w:val="002060"/>
          <w:sz w:val="23"/>
        </w:rPr>
        <w:t xml:space="preserve"> If any provision of the Plan is held invalid or unenforceable, its invalidity or unenforceability will not affect any other provision of the Plan, and the Plan will be construed and enforced as if such provision had not been included.</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13.</w:t>
      </w:r>
    </w:p>
    <w:p>
      <w:pPr>
        <w:pStyle w:val="TextBody"/>
        <w:bidi w:val="0"/>
        <w:spacing w:before="0" w:after="240"/>
        <w:jc w:val="both"/>
        <w:rPr>
          <w:rFonts w:ascii="Times New Roman" w:hAnsi="Times New Roman"/>
          <w:sz w:val="23"/>
        </w:rPr>
      </w:pPr>
      <w:r>
        <w:rPr>
          <w:rFonts w:ascii="Times New Roman" w:hAnsi="Times New Roman"/>
          <w:b/>
          <w:color w:val="002060"/>
          <w:sz w:val="23"/>
        </w:rPr>
        <w:t>Successors.</w:t>
      </w:r>
      <w:r>
        <w:rPr>
          <w:rFonts w:ascii="Times New Roman" w:hAnsi="Times New Roman"/>
          <w:color w:val="002060"/>
          <w:sz w:val="23"/>
        </w:rPr>
        <w:t xml:space="preserve"> Any successor to the Company of all or substantially all of the Company’s business and/or assets (whether direct or indirect and whether by purchase, merger, consolidation, liquidation or other transaction)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“Company” will include any successor to the Company’s business and/or assets which become bound by the terms of the Plan by operation of law, or otherwise.</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14.</w:t>
      </w:r>
    </w:p>
    <w:p>
      <w:pPr>
        <w:pStyle w:val="TextBody"/>
        <w:bidi w:val="0"/>
        <w:spacing w:before="0" w:after="240"/>
        <w:jc w:val="both"/>
        <w:rPr>
          <w:rFonts w:ascii="Times New Roman" w:hAnsi="Times New Roman"/>
          <w:sz w:val="23"/>
        </w:rPr>
      </w:pPr>
      <w:r>
        <w:rPr>
          <w:rFonts w:ascii="Times New Roman" w:hAnsi="Times New Roman"/>
          <w:b/>
          <w:color w:val="002060"/>
          <w:sz w:val="23"/>
        </w:rPr>
        <w:t>Withholding; Taxes.</w:t>
      </w:r>
      <w:r>
        <w:rPr>
          <w:rFonts w:ascii="Times New Roman" w:hAnsi="Times New Roman"/>
          <w:color w:val="002060"/>
          <w:sz w:val="23"/>
        </w:rPr>
        <w:t xml:space="preserve"> The Company shall withhold from any Severance Benefits all federal, state and local income or other taxes required to be withheld therefrom and any other required payroll deductions.</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15.</w:t>
      </w:r>
    </w:p>
    <w:p>
      <w:pPr>
        <w:pStyle w:val="TextBody"/>
        <w:bidi w:val="0"/>
        <w:spacing w:before="0" w:after="240"/>
        <w:jc w:val="both"/>
        <w:rPr>
          <w:rFonts w:ascii="Times New Roman" w:hAnsi="Times New Roman"/>
          <w:sz w:val="23"/>
        </w:rPr>
      </w:pPr>
      <w:r>
        <w:rPr>
          <w:rFonts w:ascii="Times New Roman" w:hAnsi="Times New Roman"/>
          <w:b/>
          <w:color w:val="002060"/>
          <w:sz w:val="23"/>
        </w:rPr>
        <w:t>Compensation.</w:t>
      </w:r>
      <w:r>
        <w:rPr>
          <w:rFonts w:ascii="Times New Roman" w:hAnsi="Times New Roman"/>
          <w:color w:val="002060"/>
          <w:sz w:val="23"/>
        </w:rPr>
        <w:t xml:space="preserve"> Benefits payable hereunder shall not constitute compensation under any other plan or arrangement, except as expressly provided in such plan or arrangement.</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16.</w:t>
      </w:r>
    </w:p>
    <w:p>
      <w:pPr>
        <w:pStyle w:val="TextBody"/>
        <w:bidi w:val="0"/>
        <w:spacing w:before="0" w:after="240"/>
        <w:jc w:val="both"/>
        <w:rPr>
          <w:rFonts w:ascii="Times New Roman" w:hAnsi="Times New Roman"/>
          <w:sz w:val="23"/>
        </w:rPr>
      </w:pPr>
      <w:r>
        <w:rPr>
          <w:rFonts w:ascii="Times New Roman" w:hAnsi="Times New Roman"/>
          <w:b/>
          <w:color w:val="002060"/>
          <w:sz w:val="23"/>
        </w:rPr>
        <w:t>Interpretation.</w:t>
      </w:r>
      <w:r>
        <w:rPr>
          <w:rFonts w:ascii="Times New Roman" w:hAnsi="Times New Roman"/>
          <w:color w:val="002060"/>
          <w:sz w:val="23"/>
        </w:rPr>
        <w:t xml:space="preserve"> Titles and headings to Sections hereof are for the purpose of reference only and shall in no way limit, define or otherwise affect the provisions hereof. Unless the context requires otherwise, all references to laws, regulations, contracts, agreements, plans and instruments refer to such laws, regulations, contracts, agreements, plans and instruments as they may be amended from time to time, and references to particular provisions of laws or </w:t>
      </w:r>
    </w:p>
    <w:p>
      <w:pPr>
        <w:pStyle w:val="TextBody"/>
        <w:bidi w:val="0"/>
        <w:jc w:val="center"/>
        <w:rPr>
          <w:rFonts w:ascii="Times New Roman" w:hAnsi="Times New Roman"/>
          <w:color w:val="002060"/>
          <w:sz w:val="22"/>
        </w:rPr>
      </w:pPr>
      <w:r>
        <w:rPr>
          <w:rFonts w:ascii="Times New Roman" w:hAnsi="Times New Roman"/>
          <w:color w:val="00206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 xml:space="preserve">regulations include a reference to the corresponding provisions of any succeeding law or regulation. All references to “dollars” or “$” in the Plan refer to United States dollars. The word “or” is not exclusive. The words “herein”, “hereof”, “hereunder” and other compounds of the word “here” shall refer to the entire Plan, including all Exhibits attached hereto, and not to any particular provision hereof. Wherever the context so requires, the masculine gender includes the feminine or neuter, and the singular number includes the plural and conversely. All references to “including” shall be construed as meaning “including without limitation.” </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17.</w:t>
      </w:r>
    </w:p>
    <w:p>
      <w:pPr>
        <w:pStyle w:val="TextBody"/>
        <w:bidi w:val="0"/>
        <w:spacing w:before="0" w:after="240"/>
        <w:jc w:val="both"/>
        <w:rPr>
          <w:rFonts w:ascii="Times New Roman" w:hAnsi="Times New Roman"/>
          <w:sz w:val="23"/>
        </w:rPr>
      </w:pPr>
      <w:r>
        <w:rPr>
          <w:rFonts w:ascii="Times New Roman" w:hAnsi="Times New Roman"/>
          <w:b/>
          <w:color w:val="002060"/>
          <w:sz w:val="23"/>
        </w:rPr>
        <w:t>Entire Agreement.</w:t>
      </w:r>
      <w:r>
        <w:rPr>
          <w:rFonts w:ascii="Times New Roman" w:hAnsi="Times New Roman"/>
          <w:color w:val="002060"/>
          <w:sz w:val="23"/>
        </w:rPr>
        <w:t xml:space="preserve"> This Plan and the Participation Agreements represent the entire agreement of the Company and the Participants with respect to the subject matter hereof and supersede all prior understandings, whether written or oral. For the avoidance of doubt, no Participant will be eligible for any other severance benefits under any employment agreement or letter agreement, except as provided under the terms of the Petco Health and Wellness Company, Inc. 2021 Equity Incentive Plan or any successor equity incentive plan adopted by the Company and any award agreements or other agreements governing the terms of awards thereunder. For the avoidance of doubt, this Plan and the Participation Agreement shall not modify any employment agreement or letter agreement with respect to any terms that are not covered by the subject matter hereof.</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18.</w:t>
      </w:r>
    </w:p>
    <w:p>
      <w:pPr>
        <w:pStyle w:val="TextBody"/>
        <w:bidi w:val="0"/>
        <w:spacing w:before="0" w:after="240"/>
        <w:jc w:val="both"/>
        <w:rPr>
          <w:rFonts w:ascii="Times New Roman" w:hAnsi="Times New Roman"/>
          <w:sz w:val="23"/>
        </w:rPr>
      </w:pPr>
      <w:r>
        <w:rPr>
          <w:rFonts w:ascii="Times New Roman" w:hAnsi="Times New Roman"/>
          <w:b/>
          <w:color w:val="002060"/>
          <w:sz w:val="23"/>
        </w:rPr>
        <w:t>Governing Law.</w:t>
      </w:r>
      <w:r>
        <w:rPr>
          <w:rFonts w:ascii="Times New Roman" w:hAnsi="Times New Roman"/>
          <w:color w:val="002060"/>
          <w:sz w:val="23"/>
        </w:rPr>
        <w:t xml:space="preserve"> The provisions of the Plan will be construed, administered, and enforced in accordance with ERISA and, to the extent applicable, the laws of the State of California without regard to its choice of law provisions that would require the application of the laws of a different jurisdiction.</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19.</w:t>
      </w:r>
    </w:p>
    <w:p>
      <w:pPr>
        <w:pStyle w:val="TextBody"/>
        <w:bidi w:val="0"/>
        <w:spacing w:before="0" w:after="240"/>
        <w:jc w:val="both"/>
        <w:rPr>
          <w:rFonts w:ascii="Times New Roman" w:hAnsi="Times New Roman"/>
          <w:b/>
          <w:color w:val="002060"/>
          <w:sz w:val="23"/>
        </w:rPr>
      </w:pPr>
      <w:r>
        <w:rPr>
          <w:rFonts w:ascii="Times New Roman" w:hAnsi="Times New Roman"/>
          <w:b/>
          <w:color w:val="002060"/>
          <w:sz w:val="23"/>
        </w:rPr>
        <w:t>Claims and Appeals.</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(a)</w:t>
      </w:r>
    </w:p>
    <w:p>
      <w:pPr>
        <w:pStyle w:val="TextBody"/>
        <w:bidi w:val="0"/>
        <w:spacing w:before="0" w:after="240"/>
        <w:jc w:val="both"/>
        <w:rPr>
          <w:rFonts w:ascii="Times New Roman" w:hAnsi="Times New Roman"/>
          <w:sz w:val="23"/>
        </w:rPr>
      </w:pPr>
      <w:r>
        <w:rPr>
          <w:rFonts w:ascii="Times New Roman" w:hAnsi="Times New Roman"/>
          <w:color w:val="002060"/>
          <w:sz w:val="23"/>
          <w:u w:val="single"/>
        </w:rPr>
        <w:t>Claims Procedure</w:t>
      </w:r>
      <w:r>
        <w:rPr>
          <w:rFonts w:ascii="Times New Roman" w:hAnsi="Times New Roman"/>
          <w:color w:val="002060"/>
          <w:sz w:val="23"/>
        </w:rPr>
        <w:t>. Any employee or other person who believes he or she is entitled to any payment under the Plan may submit a claim in writing to the Committee within 90 days of the earlier of (i) the date the claimant learned the amount of his or her benefits under the Plan or (ii) the date the claimant learned that he or she will not be entitled to any benefits under the Plan.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the Plan’s procedures for appealing the denial. The denial notice will be provided within 90 days after the claim is received. If special circumstances require an extension of time (up to 90 days), written notice of the extension will be given within the initial 90-day period. This notice of extension will indicate the special circumstances requiring the extension of time and the date by which the Committee expects to render its decision on the claim.</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(b)</w:t>
      </w:r>
    </w:p>
    <w:p>
      <w:pPr>
        <w:pStyle w:val="TextBody"/>
        <w:bidi w:val="0"/>
        <w:spacing w:before="0" w:after="240"/>
        <w:jc w:val="both"/>
        <w:rPr>
          <w:rFonts w:ascii="Times New Roman" w:hAnsi="Times New Roman"/>
          <w:sz w:val="23"/>
        </w:rPr>
      </w:pPr>
      <w:r>
        <w:rPr>
          <w:rFonts w:ascii="Times New Roman" w:hAnsi="Times New Roman"/>
          <w:color w:val="002060"/>
          <w:sz w:val="23"/>
          <w:u w:val="single"/>
        </w:rPr>
        <w:t>Appeal Procedure</w:t>
      </w:r>
      <w:r>
        <w:rPr>
          <w:rFonts w:ascii="Times New Roman" w:hAnsi="Times New Roman"/>
          <w:color w:val="002060"/>
          <w:sz w:val="23"/>
        </w:rPr>
        <w:t xml:space="preserve">. If the claimant’s claim is denied, the claimant (or his or her authorized representative) may apply in writing to the Committee for a review of the decision denying the claim. Review must be requested within 60 days following the date the claimant received the written notice of their claim denial or else the claimant loses the right to review. The claimant (or representative) then has the right to review and obtain copies of all documents and other information relevant to the claim, upon request and at no charge, and to submit issues and comments in writing. The Committee will provide written notice of its decision on review within 60 days after it receives a review request. If additional time (up to 60 days) is needed to review the request, the </w:t>
      </w:r>
    </w:p>
    <w:p>
      <w:pPr>
        <w:pStyle w:val="TextBody"/>
        <w:bidi w:val="0"/>
        <w:jc w:val="center"/>
        <w:rPr>
          <w:rFonts w:ascii="Times New Roman" w:hAnsi="Times New Roman"/>
          <w:color w:val="002060"/>
          <w:sz w:val="22"/>
        </w:rPr>
      </w:pPr>
      <w:r>
        <w:rPr>
          <w:rFonts w:ascii="Times New Roman" w:hAnsi="Times New Roman"/>
          <w:color w:val="00206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claimant (or representative) will be given written notice of the reason for the delay. This notice of extension will indicate the special circumstances requiring the extension of time and the date by which the Committee expects to render its decision. If the claim is denied (in full or in part), the claimant will be provided a written notice explaining the specific reasons for the denial and referring to the provisions of the Plan on which the denial is based. The notice also will include a statement that the claimant will be provided, upon request and free of charge, reasonable access to, and copies of, all documents and other information relevant to the claim and a statement regarding the claimant’s right to bring an action under Section 502(a) of ERISA.</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20.</w:t>
      </w:r>
    </w:p>
    <w:p>
      <w:pPr>
        <w:pStyle w:val="TextBody"/>
        <w:bidi w:val="0"/>
        <w:spacing w:before="0" w:after="240"/>
        <w:jc w:val="both"/>
        <w:rPr>
          <w:rFonts w:ascii="Times New Roman" w:hAnsi="Times New Roman"/>
          <w:sz w:val="23"/>
        </w:rPr>
      </w:pPr>
      <w:r>
        <w:rPr>
          <w:rFonts w:ascii="Times New Roman" w:hAnsi="Times New Roman"/>
          <w:b/>
          <w:color w:val="002060"/>
          <w:sz w:val="23"/>
        </w:rPr>
        <w:t>Certain Excise Taxes.</w:t>
      </w:r>
      <w:r>
        <w:rPr>
          <w:rFonts w:ascii="Times New Roman" w:hAnsi="Times New Roman"/>
          <w:color w:val="002060"/>
          <w:sz w:val="23"/>
        </w:rPr>
        <w:t xml:space="preserve"> Notwithstanding anything to the contrary in this Plan, if a Participant is a “disqualified individual” (as defined in Section 280G(c) of the Code), and the Severance Benefit provided for under this Plan, together with any other payments and benefits which the Participant has the right to receive from the Company, would constitute a “parachute payment” (as defined in Section 280G(b)(2) of the Code), then the Severance Benefit provided for under this Plan shall be either (a) reduced (but not below zero) so that the present value of such total amounts and benefits received by the Participant from the Company will be one dollar ($1.00) less than three times the Participant’s “base amount” (as defined in Section 280G(b)(3) of the Code) and so that no portion of such amounts and benefits received by the Participant shall be subject to the excise tax imposed by Section 4999 of the Code, or (b) paid in full, whichever produces the better net after-tax position to the Participant (taking into account any applicable excise tax under Section 4999 of the Code and any other applicable taxes). The determination as to whether any such reduction in the amount of the payments provided hereunder is necessary shall be made by the Company in good faith. If a reduced payment is made or provided and through error or otherwise that payment, when aggregated with other payments and benefits from the Company used in determining if a parachute payment exists, exceeds one dollar ($1.00) less than three times the Participant’s base amount, then the Participant shall immediately repay such excess to the Company upon notification that an overpayment has been made. Nothing in this Plan shall require the Company to be responsible for, or have any liability or obligation with respect to, the Participant’s excise tax liabilities under Section 4999 of the Code.</w:t>
      </w:r>
    </w:p>
    <w:p>
      <w:pPr>
        <w:pStyle w:val="TextBody"/>
        <w:bidi w:val="0"/>
        <w:spacing w:before="0" w:after="240"/>
        <w:jc w:val="center"/>
        <w:rPr>
          <w:rFonts w:ascii="Times New Roman" w:hAnsi="Times New Roman"/>
          <w:color w:val="002060"/>
          <w:sz w:val="23"/>
        </w:rPr>
      </w:pPr>
      <w:r>
        <w:rPr>
          <w:rFonts w:ascii="Times New Roman" w:hAnsi="Times New Roman"/>
          <w:color w:val="002060"/>
          <w:sz w:val="23"/>
        </w:rPr>
        <w:t>[Remainder of Page Intentionally Left Blank]</w:t>
      </w:r>
    </w:p>
    <w:p>
      <w:pPr>
        <w:pStyle w:val="TextBody"/>
        <w:bidi w:val="0"/>
        <w:jc w:val="center"/>
        <w:rPr>
          <w:rFonts w:ascii="Times New Roman" w:hAnsi="Times New Roman"/>
          <w:color w:val="002060"/>
          <w:sz w:val="22"/>
        </w:rPr>
      </w:pPr>
      <w:r>
        <w:rPr>
          <w:rFonts w:ascii="Times New Roman" w:hAnsi="Times New Roman"/>
          <w:color w:val="002060"/>
          <w:sz w:val="22"/>
        </w:rPr>
        <w:t>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2060"/>
          <w:sz w:val="23"/>
          <w:u w:val="single"/>
        </w:rPr>
      </w:pPr>
      <w:r>
        <w:rPr>
          <w:rFonts w:ascii="Times New Roman" w:hAnsi="Times New Roman"/>
          <w:b/>
          <w:color w:val="002060"/>
          <w:sz w:val="23"/>
          <w:u w:val="single"/>
        </w:rPr>
        <w:t>EXHIBIT A</w:t>
      </w:r>
    </w:p>
    <w:tbl>
      <w:tblPr>
        <w:tblW w:w="4683" w:type="dxa"/>
        <w:jc w:val="left"/>
        <w:tblInd w:w="0" w:type="dxa"/>
        <w:tblLayout w:type="fixed"/>
        <w:tblCellMar>
          <w:top w:w="28" w:type="dxa"/>
          <w:left w:w="28" w:type="dxa"/>
          <w:bottom w:w="28" w:type="dxa"/>
          <w:right w:w="28" w:type="dxa"/>
        </w:tblCellMar>
      </w:tblPr>
      <w:tblGrid>
        <w:gridCol w:w="676"/>
        <w:gridCol w:w="2146"/>
        <w:gridCol w:w="1861"/>
      </w:tblGrid>
      <w:tr>
        <w:trPr/>
        <w:tc>
          <w:tcPr>
            <w:tcW w:w="67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67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2060"/>
                <w:sz w:val="23"/>
              </w:rPr>
            </w:pPr>
            <w:r>
              <w:rPr>
                <w:rFonts w:ascii="Times New Roman" w:hAnsi="Times New Roman"/>
                <w:b/>
                <w:color w:val="002060"/>
                <w:sz w:val="23"/>
              </w:rPr>
              <w:t>Tier</w:t>
            </w:r>
          </w:p>
        </w:tc>
        <w:tc>
          <w:tcPr>
            <w:tcW w:w="2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2060"/>
                <w:sz w:val="23"/>
              </w:rPr>
            </w:pPr>
            <w:r>
              <w:rPr>
                <w:rFonts w:ascii="Times New Roman" w:hAnsi="Times New Roman"/>
                <w:b/>
                <w:color w:val="002060"/>
                <w:sz w:val="23"/>
              </w:rPr>
              <w:t>Severance Multiplier</w:t>
            </w:r>
          </w:p>
        </w:tc>
        <w:tc>
          <w:tcPr>
            <w:tcW w:w="18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2060"/>
                <w:sz w:val="23"/>
              </w:rPr>
            </w:pPr>
            <w:r>
              <w:rPr>
                <w:rFonts w:ascii="Times New Roman" w:hAnsi="Times New Roman"/>
                <w:b/>
                <w:color w:val="002060"/>
                <w:sz w:val="23"/>
              </w:rPr>
              <w:t>Severance Period</w:t>
            </w:r>
          </w:p>
        </w:tc>
      </w:tr>
      <w:tr>
        <w:trPr/>
        <w:tc>
          <w:tcPr>
            <w:tcW w:w="6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2060"/>
                <w:sz w:val="23"/>
              </w:rPr>
            </w:pPr>
            <w:r>
              <w:rPr>
                <w:rFonts w:ascii="Times New Roman" w:hAnsi="Times New Roman"/>
                <w:color w:val="002060"/>
                <w:sz w:val="23"/>
              </w:rPr>
              <w:t>Tier 1</w:t>
            </w:r>
          </w:p>
        </w:tc>
        <w:tc>
          <w:tcPr>
            <w:tcW w:w="2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2060"/>
                <w:sz w:val="23"/>
              </w:rPr>
            </w:pPr>
            <w:r>
              <w:rPr>
                <w:rFonts w:ascii="Times New Roman" w:hAnsi="Times New Roman"/>
                <w:color w:val="002060"/>
                <w:sz w:val="23"/>
              </w:rPr>
              <w:t>1.0</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2060"/>
                <w:sz w:val="23"/>
              </w:rPr>
            </w:pPr>
            <w:r>
              <w:rPr>
                <w:rFonts w:ascii="Times New Roman" w:hAnsi="Times New Roman"/>
                <w:color w:val="002060"/>
                <w:sz w:val="23"/>
              </w:rPr>
              <w:t>12</w:t>
            </w:r>
          </w:p>
        </w:tc>
      </w:tr>
      <w:tr>
        <w:trPr/>
        <w:tc>
          <w:tcPr>
            <w:tcW w:w="6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2060"/>
                <w:sz w:val="23"/>
              </w:rPr>
            </w:pPr>
            <w:r>
              <w:rPr>
                <w:rFonts w:ascii="Times New Roman" w:hAnsi="Times New Roman"/>
                <w:color w:val="002060"/>
                <w:sz w:val="23"/>
              </w:rPr>
              <w:t>Tier 2</w:t>
            </w:r>
          </w:p>
        </w:tc>
        <w:tc>
          <w:tcPr>
            <w:tcW w:w="2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2060"/>
                <w:sz w:val="23"/>
              </w:rPr>
            </w:pPr>
            <w:r>
              <w:rPr>
                <w:rFonts w:ascii="Times New Roman" w:hAnsi="Times New Roman"/>
                <w:color w:val="002060"/>
                <w:sz w:val="23"/>
              </w:rPr>
              <w:t>1.0</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2060"/>
                <w:sz w:val="23"/>
              </w:rPr>
            </w:pPr>
            <w:r>
              <w:rPr>
                <w:rFonts w:ascii="Times New Roman" w:hAnsi="Times New Roman"/>
                <w:color w:val="002060"/>
                <w:sz w:val="23"/>
              </w:rPr>
              <w:t>12</w:t>
            </w:r>
          </w:p>
        </w:tc>
      </w:tr>
    </w:tbl>
    <w:p>
      <w:pPr>
        <w:pStyle w:val="TextBody"/>
        <w:bidi w:val="0"/>
        <w:spacing w:before="0" w:after="24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center"/>
        <w:rPr>
          <w:rFonts w:ascii="Times New Roman" w:hAnsi="Times New Roman"/>
          <w:b/>
          <w:color w:val="002060"/>
          <w:sz w:val="23"/>
          <w:u w:val="single"/>
        </w:rPr>
      </w:pPr>
      <w:r>
        <w:rPr>
          <w:rFonts w:ascii="Times New Roman" w:hAnsi="Times New Roman"/>
          <w:b/>
          <w:color w:val="002060"/>
          <w:sz w:val="23"/>
          <w:u w:val="single"/>
        </w:rPr>
        <w:t>EXHIBIT B</w:t>
      </w:r>
    </w:p>
    <w:p>
      <w:pPr>
        <w:pStyle w:val="TextBody"/>
        <w:bidi w:val="0"/>
        <w:jc w:val="center"/>
        <w:rPr>
          <w:rFonts w:ascii="Times New Roman" w:hAnsi="Times New Roman"/>
          <w:b/>
          <w:color w:val="002060"/>
          <w:sz w:val="23"/>
        </w:rPr>
      </w:pPr>
      <w:r>
        <w:rPr>
          <w:rFonts w:ascii="Times New Roman" w:hAnsi="Times New Roman"/>
          <w:b/>
          <w:color w:val="002060"/>
          <w:sz w:val="23"/>
        </w:rPr>
        <w:t>PETCO HEALTH AND WELLNESS COMPANY, INC.</w:t>
      </w:r>
    </w:p>
    <w:p>
      <w:pPr>
        <w:pStyle w:val="TextBody"/>
        <w:bidi w:val="0"/>
        <w:spacing w:before="0" w:after="240"/>
        <w:jc w:val="center"/>
        <w:rPr>
          <w:rFonts w:ascii="Times New Roman" w:hAnsi="Times New Roman"/>
          <w:b/>
          <w:color w:val="002060"/>
          <w:sz w:val="23"/>
        </w:rPr>
      </w:pPr>
      <w:r>
        <w:rPr>
          <w:rFonts w:ascii="Times New Roman" w:hAnsi="Times New Roman"/>
          <w:b/>
          <w:color w:val="002060"/>
          <w:sz w:val="23"/>
        </w:rPr>
        <w:t>EXECUTIVE SEVERANCE PLAN</w:t>
      </w:r>
    </w:p>
    <w:p>
      <w:pPr>
        <w:pStyle w:val="TextBody"/>
        <w:bidi w:val="0"/>
        <w:spacing w:before="0" w:after="240"/>
        <w:jc w:val="center"/>
        <w:rPr>
          <w:rFonts w:ascii="Times New Roman" w:hAnsi="Times New Roman"/>
          <w:b/>
          <w:color w:val="002060"/>
          <w:sz w:val="23"/>
        </w:rPr>
      </w:pPr>
      <w:r>
        <w:rPr>
          <w:rFonts w:ascii="Times New Roman" w:hAnsi="Times New Roman"/>
          <w:b/>
          <w:color w:val="002060"/>
          <w:sz w:val="23"/>
        </w:rPr>
        <w:t>FORM OF PARTICIPATION AGREEMENT</w:t>
      </w:r>
    </w:p>
    <w:p>
      <w:pPr>
        <w:pStyle w:val="TextBody"/>
        <w:bidi w:val="0"/>
        <w:spacing w:before="0" w:after="240"/>
        <w:jc w:val="both"/>
        <w:rPr>
          <w:rFonts w:ascii="Times New Roman" w:hAnsi="Times New Roman"/>
          <w:sz w:val="23"/>
        </w:rPr>
      </w:pPr>
      <w:r>
        <w:rPr>
          <w:rFonts w:ascii="Times New Roman" w:hAnsi="Times New Roman"/>
          <w:color w:val="002060"/>
          <w:sz w:val="23"/>
        </w:rPr>
        <w:t>This Participation Agreement (this “</w:t>
      </w:r>
      <w:r>
        <w:rPr>
          <w:rFonts w:ascii="Times New Roman" w:hAnsi="Times New Roman"/>
          <w:b/>
          <w:i/>
          <w:color w:val="002060"/>
          <w:sz w:val="23"/>
        </w:rPr>
        <w:t>Agreement</w:t>
      </w:r>
      <w:r>
        <w:rPr>
          <w:rFonts w:ascii="Times New Roman" w:hAnsi="Times New Roman"/>
          <w:color w:val="002060"/>
          <w:sz w:val="23"/>
        </w:rPr>
        <w:t>”) is made and entered into by and between [●] (the “</w:t>
      </w:r>
      <w:r>
        <w:rPr>
          <w:rFonts w:ascii="Times New Roman" w:hAnsi="Times New Roman"/>
          <w:b/>
          <w:i/>
          <w:color w:val="002060"/>
          <w:sz w:val="23"/>
        </w:rPr>
        <w:t>Participant</w:t>
      </w:r>
      <w:r>
        <w:rPr>
          <w:rFonts w:ascii="Times New Roman" w:hAnsi="Times New Roman"/>
          <w:color w:val="002060"/>
          <w:sz w:val="23"/>
        </w:rPr>
        <w:t>”) and Petco Health and Wellness Company, Inc. (the “</w:t>
      </w:r>
      <w:r>
        <w:rPr>
          <w:rFonts w:ascii="Times New Roman" w:hAnsi="Times New Roman"/>
          <w:b/>
          <w:i/>
          <w:color w:val="002060"/>
          <w:sz w:val="23"/>
        </w:rPr>
        <w:t>Company</w:t>
      </w:r>
      <w:r>
        <w:rPr>
          <w:rFonts w:ascii="Times New Roman" w:hAnsi="Times New Roman"/>
          <w:color w:val="002060"/>
          <w:sz w:val="23"/>
        </w:rPr>
        <w:t>”) effective as of ______________, 20____.</w:t>
      </w:r>
    </w:p>
    <w:p>
      <w:pPr>
        <w:pStyle w:val="TextBody"/>
        <w:bidi w:val="0"/>
        <w:spacing w:before="0" w:after="240"/>
        <w:jc w:val="both"/>
        <w:rPr>
          <w:rFonts w:ascii="Times New Roman" w:hAnsi="Times New Roman"/>
          <w:sz w:val="23"/>
        </w:rPr>
      </w:pPr>
      <w:r>
        <w:rPr>
          <w:rFonts w:ascii="Times New Roman" w:hAnsi="Times New Roman"/>
          <w:color w:val="002060"/>
          <w:sz w:val="23"/>
        </w:rPr>
        <w:t>The Company maintains the Petco Health and Wellness Company, Inc. Executive Severance Plan (as amended from time to time, the “</w:t>
      </w:r>
      <w:r>
        <w:rPr>
          <w:rFonts w:ascii="Times New Roman" w:hAnsi="Times New Roman"/>
          <w:b/>
          <w:i/>
          <w:color w:val="002060"/>
          <w:sz w:val="23"/>
        </w:rPr>
        <w:t>Plan</w:t>
      </w:r>
      <w:r>
        <w:rPr>
          <w:rFonts w:ascii="Times New Roman" w:hAnsi="Times New Roman"/>
          <w:color w:val="002060"/>
          <w:sz w:val="23"/>
        </w:rPr>
        <w:t>”). Capitalized terms used but not defined in this Agreement have the meanings ascribed to them in the Plan. The Plan provides Severance Benefits in connection with the Participant’s Qualifying Termination.</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By signing this Agreement, the Participant acknowledges and agrees that the Participant has read and understands all of the terms of the Plan and this Agreement and that the Participant agrees to participate in the Plan as a Tier [__] Participant. The Participant acknowledges and agrees that such participation is subject to the terms and conditions of the Plan.</w:t>
      </w:r>
    </w:p>
    <w:p>
      <w:pPr>
        <w:pStyle w:val="TextBody"/>
        <w:bidi w:val="0"/>
        <w:spacing w:before="0" w:after="240"/>
        <w:jc w:val="both"/>
        <w:rPr>
          <w:rFonts w:ascii="Times New Roman" w:hAnsi="Times New Roman"/>
          <w:b/>
          <w:color w:val="002060"/>
          <w:sz w:val="23"/>
        </w:rPr>
      </w:pPr>
      <w:r>
        <w:rPr>
          <w:rFonts w:ascii="Times New Roman" w:hAnsi="Times New Roman"/>
          <w:b/>
          <w:color w:val="002060"/>
          <w:sz w:val="23"/>
        </w:rPr>
        <w:t>Miscellaneous:</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21.</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This Agreement shall be governed in all respects by the laws of the State of California without regard to its choice of law provisions that would require the application of the laws of a different jurisdiction.</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22.</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This Agreement may be executed in two or more counterparts, each of which shall be deemed an original, but all of which together shall constitute one and the same instrument.</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23.</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This Agreement and the Plan represent the entire agreement between the parties with respect to the subject matter hereof. For the avoidance of doubt, the Participant will no longer be eligible for any other severance benefits under any employment agreement or letter agreement, except as provided under the terms of the Petco Health and Wellness Company, Inc. 2021 Equity Incentive Plan or any successor equity incentive plan adopted by the Company and any award agreements or other agreements governing the terms of awards thereunder. If any dispute should arise under this Agreement, it shall be settled in accordance with the terms of the Plan. For the avoidance of doubt, the Plan and this Agreement shall not modify any employment agreement or letter agreement with respect to any terms that are not covered by the subject matter hereof.</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24.</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This Agreement shall be binding on the executors, heirs, administrators, successors and assigns of the Participant and the successors and assigns of Company and shall inure to the benefit of the respective executors, heirs, administrators, successors and assigns of the Company.</w:t>
      </w:r>
    </w:p>
    <w:p>
      <w:pPr>
        <w:pStyle w:val="TextBody"/>
        <w:bidi w:val="0"/>
        <w:spacing w:before="0" w:after="240"/>
        <w:jc w:val="center"/>
        <w:rPr>
          <w:rFonts w:ascii="Times New Roman" w:hAnsi="Times New Roman"/>
          <w:color w:val="002060"/>
          <w:sz w:val="23"/>
        </w:rPr>
      </w:pPr>
      <w:r>
        <w:rPr>
          <w:rFonts w:ascii="Times New Roman" w:hAnsi="Times New Roman"/>
          <w:color w:val="002060"/>
          <w:sz w:val="23"/>
        </w:rPr>
        <w:t xml:space="preserve">[Signature page follows.]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2060"/>
          <w:sz w:val="23"/>
        </w:rPr>
      </w:pPr>
      <w:r>
        <w:rPr>
          <w:rFonts w:ascii="Times New Roman" w:hAnsi="Times New Roman"/>
          <w:color w:val="002060"/>
          <w:sz w:val="23"/>
        </w:rPr>
        <w:t>IN WITNESS WHEREOF, the Participant and the Company hereto have executed this Agreement as of the date first set forth above.</w:t>
      </w:r>
    </w:p>
    <w:p>
      <w:pPr>
        <w:pStyle w:val="TextBody"/>
        <w:bidi w:val="0"/>
        <w:spacing w:before="0" w:after="240"/>
        <w:jc w:val="left"/>
        <w:rPr/>
      </w:pPr>
      <w:r>
        <w:rPr/>
        <w:t> </w:t>
      </w:r>
    </w:p>
    <w:p>
      <w:pPr>
        <w:pStyle w:val="TextBody"/>
        <w:bidi w:val="0"/>
        <w:jc w:val="left"/>
        <w:rPr>
          <w:rFonts w:ascii="Times New Roman" w:hAnsi="Times New Roman"/>
          <w:b/>
          <w:color w:val="002060"/>
          <w:sz w:val="23"/>
        </w:rPr>
      </w:pPr>
      <w:r>
        <w:rPr>
          <w:rFonts w:ascii="Times New Roman" w:hAnsi="Times New Roman"/>
          <w:b/>
          <w:color w:val="002060"/>
          <w:sz w:val="23"/>
        </w:rPr>
        <w:t>PETCO HEALTH AND WELLNESS COMPANY,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2060"/>
          <w:sz w:val="23"/>
        </w:rPr>
      </w:pPr>
      <w:r>
        <w:rPr>
          <w:rFonts w:ascii="Times New Roman" w:hAnsi="Times New Roman"/>
          <w:color w:val="002060"/>
          <w:sz w:val="23"/>
        </w:rPr>
        <w:t>Name:</w:t>
      </w:r>
    </w:p>
    <w:p>
      <w:pPr>
        <w:pStyle w:val="TextBody"/>
        <w:bidi w:val="0"/>
        <w:jc w:val="left"/>
        <w:rPr>
          <w:rFonts w:ascii="Times New Roman" w:hAnsi="Times New Roman"/>
          <w:color w:val="002060"/>
          <w:sz w:val="23"/>
        </w:rPr>
      </w:pPr>
      <w:r>
        <w:rPr>
          <w:rFonts w:ascii="Times New Roman" w:hAnsi="Times New Roman"/>
          <w:color w:val="002060"/>
          <w:sz w:val="23"/>
        </w:rPr>
        <w:t>Title: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2060"/>
          <w:sz w:val="23"/>
        </w:rPr>
      </w:pPr>
      <w:r>
        <w:rPr>
          <w:rFonts w:ascii="Times New Roman" w:hAnsi="Times New Roman"/>
          <w:b/>
          <w:color w:val="002060"/>
          <w:sz w:val="23"/>
        </w:rPr>
        <w:t>PARTICIPANT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2060"/>
          <w:sz w:val="23"/>
        </w:rPr>
      </w:pPr>
      <w:r>
        <w:rPr>
          <w:rFonts w:ascii="Times New Roman" w:hAnsi="Times New Roman"/>
          <w:color w:val="002060"/>
          <w:sz w:val="23"/>
        </w:rPr>
        <w:t>Name: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woof-ex31_1.htm"/>
      <w:bookmarkStart w:id="25" w:name="kswoofex31_1"/>
      <w:bookmarkEnd w:id="24"/>
      <w:bookmarkEnd w:id="25"/>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Joel Anderson,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Petco Health and Wellness Company,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27" w:type="dxa"/>
        <w:jc w:val="left"/>
        <w:tblInd w:w="0" w:type="dxa"/>
        <w:tblLayout w:type="fixed"/>
        <w:tblCellMar>
          <w:top w:w="28" w:type="dxa"/>
          <w:left w:w="28" w:type="dxa"/>
          <w:bottom w:w="28" w:type="dxa"/>
          <w:right w:w="28" w:type="dxa"/>
        </w:tblCellMar>
      </w:tblPr>
      <w:tblGrid>
        <w:gridCol w:w="2116"/>
        <w:gridCol w:w="109"/>
        <w:gridCol w:w="406"/>
        <w:gridCol w:w="2596"/>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Joel Anderson.</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Joel Anderson</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woof-ex31_2.htm"/>
      <w:bookmarkStart w:id="27" w:name="kswoofex31_2"/>
      <w:bookmarkEnd w:id="26"/>
      <w:bookmarkEnd w:id="27"/>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Sabrina Simmons,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Petco Health and Wellness Company,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42" w:type="dxa"/>
        <w:jc w:val="left"/>
        <w:tblInd w:w="0" w:type="dxa"/>
        <w:tblLayout w:type="fixed"/>
        <w:tblCellMar>
          <w:top w:w="28" w:type="dxa"/>
          <w:left w:w="28" w:type="dxa"/>
          <w:bottom w:w="28" w:type="dxa"/>
          <w:right w:w="28" w:type="dxa"/>
        </w:tblCellMar>
      </w:tblPr>
      <w:tblGrid>
        <w:gridCol w:w="2116"/>
        <w:gridCol w:w="109"/>
        <w:gridCol w:w="406"/>
        <w:gridCol w:w="2911"/>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Sabrina Simmons</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Sabrina Simmons</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jc w:val="center"/>
              <w:rPr>
                <w:rFonts w:ascii="Times New Roman" w:hAnsi="Times New Roman"/>
                <w:sz w:val="20"/>
              </w:rPr>
            </w:pPr>
            <w:r>
              <w:rPr>
                <w:rFonts w:ascii="Times New Roman" w:hAnsi="Times New Roman"/>
                <w:b/>
                <w:color w:val="000000"/>
                <w:sz w:val="20"/>
              </w:rPr>
              <w:t>(Principal Financial Officer and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woof-ex32_1.htm"/>
      <w:bookmarkStart w:id="29" w:name="kswoofex32_1"/>
      <w:bookmarkEnd w:id="28"/>
      <w:bookmarkEnd w:id="29"/>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Petco Health and Wellness Company, Inc. (the “Company”) for the quarter ended August 1, 2026, as filed with the Securities and Exchange Commission on the date hereof (the “Report”), I, Joel Anderson, Chief Executive Officer of the Company, hereby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227" w:type="dxa"/>
        <w:jc w:val="left"/>
        <w:tblInd w:w="0" w:type="dxa"/>
        <w:tblLayout w:type="fixed"/>
        <w:tblCellMar>
          <w:top w:w="28" w:type="dxa"/>
          <w:left w:w="28" w:type="dxa"/>
          <w:bottom w:w="28" w:type="dxa"/>
          <w:right w:w="28" w:type="dxa"/>
        </w:tblCellMar>
      </w:tblPr>
      <w:tblGrid>
        <w:gridCol w:w="2116"/>
        <w:gridCol w:w="109"/>
        <w:gridCol w:w="406"/>
        <w:gridCol w:w="2596"/>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Joel Anderson</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Joel Anderson</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woof-ex32_2.htm"/>
      <w:bookmarkStart w:id="31" w:name="kswoofex32_2"/>
      <w:bookmarkEnd w:id="30"/>
      <w:bookmarkEnd w:id="3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Petco Health and Wellness Company, Inc. (the “Company”) for the quarter ended August 1, 2026, as filed with the Securities and Exchange Commission on the date hereof (the “Report”), I, Sabrina Simmons, Chief Financial Officer of the Company, hereby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542" w:type="dxa"/>
        <w:jc w:val="left"/>
        <w:tblInd w:w="0" w:type="dxa"/>
        <w:tblLayout w:type="fixed"/>
        <w:tblCellMar>
          <w:top w:w="28" w:type="dxa"/>
          <w:left w:w="28" w:type="dxa"/>
          <w:bottom w:w="28" w:type="dxa"/>
          <w:right w:w="28" w:type="dxa"/>
        </w:tblCellMar>
      </w:tblPr>
      <w:tblGrid>
        <w:gridCol w:w="2116"/>
        <w:gridCol w:w="109"/>
        <w:gridCol w:w="406"/>
        <w:gridCol w:w="2911"/>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Sabrina Simmons</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Sabrina Simmons</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jc w:val="center"/>
              <w:rPr>
                <w:rFonts w:ascii="Times New Roman" w:hAnsi="Times New Roman"/>
                <w:sz w:val="20"/>
              </w:rPr>
            </w:pPr>
            <w:r>
              <w:rPr>
                <w:rFonts w:ascii="Times New Roman" w:hAnsi="Times New Roman"/>
                <w:b/>
                <w:color w:val="000000"/>
                <w:sz w:val="20"/>
              </w:rPr>
              <w:t>(Principal Financial Officer and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470/000182647026000047/woof-ex10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18223</Words>
  <Characters>99187</Characters>
  <CharactersWithSpaces>118638</CharactersWithSpaces>
  <Paragraphs>5316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