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594360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55880</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78740</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4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7" w:lineRule="exact"/>
        <w:rPr>
          <w:sz w:val="24"/>
          <w:szCs w:val="24"/>
          <w:color w:val="auto"/>
        </w:rPr>
      </w:pPr>
    </w:p>
    <w:p>
      <w:pPr>
        <w:ind w:left="3940" w:right="1620" w:hanging="3919"/>
        <w:spacing w:after="0" w:line="306" w:lineRule="auto"/>
        <w:tabs>
          <w:tab w:leader="none" w:pos="477"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May 4, 2024</w:t>
      </w:r>
    </w:p>
    <w:p>
      <w:pPr>
        <w:spacing w:after="0" w:line="1" w:lineRule="exact"/>
        <w:rPr>
          <w:rFonts w:ascii="MS PGothic" w:cs="MS PGothic" w:eastAsia="MS PGothic" w:hAnsi="MS PGothic"/>
          <w:sz w:val="18"/>
          <w:szCs w:val="18"/>
          <w:color w:val="auto"/>
          <w:highlight w:val="black"/>
        </w:rPr>
      </w:pPr>
    </w:p>
    <w:p>
      <w:pPr>
        <w:ind w:left="54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OR</w:t>
      </w:r>
    </w:p>
    <w:p>
      <w:pPr>
        <w:spacing w:after="0" w:line="90"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88" w:lineRule="exact"/>
        <w:rPr>
          <w:sz w:val="24"/>
          <w:szCs w:val="24"/>
          <w:color w:val="auto"/>
        </w:rPr>
      </w:pPr>
    </w:p>
    <w:p>
      <w:pPr>
        <w:ind w:left="378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3904615</wp:posOffset>
            </wp:positionH>
            <wp:positionV relativeFrom="paragraph">
              <wp:posOffset>-5080</wp:posOffset>
            </wp:positionV>
            <wp:extent cx="3422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265" cy="8255"/>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001-39878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71120</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Petco Health and Wellness Company, Inc.</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81280</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ectPr>
          <w:pgSz w:w="11900" w:h="16838" w:orient="portrait"/>
          <w:cols w:equalWidth="0" w:num="1">
            <w:col w:w="11240"/>
          </w:cols>
          <w:pgMar w:left="320" w:top="1063" w:right="339" w:bottom="1440" w:gutter="0" w:footer="0" w:header="0"/>
        </w:sectPr>
      </w:pPr>
    </w:p>
    <w:p>
      <w:pPr>
        <w:spacing w:after="0" w:line="201"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8"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spacing w:after="0" w:line="13"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4"/>
          <w:szCs w:val="14"/>
          <w:b w:val="1"/>
          <w:bCs w:val="1"/>
          <w:color w:val="auto"/>
        </w:rPr>
        <w:t>81-1005932</w:t>
      </w:r>
    </w:p>
    <w:p>
      <w:pPr>
        <w:spacing w:after="0" w:line="3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00" w:lineRule="exact"/>
        <w:rPr>
          <w:sz w:val="24"/>
          <w:szCs w:val="24"/>
          <w:color w:val="auto"/>
        </w:rPr>
      </w:pPr>
    </w:p>
    <w:p>
      <w:pPr>
        <w:sectPr>
          <w:pgSz w:w="11900" w:h="16838" w:orient="portrait"/>
          <w:cols w:equalWidth="0" w:num="2">
            <w:col w:w="7220" w:space="720"/>
            <w:col w:w="3300"/>
          </w:cols>
          <w:pgMar w:left="320" w:top="1063" w:right="339" w:bottom="1440" w:gutter="0" w:footer="0" w:header="0"/>
          <w:type w:val="continuous"/>
        </w:sectPr>
      </w:pPr>
    </w:p>
    <w:p>
      <w:pPr>
        <w:ind w:left="2080"/>
        <w:spacing w:after="0"/>
        <w:rPr>
          <w:sz w:val="20"/>
          <w:szCs w:val="20"/>
          <w:color w:val="auto"/>
        </w:rPr>
      </w:pPr>
      <w:r>
        <w:rPr>
          <w:rFonts w:ascii="Times New Roman" w:cs="Times New Roman" w:eastAsia="Times New Roman" w:hAnsi="Times New Roman"/>
          <w:sz w:val="18"/>
          <w:szCs w:val="18"/>
          <w:b w:val="1"/>
          <w:bCs w:val="1"/>
          <w:color w:val="auto"/>
        </w:rPr>
        <w:t>10850 Via Frontera</w:t>
      </w:r>
    </w:p>
    <w:p>
      <w:pPr>
        <w:spacing w:after="0" w:line="31" w:lineRule="exact"/>
        <w:rPr>
          <w:sz w:val="24"/>
          <w:szCs w:val="24"/>
          <w:color w:val="auto"/>
        </w:rPr>
      </w:pPr>
    </w:p>
    <w:p>
      <w:pPr>
        <w:ind w:left="2000"/>
        <w:spacing w:after="0"/>
        <w:tabs>
          <w:tab w:leader="none" w:pos="8200" w:val="left"/>
        </w:tabs>
        <w:rPr>
          <w:sz w:val="20"/>
          <w:szCs w:val="20"/>
          <w:color w:val="auto"/>
        </w:rPr>
      </w:pPr>
      <w:r>
        <w:rPr>
          <w:rFonts w:ascii="Times New Roman" w:cs="Times New Roman" w:eastAsia="Times New Roman" w:hAnsi="Times New Roman"/>
          <w:sz w:val="18"/>
          <w:szCs w:val="18"/>
          <w:b w:val="1"/>
          <w:bCs w:val="1"/>
          <w:color w:val="auto"/>
        </w:rPr>
        <w:t>San Diego, California</w:t>
      </w:r>
      <w:r>
        <w:rPr>
          <w:sz w:val="20"/>
          <w:szCs w:val="20"/>
          <w:color w:val="auto"/>
        </w:rPr>
        <w:tab/>
      </w:r>
      <w:r>
        <w:rPr>
          <w:rFonts w:ascii="Times New Roman" w:cs="Times New Roman" w:eastAsia="Times New Roman" w:hAnsi="Times New Roman"/>
          <w:sz w:val="17"/>
          <w:szCs w:val="17"/>
          <w:b w:val="1"/>
          <w:bCs w:val="1"/>
          <w:color w:val="auto"/>
        </w:rPr>
        <w:t>92127</w:t>
      </w:r>
    </w:p>
    <w:p>
      <w:pPr>
        <w:spacing w:after="0" w:line="15" w:lineRule="exact"/>
        <w:rPr>
          <w:sz w:val="24"/>
          <w:szCs w:val="24"/>
          <w:color w:val="auto"/>
        </w:rPr>
      </w:pPr>
    </w:p>
    <w:p>
      <w:pPr>
        <w:ind w:left="178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64"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453-7845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79375</wp:posOffset>
            </wp:positionV>
            <wp:extent cx="1430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20" w:type="dxa"/>
            <w:vAlign w:val="bottom"/>
          </w:tcPr>
          <w:p>
            <w:pPr>
              <w:spacing w:after="0"/>
              <w:rPr>
                <w:sz w:val="13"/>
                <w:szCs w:val="13"/>
                <w:color w:val="auto"/>
              </w:rPr>
            </w:pPr>
          </w:p>
        </w:tc>
        <w:tc>
          <w:tcPr>
            <w:tcW w:w="4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6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4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Class A Common Stock, par value $0.001 per share</w:t>
            </w:r>
          </w:p>
        </w:tc>
        <w:tc>
          <w:tcPr>
            <w:tcW w:w="12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WOOF</w:t>
            </w:r>
          </w:p>
        </w:tc>
        <w:tc>
          <w:tcPr>
            <w:tcW w:w="120" w:type="dxa"/>
            <w:vAlign w:val="bottom"/>
          </w:tcPr>
          <w:p>
            <w:pPr>
              <w:spacing w:after="0"/>
              <w:rPr>
                <w:sz w:val="16"/>
                <w:szCs w:val="16"/>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The Nasdaq Stock Market LLC</w:t>
            </w:r>
          </w:p>
        </w:tc>
        <w:tc>
          <w:tcPr>
            <w:tcW w:w="0" w:type="dxa"/>
            <w:vAlign w:val="bottom"/>
          </w:tcPr>
          <w:p>
            <w:pPr>
              <w:spacing w:after="0"/>
              <w:rPr>
                <w:sz w:val="1"/>
                <w:szCs w:val="1"/>
                <w:color w:val="auto"/>
              </w:rPr>
            </w:pPr>
          </w:p>
        </w:tc>
      </w:tr>
    </w:tbl>
    <w:p>
      <w:pPr>
        <w:spacing w:after="0" w:line="31" w:lineRule="exact"/>
        <w:rPr>
          <w:sz w:val="24"/>
          <w:szCs w:val="24"/>
          <w:color w:val="auto"/>
        </w:rPr>
      </w:pPr>
    </w:p>
    <w:p>
      <w:pPr>
        <w:jc w:val="both"/>
        <w:ind w:right="2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ind w:right="420"/>
        <w:spacing w:after="0" w:line="21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ind w:right="140"/>
        <w:spacing w:after="0" w:line="27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47" w:lineRule="exact"/>
        <w:rPr>
          <w:sz w:val="24"/>
          <w:szCs w:val="24"/>
          <w:color w:val="auto"/>
        </w:rPr>
      </w:pPr>
    </w:p>
    <w:p>
      <w:pPr>
        <w:ind w:right="600"/>
        <w:spacing w:after="0" w:line="21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tabs>
          <w:tab w:leader="none" w:pos="7540" w:val="left"/>
          <w:tab w:leader="none" w:pos="818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9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number of shares of the registrant’s Class A Common Stock outstanding as of June 3, 2024 was 235,201,143.</w:t>
      </w:r>
    </w:p>
    <w:p>
      <w:pPr>
        <w:spacing w:after="0" w:line="7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number of shares of the registrant’s Class B-1 Common Stock outstanding as of June 3, 2024 was 37,790,781.</w:t>
      </w:r>
    </w:p>
    <w:p>
      <w:pPr>
        <w:spacing w:after="0" w:line="7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number of shares of the registrant’s Class B-2 Common Stock outstanding as of June 3, 2024 was 37,790,781.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923925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20" w:type="dxa"/>
            <w:vAlign w:val="bottom"/>
            <w:gridSpan w:val="7"/>
          </w:tcPr>
          <w:p>
            <w:pPr>
              <w:ind w:left="9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r>
      <w:tr>
        <w:trPr>
          <w:trHeight w:val="377"/>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9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26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auto"/>
                <w:w w:val="98"/>
              </w:rPr>
              <w:t>FINANCIAL INFORMATION</w:t>
            </w:r>
          </w:p>
        </w:tc>
        <w:tc>
          <w:tcPr>
            <w:tcW w:w="7040" w:type="dxa"/>
            <w:vAlign w:val="bottom"/>
            <w:gridSpan w:val="11"/>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0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auto"/>
                <w:w w:val="99"/>
              </w:rPr>
              <w:t>Consolidated Balance Sheets</w:t>
            </w:r>
          </w:p>
        </w:tc>
        <w:tc>
          <w:tcPr>
            <w:tcW w:w="320" w:type="dxa"/>
            <w:vAlign w:val="bottom"/>
            <w:tcBorders>
              <w:top w:val="single" w:sz="8" w:color="0000EE"/>
            </w:tcBorders>
            <w:gridSpan w:val="3"/>
          </w:tcPr>
          <w:p>
            <w:pPr>
              <w:spacing w:after="0"/>
              <w:rPr>
                <w:sz w:val="18"/>
                <w:szCs w:val="18"/>
                <w:color w:val="auto"/>
              </w:rPr>
            </w:pPr>
          </w:p>
        </w:tc>
        <w:tc>
          <w:tcPr>
            <w:tcW w:w="6880" w:type="dxa"/>
            <w:vAlign w:val="bottom"/>
            <w:gridSpan w:val="9"/>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auto"/>
                <w:w w:val="99"/>
              </w:rPr>
              <w:t>Consolidated Statements of Operations</w:t>
            </w:r>
          </w:p>
        </w:tc>
        <w:tc>
          <w:tcPr>
            <w:tcW w:w="6480" w:type="dxa"/>
            <w:vAlign w:val="bottom"/>
            <w:gridSpan w:val="8"/>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Consolidated Statements of Comprehensive Income (Loss)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38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auto"/>
                <w:w w:val="99"/>
              </w:rPr>
              <w:t>Consolidated Statements of Stockholders' / Members' Equity</w:t>
            </w:r>
          </w:p>
        </w:tc>
        <w:tc>
          <w:tcPr>
            <w:tcW w:w="492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8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auto"/>
                <w:w w:val="99"/>
              </w:rPr>
              <w:t>Consolidated Statements of Cash Flows</w:t>
            </w:r>
          </w:p>
        </w:tc>
        <w:tc>
          <w:tcPr>
            <w:tcW w:w="642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Notes to Unaudited Consolidated Financial Statements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620" w:type="dxa"/>
            <w:vAlign w:val="bottom"/>
            <w:gridSpan w:val="4"/>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auto"/>
                <w:w w:val="99"/>
              </w:rPr>
              <w:t>Management’s Discussion and Analysis of Financial Condition and Results of Operations</w:t>
            </w: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auto"/>
                <w:w w:val="99"/>
              </w:rPr>
              <w:t>Quantitative and Qualitative Disclosures About Market Risk</w:t>
            </w:r>
          </w:p>
        </w:tc>
        <w:tc>
          <w:tcPr>
            <w:tcW w:w="494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8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auto"/>
              </w:rPr>
              <w:t>Controls and Procedures</w:t>
            </w:r>
          </w:p>
        </w:tc>
        <w:tc>
          <w:tcPr>
            <w:tcW w:w="750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4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auto"/>
                <w:w w:val="98"/>
              </w:rPr>
              <w:t>Legal Proceedings</w:t>
            </w:r>
          </w:p>
        </w:tc>
        <w:tc>
          <w:tcPr>
            <w:tcW w:w="540" w:type="dxa"/>
            <w:vAlign w:val="bottom"/>
            <w:tcBorders>
              <w:top w:val="single" w:sz="8" w:color="0000EE"/>
            </w:tcBorders>
            <w:gridSpan w:val="3"/>
          </w:tcPr>
          <w:p>
            <w:pPr>
              <w:spacing w:after="0"/>
              <w:rPr>
                <w:sz w:val="24"/>
                <w:szCs w:val="24"/>
                <w:color w:val="auto"/>
              </w:rPr>
            </w:pPr>
          </w:p>
        </w:tc>
        <w:tc>
          <w:tcPr>
            <w:tcW w:w="7420" w:type="dxa"/>
            <w:vAlign w:val="bottom"/>
            <w:gridSpan w:val="13"/>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w w:val="99"/>
              </w:rPr>
              <w:t>Risk Factors</w:t>
            </w:r>
          </w:p>
        </w:tc>
        <w:tc>
          <w:tcPr>
            <w:tcW w:w="8380" w:type="dxa"/>
            <w:vAlign w:val="bottom"/>
            <w:gridSpan w:val="18"/>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496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auto"/>
                <w:w w:val="99"/>
              </w:rPr>
              <w:t>Mine Safety Disclosures</w:t>
            </w:r>
          </w:p>
        </w:tc>
        <w:tc>
          <w:tcPr>
            <w:tcW w:w="540" w:type="dxa"/>
            <w:vAlign w:val="bottom"/>
            <w:tcBorders>
              <w:top w:val="single" w:sz="8" w:color="0000EE"/>
            </w:tcBorders>
            <w:gridSpan w:val="5"/>
          </w:tcPr>
          <w:p>
            <w:pPr>
              <w:spacing w:after="0"/>
              <w:rPr>
                <w:sz w:val="18"/>
                <w:szCs w:val="18"/>
                <w:color w:val="auto"/>
              </w:rPr>
            </w:pPr>
          </w:p>
        </w:tc>
        <w:tc>
          <w:tcPr>
            <w:tcW w:w="6980" w:type="dxa"/>
            <w:vAlign w:val="bottom"/>
            <w:gridSpan w:val="10"/>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w w:val="98"/>
              </w:rPr>
              <w:t>Other Information</w:t>
            </w:r>
          </w:p>
        </w:tc>
        <w:tc>
          <w:tcPr>
            <w:tcW w:w="7980" w:type="dxa"/>
            <w:vAlign w:val="bottom"/>
            <w:gridSpan w:val="17"/>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Exhibits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9"/>
        </w:trPr>
        <w:tc>
          <w:tcPr>
            <w:tcW w:w="7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auto"/>
                <w:w w:val="97"/>
              </w:rPr>
              <w:t>Signatures</w:t>
            </w:r>
          </w:p>
        </w:tc>
        <w:tc>
          <w:tcPr>
            <w:tcW w:w="380" w:type="dxa"/>
            <w:vAlign w:val="bottom"/>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483870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08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b w:val="1"/>
          <w:bCs w:val="1"/>
          <w:u w:val="single" w:color="auto"/>
          <w:color w:val="auto"/>
        </w:rPr>
        <w:t>Forward-Looking Statements</w:t>
      </w:r>
    </w:p>
    <w:p>
      <w:pPr>
        <w:spacing w:after="0" w:line="276" w:lineRule="exact"/>
        <w:rPr>
          <w:sz w:val="20"/>
          <w:szCs w:val="20"/>
          <w:color w:val="auto"/>
        </w:rPr>
      </w:pPr>
    </w:p>
    <w:p>
      <w:pPr>
        <w:ind w:firstLine="749"/>
        <w:spacing w:after="0" w:line="267" w:lineRule="auto"/>
        <w:rPr>
          <w:sz w:val="20"/>
          <w:szCs w:val="20"/>
          <w:color w:val="auto"/>
        </w:rPr>
      </w:pPr>
      <w:r>
        <w:rPr>
          <w:rFonts w:ascii="Times New Roman" w:cs="Times New Roman" w:eastAsia="Times New Roman" w:hAnsi="Times New Roman"/>
          <w:sz w:val="16"/>
          <w:szCs w:val="16"/>
          <w:color w:val="auto"/>
        </w:rPr>
        <w:t>This Quarterly Report on Form 10-Q (this “Form 10-Q”) contains “forward-looking statements” within the meaning of the Private Securities Litigation Reform Act of 1995 as contained in Section 27A of the Securities Act of 1933, as amended, and Section 21E of the Securities Exchange Act of 1934, as amended, concerning expectations, beliefs, plans, objectives, goals, strategies, future events or performance, and underlying assumptions and other statements that are not statements of historical fact, including, but not limited to, statements regarding: our expectations with respect to our revenue, expenses, profitability, and other operating results; our growth plans; our ability to compete effectively in the markets in which we participate; the execution on our transformation initiatives; and the impact of certain macroeconomic factors, including inflationary and interest rate pressures, consumer spending patterns, global supply chain constraints, and global economic and geopolitical developments, on our business. Forward-looking and other statements in this Form 10-Q may also address our progress, plans, and goals with respect to sustainability initiatives, and the inclusion of such statements is not an indication that these contents are necessarily material to investors or required to be disclosed in our filings with the U.S. Securities and Exchange Commission (the “SEC”). Such plans and goals may change, and statements regarding such plans and goals are not guarantees or promises that they will be met. In addition, historical, current, and forward-looking sustainability-related statements may be based on standards for measuring progress that are still developing, internal controls and processes that continue to evolve, and assumptions that are subject to change in the future.</w:t>
      </w:r>
    </w:p>
    <w:p>
      <w:pPr>
        <w:spacing w:after="0" w:line="81" w:lineRule="exact"/>
        <w:rPr>
          <w:sz w:val="20"/>
          <w:szCs w:val="20"/>
          <w:color w:val="auto"/>
        </w:rPr>
      </w:pPr>
    </w:p>
    <w:p>
      <w:pPr>
        <w:ind w:right="40" w:firstLine="749"/>
        <w:spacing w:after="0" w:line="270" w:lineRule="auto"/>
        <w:rPr>
          <w:sz w:val="20"/>
          <w:szCs w:val="20"/>
          <w:color w:val="auto"/>
        </w:rPr>
      </w:pPr>
      <w:r>
        <w:rPr>
          <w:rFonts w:ascii="Times New Roman" w:cs="Times New Roman" w:eastAsia="Times New Roman" w:hAnsi="Times New Roman"/>
          <w:sz w:val="16"/>
          <w:szCs w:val="16"/>
          <w:color w:val="auto"/>
        </w:rPr>
        <w:t>Such forward-looking statements can generally be identified by the use of forward-looking terms such as “believes,” “expects,” “may,” “intends,” “will,” “shall,” “should,” “anticipates,” “opportunity,” “illustrative”, or the negative thereof or other variations thereon or comparable terminology. Although we believe that the expectations and assumptions reflected in these statements are reasonable, there can be no assurance that these expectations will prove to be correct or that any forward-looking results will occur or be realized. Nothing contained in this Form 10-Q is, or should be relied upon as, a promise or representation or warranty as to any future matter, including any matter in respect of our operations or business or financial condition. All forward-looking statements are based on current expectations and assumptions about future events that may or may not be correct or necessarily take place and that are by their nature subject to significant uncertainties and contingencies, many of which are outside of our control.</w:t>
      </w:r>
    </w:p>
    <w:p>
      <w:pPr>
        <w:spacing w:after="0" w:line="282"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6"/>
          <w:szCs w:val="16"/>
          <w:color w:val="auto"/>
        </w:rPr>
        <w:t>Forward-looking statements are subject to many risks, uncertainties and other factors that could cause actual results or events to differ materially from the potential results or events discussed in such forward-looking statements, including, without limitation, those identified in this Form 10-Q as well as the following: (i) increased competition (including from multi-channel retailers, mass and grocery retailers, and e-Commerce providers); (ii) reduced consumer demand for our products and/or services; (iii) our reliance on key vendors; (iv) our ability to attract and retain qualified employees; (v) risks arising from statutory, regulatory, and/or legal developments; (vi) macroeconomic pressures in the markets in which we operate, including inflation and prevailing interest rates; (vii) failure to effectively manage our costs; (viii) our reliance on our information technology systems; (ix) our ability to prevent or effectively respond to a data privacy or security breach; (x) our ability to effectively manage or integrate strategic ventures, alliances, or acquisitions and realize the anticipated benefits of such transactions; (xi) economic or regulatory developments that might affect our ability to provide attractive promotional financing; (xii) business interruptions and other supply chain issues; (xiii) catastrophic events, political tensions, conflicts and wars (such as the ongoing conflicts in Ukraine and the Middle East), health crises, and pandemics; (xiv) our ability to maintain positive brand perception and recognition; (xv) product safety and quality concerns; (xvi) changes to labor or employment laws or regulations; (xvii) our ability to effectively manage our real estate portfolio; (xviii) constraints in the capital markets or our vendor credit terms; (xix) changes in our credit ratings; (xx) impairments of the carrying value of our goodwill and other intangible assets; (xxi) our ability to successfully implement our operational adjustments, achieve the expected benefits of our cost action plans, and drive improved profitability; and (xxii) the other risks, uncertainties and other factors referred to under “Risk Factors” and identified elsewhere in this Form 10-Q and our other filings with the SEC. The occurrence of any such factors could significantly alter the results set forth in these statements.</w:t>
      </w:r>
    </w:p>
    <w:p>
      <w:pPr>
        <w:spacing w:after="0" w:line="139" w:lineRule="exact"/>
        <w:rPr>
          <w:sz w:val="20"/>
          <w:szCs w:val="20"/>
          <w:color w:val="auto"/>
        </w:rPr>
      </w:pPr>
    </w:p>
    <w:p>
      <w:pPr>
        <w:ind w:right="260" w:firstLine="749"/>
        <w:spacing w:after="0" w:line="280" w:lineRule="auto"/>
        <w:rPr>
          <w:sz w:val="20"/>
          <w:szCs w:val="20"/>
          <w:color w:val="auto"/>
        </w:rPr>
      </w:pPr>
      <w:r>
        <w:rPr>
          <w:rFonts w:ascii="Times New Roman" w:cs="Times New Roman" w:eastAsia="Times New Roman" w:hAnsi="Times New Roman"/>
          <w:sz w:val="16"/>
          <w:szCs w:val="16"/>
          <w:color w:val="auto"/>
        </w:rPr>
        <w:t>We caution that the foregoing list of risks, uncertainties and other factors is not complete, and forward-looking statements speak only as of the date they are made. We undertake no duty to update publicly any such forward-looking statement, whether as a result of new information, future events or otherwise, except as may be required by applicable law, regulation or other competent legal authority.</w:t>
      </w:r>
    </w:p>
    <w:p>
      <w:pPr>
        <w:spacing w:after="0" w:line="125" w:lineRule="exact"/>
        <w:rPr>
          <w:sz w:val="20"/>
          <w:szCs w:val="20"/>
          <w:color w:val="auto"/>
        </w:rPr>
      </w:pPr>
    </w:p>
    <w:p>
      <w:pPr>
        <w:ind w:right="300" w:firstLine="749"/>
        <w:spacing w:after="0" w:line="275" w:lineRule="auto"/>
        <w:rPr>
          <w:sz w:val="20"/>
          <w:szCs w:val="20"/>
          <w:color w:val="auto"/>
        </w:rPr>
      </w:pPr>
      <w:r>
        <w:rPr>
          <w:rFonts w:ascii="Times New Roman" w:cs="Times New Roman" w:eastAsia="Times New Roman" w:hAnsi="Times New Roman"/>
          <w:sz w:val="16"/>
          <w:szCs w:val="16"/>
          <w:color w:val="auto"/>
        </w:rPr>
        <w:t>In addition, statements such as “we believe” and similar statements reflect our beliefs and opinions on the relevant subject. These statements are based on information available to us as of the date of this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p>
      <w:pPr>
        <w:spacing w:after="0" w:line="11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gridSpan w:val="2"/>
          </w:tcPr>
          <w:p>
            <w:pPr>
              <w:jc w:val="center"/>
              <w:ind w:right="540"/>
              <w:spacing w:after="0"/>
              <w:rPr>
                <w:sz w:val="20"/>
                <w:szCs w:val="20"/>
                <w:color w:val="auto"/>
              </w:rPr>
            </w:pPr>
            <w:r>
              <w:rPr>
                <w:rFonts w:ascii="Times New Roman" w:cs="Times New Roman" w:eastAsia="Times New Roman" w:hAnsi="Times New Roman"/>
                <w:sz w:val="13"/>
                <w:szCs w:val="13"/>
                <w:b w:val="1"/>
                <w:bCs w:val="1"/>
                <w:color w:val="auto"/>
                <w:w w:val="99"/>
              </w:rPr>
              <w:t>May 4,</w:t>
            </w:r>
          </w:p>
        </w:tc>
        <w:tc>
          <w:tcPr>
            <w:tcW w:w="280" w:type="dxa"/>
            <w:vAlign w:val="bottom"/>
          </w:tcPr>
          <w:p>
            <w:pPr>
              <w:spacing w:after="0"/>
              <w:rPr>
                <w:sz w:val="12"/>
                <w:szCs w:val="12"/>
                <w:color w:val="auto"/>
              </w:rPr>
            </w:pP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February 3,</w:t>
            </w:r>
          </w:p>
        </w:tc>
        <w:tc>
          <w:tcPr>
            <w:tcW w:w="0" w:type="dxa"/>
            <w:vAlign w:val="bottom"/>
          </w:tcPr>
          <w:p>
            <w:pPr>
              <w:spacing w:after="0"/>
              <w:rPr>
                <w:sz w:val="1"/>
                <w:szCs w:val="1"/>
                <w:color w:val="auto"/>
              </w:rPr>
            </w:pPr>
          </w:p>
        </w:tc>
      </w:tr>
      <w:tr>
        <w:trPr>
          <w:trHeight w:val="167"/>
        </w:trPr>
        <w:tc>
          <w:tcPr>
            <w:tcW w:w="77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189"/>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rPr>
              <w:t>(Unaudited)</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89,717</w:t>
            </w:r>
          </w:p>
        </w:tc>
        <w:tc>
          <w:tcPr>
            <w:tcW w:w="28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125,428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Receivables, less allowance for credit losses ($1,821 and $1,806, respectively)</w:t>
            </w: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42,081</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44,369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Merchandise inventories, net</w:t>
            </w:r>
          </w:p>
        </w:tc>
        <w:tc>
          <w:tcPr>
            <w:tcW w:w="26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681,020</w:t>
            </w:r>
          </w:p>
        </w:tc>
        <w:tc>
          <w:tcPr>
            <w:tcW w:w="2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684,502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Prepaid expenses</w:t>
            </w: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64,983</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 current assets</w:t>
            </w:r>
          </w:p>
        </w:tc>
        <w:tc>
          <w:tcPr>
            <w:tcW w:w="26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26,254</w:t>
            </w:r>
          </w:p>
        </w:tc>
        <w:tc>
          <w:tcPr>
            <w:tcW w:w="28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38,830</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current assets</w:t>
            </w: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904,055</w:t>
            </w: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951,744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Fixed assets</w:t>
            </w:r>
          </w:p>
        </w:tc>
        <w:tc>
          <w:tcPr>
            <w:tcW w:w="26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2,177,472</w:t>
            </w: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2,173,015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260" w:type="dxa"/>
            <w:vAlign w:val="bottom"/>
          </w:tcPr>
          <w:p>
            <w:pPr>
              <w:spacing w:after="0"/>
              <w:rPr>
                <w:sz w:val="15"/>
                <w:szCs w:val="15"/>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(1,398,944 )</w:t>
            </w:r>
          </w:p>
        </w:tc>
        <w:tc>
          <w:tcPr>
            <w:tcW w:w="280" w:type="dxa"/>
            <w:vAlign w:val="bottom"/>
          </w:tcPr>
          <w:p>
            <w:pPr>
              <w:spacing w:after="0"/>
              <w:rPr>
                <w:sz w:val="15"/>
                <w:szCs w:val="15"/>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(1,356,648 )</w:t>
            </w:r>
          </w:p>
        </w:tc>
        <w:tc>
          <w:tcPr>
            <w:tcW w:w="0" w:type="dxa"/>
            <w:vAlign w:val="bottom"/>
          </w:tcPr>
          <w:p>
            <w:pPr>
              <w:spacing w:after="0"/>
              <w:rPr>
                <w:sz w:val="1"/>
                <w:szCs w:val="1"/>
                <w:color w:val="auto"/>
              </w:rPr>
            </w:pPr>
          </w:p>
        </w:tc>
      </w:tr>
      <w:tr>
        <w:trPr>
          <w:trHeight w:val="169"/>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Fixed assets, net</w:t>
            </w:r>
          </w:p>
        </w:tc>
        <w:tc>
          <w:tcPr>
            <w:tcW w:w="260" w:type="dxa"/>
            <w:vAlign w:val="bottom"/>
            <w:tcBorders>
              <w:top w:val="single" w:sz="8" w:color="auto"/>
            </w:tcBorders>
            <w:shd w:val="clear" w:color="auto" w:fill="CFF0FC"/>
          </w:tcPr>
          <w:p>
            <w:pPr>
              <w:spacing w:after="0"/>
              <w:rPr>
                <w:sz w:val="14"/>
                <w:szCs w:val="14"/>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778,528</w:t>
            </w:r>
          </w:p>
        </w:tc>
        <w:tc>
          <w:tcPr>
            <w:tcW w:w="280" w:type="dxa"/>
            <w:vAlign w:val="bottom"/>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816,367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1,357,576</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1,384,050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6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980,064</w:t>
            </w:r>
          </w:p>
        </w:tc>
        <w:tc>
          <w:tcPr>
            <w:tcW w:w="2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980,297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Trade name</w:t>
            </w: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1,025,000</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long-term assets</w:t>
            </w:r>
          </w:p>
        </w:tc>
        <w:tc>
          <w:tcPr>
            <w:tcW w:w="26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213,819</w:t>
            </w:r>
          </w:p>
        </w:tc>
        <w:tc>
          <w:tcPr>
            <w:tcW w:w="28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205,694</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assets</w:t>
            </w: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5,259,042</w:t>
            </w:r>
          </w:p>
        </w:tc>
        <w:tc>
          <w:tcPr>
            <w:tcW w:w="280" w:type="dxa"/>
            <w:vAlign w:val="bottom"/>
          </w:tcPr>
          <w:p>
            <w:pPr>
              <w:spacing w:after="0"/>
              <w:rPr>
                <w:sz w:val="14"/>
                <w:szCs w:val="14"/>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5,363,152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0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LIABILITIES AND EQUITY</w:t>
            </w:r>
          </w:p>
        </w:tc>
        <w:tc>
          <w:tcPr>
            <w:tcW w:w="26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Accounts payable and book overdrafts</w:t>
            </w:r>
          </w:p>
        </w:tc>
        <w:tc>
          <w:tcPr>
            <w:tcW w:w="26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464,524</w:t>
            </w:r>
          </w:p>
        </w:tc>
        <w:tc>
          <w:tcPr>
            <w:tcW w:w="28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485,131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Accrued salaries and employee benefits</w:t>
            </w: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95,027</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101,265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26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198,219</w:t>
            </w:r>
          </w:p>
        </w:tc>
        <w:tc>
          <w:tcPr>
            <w:tcW w:w="2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200,278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307,989</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310,507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Current portion of long-term debt and other lease liabilities</w:t>
            </w:r>
          </w:p>
        </w:tc>
        <w:tc>
          <w:tcPr>
            <w:tcW w:w="26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3,680</w:t>
            </w:r>
          </w:p>
        </w:tc>
        <w:tc>
          <w:tcPr>
            <w:tcW w:w="28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15,962</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1,069,439</w:t>
            </w: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1,113,143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Senior secured credit facilities, net, excluding current portion</w:t>
            </w:r>
          </w:p>
        </w:tc>
        <w:tc>
          <w:tcPr>
            <w:tcW w:w="26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1,574,486</w:t>
            </w: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1,576,223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liabilities, excluding current portion</w:t>
            </w: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1,093,136</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1,116,615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Deferred taxes, net</w:t>
            </w:r>
          </w:p>
        </w:tc>
        <w:tc>
          <w:tcPr>
            <w:tcW w:w="26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240,653</w:t>
            </w:r>
          </w:p>
        </w:tc>
        <w:tc>
          <w:tcPr>
            <w:tcW w:w="2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251,629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119,019</w:t>
            </w: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121,113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Total liabilities</w:t>
            </w:r>
          </w:p>
        </w:tc>
        <w:tc>
          <w:tcPr>
            <w:tcW w:w="26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4,096,733</w:t>
            </w:r>
          </w:p>
        </w:tc>
        <w:tc>
          <w:tcPr>
            <w:tcW w:w="28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4,178,723</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(Notes 4 and 8)</w:t>
            </w: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26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770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Class A common stock, $0.001 par value: Authorized - 1.0 billion shares;</w:t>
            </w:r>
          </w:p>
        </w:tc>
        <w:tc>
          <w:tcPr>
            <w:tcW w:w="260" w:type="dxa"/>
            <w:vAlign w:val="bottom"/>
          </w:tcPr>
          <w:p>
            <w:pPr>
              <w:spacing w:after="0"/>
              <w:rPr>
                <w:sz w:val="12"/>
                <w:szCs w:val="12"/>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7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Issued and outstanding - 233.0 million and 231.2 million shares, respectively</w:t>
            </w:r>
          </w:p>
        </w:tc>
        <w:tc>
          <w:tcPr>
            <w:tcW w:w="26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70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Class B-1 common stock, $0.001 par value: Authorized - 75.0 million shares;</w:t>
            </w:r>
          </w:p>
        </w:tc>
        <w:tc>
          <w:tcPr>
            <w:tcW w:w="260" w:type="dxa"/>
            <w:vAlign w:val="bottom"/>
            <w:shd w:val="clear" w:color="auto" w:fill="CFF0FC"/>
          </w:tcPr>
          <w:p>
            <w:pPr>
              <w:spacing w:after="0"/>
              <w:rPr>
                <w:sz w:val="12"/>
                <w:szCs w:val="12"/>
                <w:color w:val="auto"/>
              </w:rPr>
            </w:pPr>
          </w:p>
        </w:tc>
        <w:tc>
          <w:tcPr>
            <w:tcW w:w="1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2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7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Issued and outstanding - 37.8 million shares</w:t>
            </w:r>
          </w:p>
        </w:tc>
        <w:tc>
          <w:tcPr>
            <w:tcW w:w="260" w:type="dxa"/>
            <w:vAlign w:val="bottom"/>
            <w:shd w:val="clear" w:color="auto" w:fill="CFF0FC"/>
          </w:tcPr>
          <w:p>
            <w:pPr>
              <w:spacing w:after="0"/>
              <w:rPr>
                <w:sz w:val="16"/>
                <w:szCs w:val="16"/>
                <w:color w:val="auto"/>
              </w:rPr>
            </w:pPr>
          </w:p>
        </w:tc>
        <w:tc>
          <w:tcPr>
            <w:tcW w:w="1320" w:type="dxa"/>
            <w:vAlign w:val="bottom"/>
            <w:vMerge w:val="continue"/>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30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70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Class B-2 common stock, $0.000001 par value: Authorized - 75.0 million shares;</w:t>
            </w:r>
          </w:p>
        </w:tc>
        <w:tc>
          <w:tcPr>
            <w:tcW w:w="260" w:type="dxa"/>
            <w:vAlign w:val="bottom"/>
          </w:tcPr>
          <w:p>
            <w:pPr>
              <w:spacing w:after="0"/>
              <w:rPr>
                <w:sz w:val="12"/>
                <w:szCs w:val="12"/>
                <w:color w:val="auto"/>
              </w:rPr>
            </w:pPr>
          </w:p>
        </w:tc>
        <w:tc>
          <w:tcPr>
            <w:tcW w:w="16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4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77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Issued and outstanding - 37.8 million shares</w:t>
            </w:r>
          </w:p>
        </w:tc>
        <w:tc>
          <w:tcPr>
            <w:tcW w:w="26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70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Preferred stock, $0.001 par value: Authorized - 25.0 million shares;</w:t>
            </w:r>
          </w:p>
        </w:tc>
        <w:tc>
          <w:tcPr>
            <w:tcW w:w="260" w:type="dxa"/>
            <w:vAlign w:val="bottom"/>
            <w:shd w:val="clear" w:color="auto" w:fill="CFF0FC"/>
          </w:tcPr>
          <w:p>
            <w:pPr>
              <w:spacing w:after="0"/>
              <w:rPr>
                <w:sz w:val="12"/>
                <w:szCs w:val="12"/>
                <w:color w:val="auto"/>
              </w:rPr>
            </w:pPr>
          </w:p>
        </w:tc>
        <w:tc>
          <w:tcPr>
            <w:tcW w:w="160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14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77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Issued and outstanding - none</w:t>
            </w:r>
          </w:p>
        </w:tc>
        <w:tc>
          <w:tcPr>
            <w:tcW w:w="260" w:type="dxa"/>
            <w:vAlign w:val="bottom"/>
            <w:shd w:val="clear" w:color="auto" w:fill="CFF0FC"/>
          </w:tcPr>
          <w:p>
            <w:pPr>
              <w:spacing w:after="0"/>
              <w:rPr>
                <w:sz w:val="16"/>
                <w:szCs w:val="16"/>
                <w:color w:val="auto"/>
              </w:rPr>
            </w:pPr>
          </w:p>
        </w:tc>
        <w:tc>
          <w:tcPr>
            <w:tcW w:w="1600" w:type="dxa"/>
            <w:vAlign w:val="bottom"/>
            <w:gridSpan w:val="2"/>
            <w:vMerge w:val="continue"/>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Additional paid-in-capital</w:t>
            </w: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2,246,756</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2,229,582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Accumulated deficit</w:t>
            </w:r>
          </w:p>
        </w:tc>
        <w:tc>
          <w:tcPr>
            <w:tcW w:w="26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(1,093,726 )</w:t>
            </w:r>
          </w:p>
        </w:tc>
        <w:tc>
          <w:tcPr>
            <w:tcW w:w="28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(1,047,243 )</w:t>
            </w:r>
          </w:p>
        </w:tc>
        <w:tc>
          <w:tcPr>
            <w:tcW w:w="0" w:type="dxa"/>
            <w:vAlign w:val="bottom"/>
          </w:tcPr>
          <w:p>
            <w:pPr>
              <w:spacing w:after="0"/>
              <w:rPr>
                <w:sz w:val="1"/>
                <w:szCs w:val="1"/>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9,008</w:t>
            </w: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6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1,162,309</w:t>
            </w:r>
          </w:p>
        </w:tc>
        <w:tc>
          <w:tcPr>
            <w:tcW w:w="28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1,184,429</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5,259,042</w:t>
            </w:r>
          </w:p>
        </w:tc>
        <w:tc>
          <w:tcPr>
            <w:tcW w:w="280" w:type="dxa"/>
            <w:vAlign w:val="bottom"/>
          </w:tcPr>
          <w:p>
            <w:pPr>
              <w:spacing w:after="0"/>
              <w:rPr>
                <w:sz w:val="14"/>
                <w:szCs w:val="14"/>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5,363,152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-4186555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-4186555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-3270250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-3270250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-2345690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-2345690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-1651635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-1651635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-144780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p>
      <w:pPr>
        <w:spacing w:after="0" w:line="117"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 (Unaudited)</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340" w:type="dxa"/>
            <w:vAlign w:val="bottom"/>
            <w:gridSpan w:val="6"/>
          </w:tcPr>
          <w:p>
            <w:pPr>
              <w:jc w:val="right"/>
              <w:ind w:right="13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131"/>
        </w:trPr>
        <w:tc>
          <w:tcPr>
            <w:tcW w:w="758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gridSpan w:val="3"/>
          </w:tcPr>
          <w:p>
            <w:pPr>
              <w:ind w:left="240"/>
              <w:spacing w:after="0" w:line="131" w:lineRule="exact"/>
              <w:rPr>
                <w:sz w:val="20"/>
                <w:szCs w:val="20"/>
                <w:color w:val="auto"/>
              </w:rPr>
            </w:pPr>
            <w:r>
              <w:rPr>
                <w:rFonts w:ascii="Times New Roman" w:cs="Times New Roman" w:eastAsia="Times New Roman" w:hAnsi="Times New Roman"/>
                <w:sz w:val="14"/>
                <w:szCs w:val="14"/>
                <w:b w:val="1"/>
                <w:bCs w:val="1"/>
                <w:color w:val="auto"/>
              </w:rPr>
              <w:t>May 4,</w:t>
            </w:r>
          </w:p>
        </w:tc>
        <w:tc>
          <w:tcPr>
            <w:tcW w:w="3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392"/>
              <w:spacing w:after="0" w:line="131" w:lineRule="exact"/>
              <w:rPr>
                <w:sz w:val="20"/>
                <w:szCs w:val="20"/>
                <w:color w:val="auto"/>
              </w:rPr>
            </w:pPr>
            <w:r>
              <w:rPr>
                <w:rFonts w:ascii="Times New Roman" w:cs="Times New Roman" w:eastAsia="Times New Roman" w:hAnsi="Times New Roman"/>
                <w:sz w:val="14"/>
                <w:szCs w:val="14"/>
                <w:b w:val="1"/>
                <w:bCs w:val="1"/>
                <w:color w:val="auto"/>
              </w:rPr>
              <w:t>April 29,</w:t>
            </w:r>
          </w:p>
        </w:tc>
        <w:tc>
          <w:tcPr>
            <w:tcW w:w="300" w:type="dxa"/>
            <w:vAlign w:val="bottom"/>
          </w:tcPr>
          <w:p>
            <w:pPr>
              <w:spacing w:after="0"/>
              <w:rPr>
                <w:sz w:val="11"/>
                <w:szCs w:val="11"/>
                <w:color w:val="auto"/>
              </w:rPr>
            </w:pPr>
          </w:p>
        </w:tc>
      </w:tr>
      <w:tr>
        <w:trPr>
          <w:trHeight w:val="187"/>
        </w:trPr>
        <w:tc>
          <w:tcPr>
            <w:tcW w:w="7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6"/>
                <w:szCs w:val="16"/>
                <w:color w:val="auto"/>
              </w:rPr>
            </w:pPr>
          </w:p>
        </w:tc>
      </w:tr>
      <w:tr>
        <w:trPr>
          <w:trHeight w:val="236"/>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r>
      <w:tr>
        <w:trPr>
          <w:trHeight w:val="238"/>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1,279,731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1,316,596</w:t>
            </w:r>
          </w:p>
        </w:tc>
        <w:tc>
          <w:tcPr>
            <w:tcW w:w="300" w:type="dxa"/>
            <w:vAlign w:val="bottom"/>
          </w:tcPr>
          <w:p>
            <w:pPr>
              <w:spacing w:after="0"/>
              <w:rPr>
                <w:sz w:val="20"/>
                <w:szCs w:val="20"/>
                <w:color w:val="auto"/>
              </w:rPr>
            </w:pPr>
          </w:p>
        </w:tc>
      </w:tr>
      <w:tr>
        <w:trPr>
          <w:trHeight w:val="243"/>
        </w:trPr>
        <w:tc>
          <w:tcPr>
            <w:tcW w:w="75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Services and other</w:t>
            </w:r>
          </w:p>
        </w:tc>
        <w:tc>
          <w:tcPr>
            <w:tcW w:w="32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249,409</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239,312</w:t>
            </w:r>
          </w:p>
        </w:tc>
        <w:tc>
          <w:tcPr>
            <w:tcW w:w="300" w:type="dxa"/>
            <w:vAlign w:val="bottom"/>
            <w:tcBorders>
              <w:bottom w:val="single" w:sz="8" w:color="CFF0FC"/>
            </w:tcBorders>
            <w:shd w:val="clear" w:color="auto" w:fill="CFF0FC"/>
          </w:tcPr>
          <w:p>
            <w:pPr>
              <w:spacing w:after="0"/>
              <w:rPr>
                <w:sz w:val="21"/>
                <w:szCs w:val="21"/>
                <w:color w:val="auto"/>
              </w:rPr>
            </w:pPr>
          </w:p>
        </w:tc>
      </w:tr>
      <w:tr>
        <w:trPr>
          <w:trHeight w:val="236"/>
        </w:trPr>
        <w:tc>
          <w:tcPr>
            <w:tcW w:w="7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net sales</w:t>
            </w: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1,529,140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1,555,908</w:t>
            </w:r>
          </w:p>
        </w:tc>
        <w:tc>
          <w:tcPr>
            <w:tcW w:w="300" w:type="dxa"/>
            <w:vAlign w:val="bottom"/>
          </w:tcPr>
          <w:p>
            <w:pPr>
              <w:spacing w:after="0"/>
              <w:rPr>
                <w:sz w:val="20"/>
                <w:szCs w:val="20"/>
                <w:color w:val="auto"/>
              </w:rPr>
            </w:pPr>
          </w:p>
        </w:tc>
      </w:tr>
      <w:tr>
        <w:trPr>
          <w:trHeight w:val="247"/>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r>
      <w:tr>
        <w:trPr>
          <w:trHeight w:val="238"/>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Products</w:t>
            </w: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792,722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805,759</w:t>
            </w:r>
          </w:p>
        </w:tc>
        <w:tc>
          <w:tcPr>
            <w:tcW w:w="300" w:type="dxa"/>
            <w:vAlign w:val="bottom"/>
          </w:tcPr>
          <w:p>
            <w:pPr>
              <w:spacing w:after="0"/>
              <w:rPr>
                <w:sz w:val="20"/>
                <w:szCs w:val="20"/>
                <w:color w:val="auto"/>
              </w:rPr>
            </w:pPr>
          </w:p>
        </w:tc>
      </w:tr>
      <w:tr>
        <w:trPr>
          <w:trHeight w:val="243"/>
        </w:trPr>
        <w:tc>
          <w:tcPr>
            <w:tcW w:w="75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Services and other</w:t>
            </w:r>
          </w:p>
        </w:tc>
        <w:tc>
          <w:tcPr>
            <w:tcW w:w="32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157,758</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145,667</w:t>
            </w:r>
          </w:p>
        </w:tc>
        <w:tc>
          <w:tcPr>
            <w:tcW w:w="300" w:type="dxa"/>
            <w:vAlign w:val="bottom"/>
            <w:tcBorders>
              <w:bottom w:val="single" w:sz="8" w:color="CFF0FC"/>
            </w:tcBorders>
            <w:shd w:val="clear" w:color="auto" w:fill="CFF0FC"/>
          </w:tcPr>
          <w:p>
            <w:pPr>
              <w:spacing w:after="0"/>
              <w:rPr>
                <w:sz w:val="21"/>
                <w:szCs w:val="21"/>
                <w:color w:val="auto"/>
              </w:rPr>
            </w:pPr>
          </w:p>
        </w:tc>
      </w:tr>
      <w:tr>
        <w:trPr>
          <w:trHeight w:val="236"/>
        </w:trPr>
        <w:tc>
          <w:tcPr>
            <w:tcW w:w="7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cost of sales</w:t>
            </w: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950,480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951,426</w:t>
            </w:r>
          </w:p>
        </w:tc>
        <w:tc>
          <w:tcPr>
            <w:tcW w:w="300" w:type="dxa"/>
            <w:vAlign w:val="bottom"/>
          </w:tcPr>
          <w:p>
            <w:pPr>
              <w:spacing w:after="0"/>
              <w:rPr>
                <w:sz w:val="20"/>
                <w:szCs w:val="20"/>
                <w:color w:val="auto"/>
              </w:rPr>
            </w:pPr>
          </w:p>
        </w:tc>
      </w:tr>
      <w:tr>
        <w:trPr>
          <w:trHeight w:val="240"/>
        </w:trPr>
        <w:tc>
          <w:tcPr>
            <w:tcW w:w="75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578,660</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604,482</w:t>
            </w:r>
          </w:p>
        </w:tc>
        <w:tc>
          <w:tcPr>
            <w:tcW w:w="300" w:type="dxa"/>
            <w:vAlign w:val="bottom"/>
            <w:shd w:val="clear" w:color="auto" w:fill="CFF0FC"/>
          </w:tcPr>
          <w:p>
            <w:pPr>
              <w:spacing w:after="0"/>
              <w:rPr>
                <w:sz w:val="20"/>
                <w:szCs w:val="20"/>
                <w:color w:val="auto"/>
              </w:rPr>
            </w:pPr>
          </w:p>
        </w:tc>
      </w:tr>
      <w:tr>
        <w:trPr>
          <w:trHeight w:val="238"/>
        </w:trPr>
        <w:tc>
          <w:tcPr>
            <w:tcW w:w="75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595,442</w:t>
            </w:r>
          </w:p>
        </w:tc>
        <w:tc>
          <w:tcPr>
            <w:tcW w:w="1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576,865</w:t>
            </w:r>
          </w:p>
        </w:tc>
        <w:tc>
          <w:tcPr>
            <w:tcW w:w="300" w:type="dxa"/>
            <w:vAlign w:val="bottom"/>
            <w:tcBorders>
              <w:bottom w:val="single" w:sz="8" w:color="CFF0FC"/>
            </w:tcBorders>
          </w:tcPr>
          <w:p>
            <w:pPr>
              <w:spacing w:after="0"/>
              <w:rPr>
                <w:sz w:val="20"/>
                <w:szCs w:val="20"/>
                <w:color w:val="auto"/>
              </w:rPr>
            </w:pPr>
          </w:p>
        </w:tc>
      </w:tr>
      <w:tr>
        <w:trPr>
          <w:trHeight w:val="240"/>
        </w:trPr>
        <w:tc>
          <w:tcPr>
            <w:tcW w:w="75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(loss) income</w:t>
            </w:r>
          </w:p>
        </w:tc>
        <w:tc>
          <w:tcPr>
            <w:tcW w:w="32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(16,782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27,617</w:t>
            </w:r>
          </w:p>
        </w:tc>
        <w:tc>
          <w:tcPr>
            <w:tcW w:w="300" w:type="dxa"/>
            <w:vAlign w:val="bottom"/>
            <w:shd w:val="clear" w:color="auto" w:fill="CFF0FC"/>
          </w:tcPr>
          <w:p>
            <w:pPr>
              <w:spacing w:after="0"/>
              <w:rPr>
                <w:sz w:val="20"/>
                <w:szCs w:val="20"/>
                <w:color w:val="auto"/>
              </w:rPr>
            </w:pPr>
          </w:p>
        </w:tc>
      </w:tr>
      <w:tr>
        <w:trPr>
          <w:trHeight w:val="238"/>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(418 )</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(1,177 )</w:t>
            </w:r>
          </w:p>
        </w:tc>
      </w:tr>
      <w:tr>
        <w:trPr>
          <w:trHeight w:val="247"/>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36,817</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37,202</w:t>
            </w:r>
          </w:p>
        </w:tc>
        <w:tc>
          <w:tcPr>
            <w:tcW w:w="300" w:type="dxa"/>
            <w:vAlign w:val="bottom"/>
            <w:shd w:val="clear" w:color="auto" w:fill="CFF0FC"/>
          </w:tcPr>
          <w:p>
            <w:pPr>
              <w:spacing w:after="0"/>
              <w:rPr>
                <w:sz w:val="21"/>
                <w:szCs w:val="21"/>
                <w:color w:val="auto"/>
              </w:rPr>
            </w:pPr>
          </w:p>
        </w:tc>
      </w:tr>
      <w:tr>
        <w:trPr>
          <w:trHeight w:val="238"/>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partial extinguishment of debt</w:t>
            </w:r>
          </w:p>
        </w:tc>
        <w:tc>
          <w:tcPr>
            <w:tcW w:w="320" w:type="dxa"/>
            <w:vAlign w:val="bottom"/>
          </w:tcPr>
          <w:p>
            <w:pPr>
              <w:spacing w:after="0"/>
              <w:rPr>
                <w:sz w:val="20"/>
                <w:szCs w:val="20"/>
                <w:color w:val="auto"/>
              </w:rPr>
            </w:pPr>
          </w:p>
        </w:tc>
        <w:tc>
          <w:tcPr>
            <w:tcW w:w="15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300" w:type="dxa"/>
            <w:vAlign w:val="bottom"/>
          </w:tcPr>
          <w:p>
            <w:pPr>
              <w:spacing w:after="0"/>
              <w:rPr>
                <w:sz w:val="20"/>
                <w:szCs w:val="20"/>
                <w:color w:val="auto"/>
              </w:rPr>
            </w:pPr>
          </w:p>
        </w:tc>
      </w:tr>
      <w:tr>
        <w:trPr>
          <w:trHeight w:val="243"/>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non-operating loss (income)</w:t>
            </w:r>
          </w:p>
        </w:tc>
        <w:tc>
          <w:tcPr>
            <w:tcW w:w="3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(2,819 )</w:t>
            </w:r>
          </w:p>
        </w:tc>
      </w:tr>
      <w:tr>
        <w:trPr>
          <w:trHeight w:val="209"/>
        </w:trPr>
        <w:tc>
          <w:tcPr>
            <w:tcW w:w="758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Loss before income taxes and income</w:t>
            </w:r>
          </w:p>
        </w:tc>
        <w:tc>
          <w:tcPr>
            <w:tcW w:w="3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r>
      <w:tr>
        <w:trPr>
          <w:trHeight w:val="241"/>
        </w:trPr>
        <w:tc>
          <w:tcPr>
            <w:tcW w:w="75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from equity method investees</w:t>
            </w:r>
          </w:p>
        </w:tc>
        <w:tc>
          <w:tcPr>
            <w:tcW w:w="32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(55,846 )</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(6,030 )</w:t>
            </w:r>
          </w:p>
        </w:tc>
      </w:tr>
      <w:tr>
        <w:trPr>
          <w:trHeight w:val="249"/>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(4,477 )</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(1,008 )</w:t>
            </w:r>
          </w:p>
        </w:tc>
      </w:tr>
      <w:tr>
        <w:trPr>
          <w:trHeight w:val="238"/>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equity method investees</w:t>
            </w:r>
          </w:p>
        </w:tc>
        <w:tc>
          <w:tcPr>
            <w:tcW w:w="32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(4,886 )</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(3,130 )</w:t>
            </w:r>
          </w:p>
        </w:tc>
      </w:tr>
      <w:tr>
        <w:trPr>
          <w:trHeight w:val="209"/>
        </w:trPr>
        <w:tc>
          <w:tcPr>
            <w:tcW w:w="75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loss attributable to Class A and B-1</w:t>
            </w:r>
          </w:p>
        </w:tc>
        <w:tc>
          <w:tcPr>
            <w:tcW w:w="32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r>
      <w:tr>
        <w:trPr>
          <w:trHeight w:val="248"/>
        </w:trPr>
        <w:tc>
          <w:tcPr>
            <w:tcW w:w="758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common stockholders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(46,483 )</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(1,892 )</w:t>
            </w:r>
          </w:p>
        </w:tc>
      </w:tr>
      <w:tr>
        <w:trPr>
          <w:trHeight w:val="243"/>
        </w:trPr>
        <w:tc>
          <w:tcPr>
            <w:tcW w:w="7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243"/>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Class A and B-1 common share:</w:t>
            </w:r>
          </w:p>
        </w:tc>
        <w:tc>
          <w:tcPr>
            <w:tcW w:w="3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r>
      <w:tr>
        <w:trPr>
          <w:trHeight w:val="238"/>
        </w:trPr>
        <w:tc>
          <w:tcPr>
            <w:tcW w:w="7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(0.17 )</w:t>
            </w:r>
          </w:p>
        </w:tc>
        <w:tc>
          <w:tcPr>
            <w:tcW w:w="1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(0.01 )</w:t>
            </w:r>
          </w:p>
        </w:tc>
      </w:tr>
      <w:tr>
        <w:trPr>
          <w:trHeight w:val="247"/>
        </w:trPr>
        <w:tc>
          <w:tcPr>
            <w:tcW w:w="75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(0.17 )</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(0.01 )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5793105</wp:posOffset>
            </wp:positionH>
            <wp:positionV relativeFrom="paragraph">
              <wp:posOffset>-3407410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-3407410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5793105</wp:posOffset>
            </wp:positionH>
            <wp:positionV relativeFrom="paragraph">
              <wp:posOffset>-2781935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-2781935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5793105</wp:posOffset>
            </wp:positionH>
            <wp:positionV relativeFrom="paragraph">
              <wp:posOffset>-2302510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-2302510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5793105</wp:posOffset>
            </wp:positionH>
            <wp:positionV relativeFrom="paragraph">
              <wp:posOffset>-1523365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-1523365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p>
      <w:pPr>
        <w:spacing w:after="0" w:line="2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Weighted average shares used in computing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290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290830"/>
                    </a:xfrm>
                    <a:prstGeom prst="rect">
                      <a:avLst/>
                    </a:prstGeom>
                    <a:noFill/>
                  </pic:spPr>
                </pic:pic>
              </a:graphicData>
            </a:graphic>
          </wp:anchor>
        </w:drawing>
      </w:r>
    </w:p>
    <w:p>
      <w:pPr>
        <w:spacing w:after="0" w:line="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loss per Class A and B-1 common share:</w:t>
      </w:r>
    </w:p>
    <w:p>
      <w:pPr>
        <w:spacing w:after="0" w:line="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Basic</w:t>
      </w:r>
    </w:p>
    <w:p>
      <w:pPr>
        <w:spacing w:after="0" w:line="3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center"/>
        <w:ind w:left="3380"/>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3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8"/>
          <w:szCs w:val="18"/>
          <w:color w:val="auto"/>
        </w:rPr>
        <w:t>269,768</w:t>
      </w:r>
      <w:r>
        <w:rPr>
          <w:sz w:val="20"/>
          <w:szCs w:val="20"/>
          <w:color w:val="auto"/>
        </w:rPr>
        <w:tab/>
      </w:r>
      <w:r>
        <w:rPr>
          <w:rFonts w:ascii="Times New Roman" w:cs="Times New Roman" w:eastAsia="Times New Roman" w:hAnsi="Times New Roman"/>
          <w:sz w:val="18"/>
          <w:szCs w:val="18"/>
          <w:color w:val="auto"/>
        </w:rPr>
        <w:t>266,485</w:t>
      </w:r>
    </w:p>
    <w:p>
      <w:pPr>
        <w:spacing w:after="0" w:line="63"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8"/>
          <w:szCs w:val="18"/>
          <w:color w:val="auto"/>
        </w:rPr>
        <w:t>269,768</w:t>
      </w:r>
      <w:r>
        <w:rPr>
          <w:sz w:val="20"/>
          <w:szCs w:val="20"/>
          <w:color w:val="auto"/>
        </w:rPr>
        <w:tab/>
      </w:r>
      <w:r>
        <w:rPr>
          <w:rFonts w:ascii="Times New Roman" w:cs="Times New Roman" w:eastAsia="Times New Roman" w:hAnsi="Times New Roman"/>
          <w:sz w:val="18"/>
          <w:szCs w:val="18"/>
          <w:color w:val="auto"/>
        </w:rPr>
        <w:t>266,485</w:t>
      </w:r>
    </w:p>
    <w:p>
      <w:pPr>
        <w:sectPr>
          <w:pgSz w:w="11900" w:h="16838" w:orient="portrait"/>
          <w:cols w:equalWidth="0" w:num="2">
            <w:col w:w="7820" w:space="700"/>
            <w:col w:w="2720"/>
          </w:cols>
          <w:pgMar w:left="320" w:top="1088" w:right="339" w:bottom="1440" w:gutter="0" w:footer="0" w:header="0"/>
          <w:type w:val="continuous"/>
        </w:sectPr>
      </w:pPr>
    </w:p>
    <w:bookmarkStart w:id="5" w:name="page6"/>
    <w:bookmarkEnd w:id="5"/>
    <w:p>
      <w:pPr>
        <w:ind w:left="3480"/>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p>
      <w:pPr>
        <w:spacing w:after="0" w:line="11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340" w:type="dxa"/>
            <w:vAlign w:val="bottom"/>
            <w:gridSpan w:val="5"/>
          </w:tcPr>
          <w:p>
            <w:pPr>
              <w:jc w:val="right"/>
              <w:ind w:right="13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131"/>
        </w:trPr>
        <w:tc>
          <w:tcPr>
            <w:tcW w:w="758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gridSpan w:val="2"/>
          </w:tcPr>
          <w:p>
            <w:pPr>
              <w:jc w:val="right"/>
              <w:ind w:right="860"/>
              <w:spacing w:after="0" w:line="131" w:lineRule="exact"/>
              <w:rPr>
                <w:sz w:val="20"/>
                <w:szCs w:val="20"/>
                <w:color w:val="auto"/>
              </w:rPr>
            </w:pPr>
            <w:r>
              <w:rPr>
                <w:rFonts w:ascii="Times New Roman" w:cs="Times New Roman" w:eastAsia="Times New Roman" w:hAnsi="Times New Roman"/>
                <w:sz w:val="14"/>
                <w:szCs w:val="14"/>
                <w:b w:val="1"/>
                <w:bCs w:val="1"/>
                <w:color w:val="auto"/>
              </w:rPr>
              <w:t>May 4,</w:t>
            </w:r>
          </w:p>
        </w:tc>
        <w:tc>
          <w:tcPr>
            <w:tcW w:w="3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395"/>
              <w:spacing w:after="0" w:line="131" w:lineRule="exact"/>
              <w:rPr>
                <w:sz w:val="20"/>
                <w:szCs w:val="20"/>
                <w:color w:val="auto"/>
              </w:rPr>
            </w:pPr>
            <w:r>
              <w:rPr>
                <w:rFonts w:ascii="Times New Roman" w:cs="Times New Roman" w:eastAsia="Times New Roman" w:hAnsi="Times New Roman"/>
                <w:sz w:val="14"/>
                <w:szCs w:val="14"/>
                <w:b w:val="1"/>
                <w:bCs w:val="1"/>
                <w:color w:val="auto"/>
              </w:rPr>
              <w:t>April 29,</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7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580" w:type="dxa"/>
            <w:vAlign w:val="bottom"/>
            <w:shd w:val="clear" w:color="auto" w:fill="CFF0FC"/>
          </w:tcPr>
          <w:p>
            <w:pPr>
              <w:ind w:left="20"/>
              <w:spacing w:after="0" w:line="204" w:lineRule="exact"/>
              <w:rPr>
                <w:sz w:val="20"/>
                <w:szCs w:val="20"/>
                <w:color w:val="auto"/>
              </w:rPr>
            </w:pPr>
            <w:r>
              <w:rPr>
                <w:rFonts w:ascii="Times New Roman" w:cs="Times New Roman" w:eastAsia="Times New Roman" w:hAnsi="Times New Roman"/>
                <w:sz w:val="18"/>
                <w:szCs w:val="18"/>
                <w:color w:val="auto"/>
              </w:rPr>
              <w:t>Net loss attributable to Class A and B-1</w:t>
            </w: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75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common stockholders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(46,483 )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(1,892 )</w:t>
            </w:r>
          </w:p>
        </w:tc>
        <w:tc>
          <w:tcPr>
            <w:tcW w:w="0" w:type="dxa"/>
            <w:vAlign w:val="bottom"/>
          </w:tcPr>
          <w:p>
            <w:pPr>
              <w:spacing w:after="0"/>
              <w:rPr>
                <w:sz w:val="1"/>
                <w:szCs w:val="1"/>
                <w:color w:val="auto"/>
              </w:rPr>
            </w:pPr>
          </w:p>
        </w:tc>
      </w:tr>
      <w:tr>
        <w:trPr>
          <w:trHeight w:val="238"/>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3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gain (loss) on derivatives</w:t>
            </w: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6,372</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(984 )</w:t>
            </w:r>
          </w:p>
        </w:tc>
        <w:tc>
          <w:tcPr>
            <w:tcW w:w="0" w:type="dxa"/>
            <w:vAlign w:val="bottom"/>
          </w:tcPr>
          <w:p>
            <w:pPr>
              <w:spacing w:after="0"/>
              <w:rPr>
                <w:sz w:val="1"/>
                <w:szCs w:val="1"/>
                <w:color w:val="auto"/>
              </w:rPr>
            </w:pPr>
          </w:p>
        </w:tc>
      </w:tr>
      <w:tr>
        <w:trPr>
          <w:trHeight w:val="243"/>
        </w:trPr>
        <w:tc>
          <w:tcPr>
            <w:tcW w:w="7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(Gains) losses on derivatives reclassified to income</w:t>
            </w:r>
          </w:p>
        </w:tc>
        <w:tc>
          <w:tcPr>
            <w:tcW w:w="32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(850 )</w:t>
            </w:r>
          </w:p>
        </w:tc>
        <w:tc>
          <w:tcPr>
            <w:tcW w:w="3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3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5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net of tax</w:t>
            </w:r>
          </w:p>
        </w:tc>
        <w:tc>
          <w:tcPr>
            <w:tcW w:w="32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7,187</w:t>
            </w:r>
          </w:p>
        </w:tc>
        <w:tc>
          <w:tcPr>
            <w:tcW w:w="30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3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 attributable to Class A and</w:t>
            </w:r>
          </w:p>
        </w:tc>
        <w:tc>
          <w:tcPr>
            <w:tcW w:w="320" w:type="dxa"/>
            <w:vAlign w:val="bottom"/>
            <w:vMerge w:val="restart"/>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(39,296 )</w:t>
            </w:r>
          </w:p>
        </w:tc>
        <w:tc>
          <w:tcPr>
            <w:tcW w:w="300" w:type="dxa"/>
            <w:vAlign w:val="bottom"/>
            <w:vMerge w:val="restart"/>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(1,386 )</w:t>
            </w:r>
          </w:p>
        </w:tc>
        <w:tc>
          <w:tcPr>
            <w:tcW w:w="0" w:type="dxa"/>
            <w:vAlign w:val="bottom"/>
          </w:tcPr>
          <w:p>
            <w:pPr>
              <w:spacing w:after="0"/>
              <w:rPr>
                <w:sz w:val="1"/>
                <w:szCs w:val="1"/>
                <w:color w:val="auto"/>
              </w:rPr>
            </w:pPr>
          </w:p>
        </w:tc>
      </w:tr>
      <w:tr>
        <w:trPr>
          <w:trHeight w:val="227"/>
        </w:trPr>
        <w:tc>
          <w:tcPr>
            <w:tcW w:w="75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B-1 common stockholders</w:t>
            </w:r>
          </w:p>
        </w:tc>
        <w:tc>
          <w:tcPr>
            <w:tcW w:w="320" w:type="dxa"/>
            <w:vAlign w:val="bottom"/>
            <w:vMerge w:val="continue"/>
            <w:shd w:val="clear" w:color="auto" w:fill="CFF0FC"/>
          </w:tcPr>
          <w:p>
            <w:pPr>
              <w:spacing w:after="0"/>
              <w:rPr>
                <w:sz w:val="19"/>
                <w:szCs w:val="19"/>
                <w:color w:val="auto"/>
              </w:rPr>
            </w:pPr>
          </w:p>
        </w:tc>
        <w:tc>
          <w:tcPr>
            <w:tcW w:w="1520" w:type="dxa"/>
            <w:vAlign w:val="bottom"/>
            <w:gridSpan w:val="2"/>
            <w:vMerge w:val="continue"/>
            <w:shd w:val="clear" w:color="auto" w:fill="CFF0FC"/>
          </w:tcPr>
          <w:p>
            <w:pPr>
              <w:spacing w:after="0"/>
              <w:rPr>
                <w:sz w:val="19"/>
                <w:szCs w:val="19"/>
                <w:color w:val="auto"/>
              </w:rPr>
            </w:pPr>
          </w:p>
        </w:tc>
        <w:tc>
          <w:tcPr>
            <w:tcW w:w="300" w:type="dxa"/>
            <w:vAlign w:val="bottom"/>
            <w:vMerge w:val="continue"/>
            <w:shd w:val="clear" w:color="auto" w:fill="CFF0FC"/>
          </w:tcPr>
          <w:p>
            <w:pPr>
              <w:spacing w:after="0"/>
              <w:rPr>
                <w:sz w:val="19"/>
                <w:szCs w:val="19"/>
                <w:color w:val="auto"/>
              </w:rPr>
            </w:pPr>
          </w:p>
        </w:tc>
        <w:tc>
          <w:tcPr>
            <w:tcW w:w="152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5793105</wp:posOffset>
            </wp:positionH>
            <wp:positionV relativeFrom="paragraph">
              <wp:posOffset>-461645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-461645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5793105</wp:posOffset>
            </wp:positionH>
            <wp:positionV relativeFrom="paragraph">
              <wp:posOffset>-24765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5793105</wp:posOffset>
            </wp:positionH>
            <wp:positionV relativeFrom="paragraph">
              <wp:posOffset>-7620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-24765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-7620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28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3"/>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2"/>
          </w:tcPr>
          <w:p>
            <w:pPr>
              <w:jc w:val="center"/>
              <w:ind w:right="280"/>
              <w:spacing w:after="0" w:line="120"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80" w:type="dxa"/>
            <w:vAlign w:val="bottom"/>
          </w:tcPr>
          <w:p>
            <w:pPr>
              <w:spacing w:after="0"/>
              <w:rPr>
                <w:sz w:val="10"/>
                <w:szCs w:val="10"/>
                <w:color w:val="auto"/>
              </w:rPr>
            </w:pPr>
          </w:p>
        </w:tc>
        <w:tc>
          <w:tcPr>
            <w:tcW w:w="62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auto"/>
                <w:w w:val="95"/>
              </w:rPr>
              <w:t>Class</w:t>
            </w:r>
          </w:p>
        </w:tc>
        <w:tc>
          <w:tcPr>
            <w:tcW w:w="24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Class</w:t>
            </w:r>
          </w:p>
        </w:tc>
        <w:tc>
          <w:tcPr>
            <w:tcW w:w="260" w:type="dxa"/>
            <w:vAlign w:val="bottom"/>
          </w:tcPr>
          <w:p>
            <w:pPr>
              <w:spacing w:after="0"/>
              <w:rPr>
                <w:sz w:val="10"/>
                <w:szCs w:val="10"/>
                <w:color w:val="auto"/>
              </w:rPr>
            </w:pPr>
          </w:p>
        </w:tc>
        <w:tc>
          <w:tcPr>
            <w:tcW w:w="6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Class</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rPr>
              <w:t>other</w:t>
            </w:r>
          </w:p>
        </w:tc>
        <w:tc>
          <w:tcPr>
            <w:tcW w:w="100" w:type="dxa"/>
            <w:vAlign w:val="bottom"/>
          </w:tcPr>
          <w:p>
            <w:pPr>
              <w:spacing w:after="0"/>
              <w:rPr>
                <w:sz w:val="10"/>
                <w:szCs w:val="10"/>
                <w:color w:val="auto"/>
              </w:rPr>
            </w:pPr>
          </w:p>
        </w:tc>
        <w:tc>
          <w:tcPr>
            <w:tcW w:w="88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21"/>
        </w:trPr>
        <w:tc>
          <w:tcPr>
            <w:tcW w:w="3280" w:type="dxa"/>
            <w:vAlign w:val="bottom"/>
          </w:tcPr>
          <w:p>
            <w:pPr>
              <w:spacing w:after="0"/>
              <w:rPr>
                <w:sz w:val="10"/>
                <w:szCs w:val="10"/>
                <w:color w:val="auto"/>
              </w:rPr>
            </w:pPr>
          </w:p>
        </w:tc>
        <w:tc>
          <w:tcPr>
            <w:tcW w:w="62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auto"/>
              </w:rPr>
              <w:t>A</w:t>
            </w:r>
          </w:p>
        </w:tc>
        <w:tc>
          <w:tcPr>
            <w:tcW w:w="24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B-1</w:t>
            </w:r>
          </w:p>
        </w:tc>
        <w:tc>
          <w:tcPr>
            <w:tcW w:w="260" w:type="dxa"/>
            <w:vAlign w:val="bottom"/>
          </w:tcPr>
          <w:p>
            <w:pPr>
              <w:spacing w:after="0"/>
              <w:rPr>
                <w:sz w:val="10"/>
                <w:szCs w:val="10"/>
                <w:color w:val="auto"/>
              </w:rPr>
            </w:pPr>
          </w:p>
        </w:tc>
        <w:tc>
          <w:tcPr>
            <w:tcW w:w="6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B-2</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3"/>
          </w:tcPr>
          <w:p>
            <w:pPr>
              <w:ind w:left="120"/>
              <w:spacing w:after="0" w:line="122" w:lineRule="exact"/>
              <w:rPr>
                <w:sz w:val="20"/>
                <w:szCs w:val="20"/>
                <w:color w:val="auto"/>
              </w:rPr>
            </w:pPr>
            <w:r>
              <w:rPr>
                <w:rFonts w:ascii="Times New Roman" w:cs="Times New Roman" w:eastAsia="Times New Roman" w:hAnsi="Times New Roman"/>
                <w:sz w:val="11"/>
                <w:szCs w:val="11"/>
                <w:b w:val="1"/>
                <w:bCs w:val="1"/>
                <w:color w:val="auto"/>
              </w:rPr>
              <w:t>Additional paid-</w:t>
            </w:r>
          </w:p>
        </w:tc>
        <w:tc>
          <w:tcPr>
            <w:tcW w:w="140" w:type="dxa"/>
            <w:vAlign w:val="bottom"/>
          </w:tcPr>
          <w:p>
            <w:pPr>
              <w:spacing w:after="0"/>
              <w:rPr>
                <w:sz w:val="10"/>
                <w:szCs w:val="10"/>
                <w:color w:val="auto"/>
              </w:rPr>
            </w:pPr>
          </w:p>
        </w:tc>
        <w:tc>
          <w:tcPr>
            <w:tcW w:w="980" w:type="dxa"/>
            <w:vAlign w:val="bottom"/>
            <w:gridSpan w:val="2"/>
          </w:tcPr>
          <w:p>
            <w:pPr>
              <w:jc w:val="right"/>
              <w:ind w:right="340"/>
              <w:spacing w:after="0" w:line="122"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60" w:type="dxa"/>
            <w:vAlign w:val="bottom"/>
          </w:tcPr>
          <w:p>
            <w:pPr>
              <w:spacing w:after="0"/>
              <w:rPr>
                <w:sz w:val="10"/>
                <w:szCs w:val="10"/>
                <w:color w:val="auto"/>
              </w:rPr>
            </w:pPr>
          </w:p>
        </w:tc>
        <w:tc>
          <w:tcPr>
            <w:tcW w:w="102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w w:val="99"/>
              </w:rPr>
              <w:t>comprehensive</w:t>
            </w:r>
          </w:p>
        </w:tc>
        <w:tc>
          <w:tcPr>
            <w:tcW w:w="100" w:type="dxa"/>
            <w:vAlign w:val="bottom"/>
          </w:tcPr>
          <w:p>
            <w:pPr>
              <w:spacing w:after="0"/>
              <w:rPr>
                <w:sz w:val="10"/>
                <w:szCs w:val="10"/>
                <w:color w:val="auto"/>
              </w:rPr>
            </w:pPr>
          </w:p>
        </w:tc>
        <w:tc>
          <w:tcPr>
            <w:tcW w:w="8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stockholders’</w:t>
            </w:r>
          </w:p>
        </w:tc>
        <w:tc>
          <w:tcPr>
            <w:tcW w:w="0" w:type="dxa"/>
            <w:vAlign w:val="bottom"/>
          </w:tcPr>
          <w:p>
            <w:pPr>
              <w:spacing w:after="0"/>
              <w:rPr>
                <w:sz w:val="1"/>
                <w:szCs w:val="1"/>
                <w:color w:val="auto"/>
              </w:rPr>
            </w:pPr>
          </w:p>
        </w:tc>
      </w:tr>
      <w:tr>
        <w:trPr>
          <w:trHeight w:val="146"/>
        </w:trPr>
        <w:tc>
          <w:tcPr>
            <w:tcW w:w="3280" w:type="dxa"/>
            <w:vAlign w:val="bottom"/>
          </w:tcPr>
          <w:p>
            <w:pPr>
              <w:spacing w:after="0"/>
              <w:rPr>
                <w:sz w:val="12"/>
                <w:szCs w:val="12"/>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(shares)</w:t>
            </w:r>
          </w:p>
        </w:tc>
        <w:tc>
          <w:tcPr>
            <w:tcW w:w="240" w:type="dxa"/>
            <w:vAlign w:val="bottom"/>
          </w:tcPr>
          <w:p>
            <w:pPr>
              <w:spacing w:after="0"/>
              <w:rPr>
                <w:sz w:val="12"/>
                <w:szCs w:val="12"/>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60" w:type="dxa"/>
            <w:vAlign w:val="bottom"/>
          </w:tcPr>
          <w:p>
            <w:pPr>
              <w:spacing w:after="0"/>
              <w:rPr>
                <w:sz w:val="12"/>
                <w:szCs w:val="12"/>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(shares)</w:t>
            </w:r>
          </w:p>
        </w:tc>
        <w:tc>
          <w:tcPr>
            <w:tcW w:w="1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in capital</w:t>
            </w: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5"/>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28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February 3, 2024</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231,156</w:t>
            </w:r>
          </w:p>
        </w:tc>
        <w:tc>
          <w:tcPr>
            <w:tcW w:w="86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37,791</w:t>
            </w:r>
          </w:p>
        </w:tc>
        <w:tc>
          <w:tcPr>
            <w:tcW w:w="92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37,791</w:t>
            </w:r>
          </w:p>
        </w:tc>
        <w:tc>
          <w:tcPr>
            <w:tcW w:w="380" w:type="dxa"/>
            <w:vAlign w:val="bottom"/>
            <w:gridSpan w:val="2"/>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269</w:t>
            </w:r>
          </w:p>
        </w:tc>
        <w:tc>
          <w:tcPr>
            <w:tcW w:w="360" w:type="dxa"/>
            <w:vAlign w:val="bottom"/>
            <w:gridSpan w:val="2"/>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2,229,582</w:t>
            </w:r>
          </w:p>
        </w:tc>
        <w:tc>
          <w:tcPr>
            <w:tcW w:w="180" w:type="dxa"/>
            <w:vAlign w:val="bottom"/>
            <w:shd w:val="clear" w:color="auto" w:fill="CFF0FC"/>
          </w:tcPr>
          <w:p>
            <w:pPr>
              <w:spacing w:after="0"/>
              <w:rPr>
                <w:sz w:val="12"/>
                <w:szCs w:val="12"/>
                <w:color w:val="auto"/>
              </w:rPr>
            </w:pPr>
          </w:p>
        </w:tc>
        <w:tc>
          <w:tcPr>
            <w:tcW w:w="14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(1,047,243 )</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1,821</w:t>
            </w:r>
          </w:p>
        </w:tc>
        <w:tc>
          <w:tcPr>
            <w:tcW w:w="22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1,184,429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280" w:type="dxa"/>
            <w:vAlign w:val="bottom"/>
          </w:tcPr>
          <w:p>
            <w:pPr>
              <w:ind w:left="20"/>
              <w:spacing w:after="0" w:line="121" w:lineRule="exact"/>
              <w:rPr>
                <w:sz w:val="20"/>
                <w:szCs w:val="20"/>
                <w:color w:val="auto"/>
              </w:rPr>
            </w:pPr>
            <w:r>
              <w:rPr>
                <w:rFonts w:ascii="Times New Roman" w:cs="Times New Roman" w:eastAsia="Times New Roman" w:hAnsi="Times New Roman"/>
                <w:sz w:val="11"/>
                <w:szCs w:val="11"/>
                <w:color w:val="auto"/>
              </w:rPr>
              <w:t>Equity-based compensation expense</w:t>
            </w: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2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(Note 7)</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17,451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17,451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8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right w:val="single" w:sz="8" w:color="CFF0FC"/>
            </w:tcBorders>
            <w:shd w:val="clear" w:color="auto" w:fill="CFF0FC"/>
          </w:tcPr>
          <w:p>
            <w:pPr>
              <w:spacing w:after="0"/>
              <w:rPr>
                <w:sz w:val="13"/>
                <w:szCs w:val="13"/>
                <w:color w:val="auto"/>
              </w:rPr>
            </w:pPr>
          </w:p>
        </w:tc>
        <w:tc>
          <w:tcPr>
            <w:tcW w:w="6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3"/>
                <w:szCs w:val="13"/>
                <w:color w:val="auto"/>
              </w:rPr>
            </w:pPr>
          </w:p>
        </w:tc>
        <w:tc>
          <w:tcPr>
            <w:tcW w:w="200" w:type="dxa"/>
            <w:vAlign w:val="bottom"/>
            <w:tcBorders>
              <w:left w:val="single" w:sz="8" w:color="CFF0FC"/>
            </w:tcBorders>
            <w:shd w:val="clear" w:color="auto" w:fill="CFF0FC"/>
          </w:tcPr>
          <w:p>
            <w:pPr>
              <w:spacing w:after="0"/>
              <w:rPr>
                <w:sz w:val="13"/>
                <w:szCs w:val="13"/>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3"/>
                <w:szCs w:val="13"/>
                <w:color w:val="auto"/>
              </w:rPr>
            </w:pPr>
          </w:p>
        </w:tc>
        <w:tc>
          <w:tcPr>
            <w:tcW w:w="200" w:type="dxa"/>
            <w:vAlign w:val="bottom"/>
            <w:tcBorders>
              <w:left w:val="single" w:sz="8" w:color="CFF0FC"/>
            </w:tcBorders>
            <w:shd w:val="clear" w:color="auto" w:fill="CFF0FC"/>
          </w:tcPr>
          <w:p>
            <w:pPr>
              <w:spacing w:after="0"/>
              <w:rPr>
                <w:sz w:val="13"/>
                <w:szCs w:val="13"/>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left w:val="single" w:sz="8" w:color="CFF0FC"/>
            </w:tcBorders>
            <w:shd w:val="clear" w:color="auto" w:fill="CFF0FC"/>
          </w:tcPr>
          <w:p>
            <w:pPr>
              <w:spacing w:after="0"/>
              <w:rPr>
                <w:sz w:val="13"/>
                <w:szCs w:val="13"/>
                <w:color w:val="auto"/>
              </w:rPr>
            </w:pPr>
          </w:p>
        </w:tc>
        <w:tc>
          <w:tcPr>
            <w:tcW w:w="9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(46,483 )</w:t>
            </w:r>
          </w:p>
        </w:tc>
        <w:tc>
          <w:tcPr>
            <w:tcW w:w="60" w:type="dxa"/>
            <w:vAlign w:val="bottom"/>
            <w:shd w:val="clear" w:color="auto" w:fill="CFF0FC"/>
          </w:tcPr>
          <w:p>
            <w:pPr>
              <w:spacing w:after="0"/>
              <w:rPr>
                <w:sz w:val="13"/>
                <w:szCs w:val="13"/>
                <w:color w:val="auto"/>
              </w:rPr>
            </w:pPr>
          </w:p>
        </w:tc>
        <w:tc>
          <w:tcPr>
            <w:tcW w:w="10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(46,483 )</w:t>
            </w:r>
          </w:p>
        </w:tc>
        <w:tc>
          <w:tcPr>
            <w:tcW w:w="0" w:type="dxa"/>
            <w:vAlign w:val="bottom"/>
          </w:tcPr>
          <w:p>
            <w:pPr>
              <w:spacing w:after="0"/>
              <w:rPr>
                <w:sz w:val="1"/>
                <w:szCs w:val="1"/>
                <w:color w:val="auto"/>
              </w:rPr>
            </w:pPr>
          </w:p>
        </w:tc>
      </w:tr>
      <w:tr>
        <w:trPr>
          <w:trHeight w:val="121"/>
        </w:trPr>
        <w:tc>
          <w:tcPr>
            <w:tcW w:w="3280" w:type="dxa"/>
            <w:vAlign w:val="bottom"/>
          </w:tcPr>
          <w:p>
            <w:pPr>
              <w:ind w:left="20"/>
              <w:spacing w:after="0" w:line="121" w:lineRule="exact"/>
              <w:rPr>
                <w:sz w:val="20"/>
                <w:szCs w:val="20"/>
                <w:color w:val="auto"/>
              </w:rPr>
            </w:pPr>
            <w:r>
              <w:rPr>
                <w:rFonts w:ascii="Times New Roman" w:cs="Times New Roman" w:eastAsia="Times New Roman" w:hAnsi="Times New Roman"/>
                <w:sz w:val="11"/>
                <w:szCs w:val="11"/>
                <w:color w:val="auto"/>
              </w:rPr>
              <w:t>Foreign currency translation</w:t>
            </w: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2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adjustment, net of tax</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1,665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1,665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280" w:type="dxa"/>
            <w:vAlign w:val="bottom"/>
            <w:tcBorders>
              <w:right w:val="single" w:sz="8" w:color="CFF0FC"/>
            </w:tcBorders>
            <w:shd w:val="clear" w:color="auto" w:fill="CFF0FC"/>
          </w:tcPr>
          <w:p>
            <w:pPr>
              <w:ind w:left="20"/>
              <w:spacing w:after="0" w:line="125" w:lineRule="exact"/>
              <w:rPr>
                <w:sz w:val="20"/>
                <w:szCs w:val="20"/>
                <w:color w:val="auto"/>
              </w:rPr>
            </w:pPr>
            <w:r>
              <w:rPr>
                <w:rFonts w:ascii="Times New Roman" w:cs="Times New Roman" w:eastAsia="Times New Roman" w:hAnsi="Times New Roman"/>
                <w:sz w:val="11"/>
                <w:szCs w:val="11"/>
                <w:color w:val="auto"/>
              </w:rPr>
              <w:t>Unrealized gain on derivatives (Note 5),</w:t>
            </w: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20" w:type="dxa"/>
            <w:vAlign w:val="bottom"/>
            <w:tcBorders>
              <w:right w:val="single" w:sz="8" w:color="CFF0FC"/>
            </w:tcBorders>
            <w:shd w:val="clear" w:color="auto" w:fill="CFF0FC"/>
          </w:tcPr>
          <w:p>
            <w:pPr>
              <w:spacing w:after="0"/>
              <w:rPr>
                <w:sz w:val="10"/>
                <w:szCs w:val="10"/>
                <w:color w:val="auto"/>
              </w:rPr>
            </w:pPr>
          </w:p>
        </w:tc>
        <w:tc>
          <w:tcPr>
            <w:tcW w:w="260" w:type="dxa"/>
            <w:vAlign w:val="bottom"/>
            <w:tcBorders>
              <w:right w:val="single" w:sz="8" w:color="CFF0FC"/>
            </w:tcBorders>
            <w:shd w:val="clear" w:color="auto" w:fill="CFF0FC"/>
          </w:tcPr>
          <w:p>
            <w:pPr>
              <w:spacing w:after="0"/>
              <w:rPr>
                <w:sz w:val="10"/>
                <w:szCs w:val="10"/>
                <w:color w:val="auto"/>
              </w:rPr>
            </w:pPr>
          </w:p>
        </w:tc>
        <w:tc>
          <w:tcPr>
            <w:tcW w:w="660" w:type="dxa"/>
            <w:vAlign w:val="bottom"/>
            <w:tcBorders>
              <w:right w:val="single" w:sz="8" w:color="CFF0FC"/>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00" w:type="dxa"/>
            <w:vAlign w:val="bottom"/>
            <w:tcBorders>
              <w:left w:val="single" w:sz="8" w:color="CFF0FC"/>
            </w:tcBorders>
            <w:shd w:val="clear" w:color="auto" w:fill="CFF0FC"/>
          </w:tcPr>
          <w:p>
            <w:pPr>
              <w:spacing w:after="0"/>
              <w:rPr>
                <w:sz w:val="10"/>
                <w:szCs w:val="10"/>
                <w:color w:val="auto"/>
              </w:rPr>
            </w:pPr>
          </w:p>
        </w:tc>
        <w:tc>
          <w:tcPr>
            <w:tcW w:w="74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00" w:type="dxa"/>
            <w:vAlign w:val="bottom"/>
            <w:tcBorders>
              <w:left w:val="single" w:sz="8" w:color="CFF0FC"/>
            </w:tcBorders>
            <w:shd w:val="clear" w:color="auto" w:fill="CFF0FC"/>
          </w:tcPr>
          <w:p>
            <w:pPr>
              <w:spacing w:after="0"/>
              <w:rPr>
                <w:sz w:val="10"/>
                <w:szCs w:val="10"/>
                <w:color w:val="auto"/>
              </w:rPr>
            </w:pPr>
          </w:p>
        </w:tc>
        <w:tc>
          <w:tcPr>
            <w:tcW w:w="720" w:type="dxa"/>
            <w:vAlign w:val="bottom"/>
            <w:tcBorders>
              <w:right w:val="single" w:sz="8" w:color="CFF0FC"/>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40" w:type="dxa"/>
            <w:vAlign w:val="bottom"/>
            <w:tcBorders>
              <w:left w:val="single" w:sz="8" w:color="CFF0FC"/>
            </w:tcBorders>
            <w:shd w:val="clear" w:color="auto" w:fill="CFF0FC"/>
          </w:tcPr>
          <w:p>
            <w:pPr>
              <w:spacing w:after="0"/>
              <w:rPr>
                <w:sz w:val="10"/>
                <w:szCs w:val="10"/>
                <w:color w:val="auto"/>
              </w:rPr>
            </w:pPr>
          </w:p>
        </w:tc>
        <w:tc>
          <w:tcPr>
            <w:tcW w:w="760" w:type="dxa"/>
            <w:vAlign w:val="bottom"/>
            <w:tcBorders>
              <w:right w:val="single" w:sz="8" w:color="CFF0FC"/>
            </w:tcBorders>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0" w:type="dxa"/>
            <w:vAlign w:val="bottom"/>
            <w:tcBorders>
              <w:right w:val="single" w:sz="8" w:color="CFF0FC"/>
            </w:tcBorders>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8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net of tax</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right w:val="single" w:sz="8" w:color="CFF0FC"/>
            </w:tcBorders>
            <w:shd w:val="clear" w:color="auto" w:fill="CFF0FC"/>
          </w:tcPr>
          <w:p>
            <w:pPr>
              <w:spacing w:after="0"/>
              <w:rPr>
                <w:sz w:val="12"/>
                <w:szCs w:val="12"/>
                <w:color w:val="auto"/>
              </w:rPr>
            </w:pPr>
          </w:p>
        </w:tc>
        <w:tc>
          <w:tcPr>
            <w:tcW w:w="6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2"/>
                <w:szCs w:val="12"/>
                <w:color w:val="auto"/>
              </w:rPr>
            </w:pPr>
          </w:p>
        </w:tc>
        <w:tc>
          <w:tcPr>
            <w:tcW w:w="200" w:type="dxa"/>
            <w:vAlign w:val="bottom"/>
            <w:tcBorders>
              <w:left w:val="single" w:sz="8" w:color="CFF0FC"/>
            </w:tcBorders>
            <w:shd w:val="clear" w:color="auto" w:fill="CFF0FC"/>
          </w:tcPr>
          <w:p>
            <w:pPr>
              <w:spacing w:after="0"/>
              <w:rPr>
                <w:sz w:val="12"/>
                <w:szCs w:val="12"/>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2"/>
                <w:szCs w:val="12"/>
                <w:color w:val="auto"/>
              </w:rPr>
            </w:pPr>
          </w:p>
        </w:tc>
        <w:tc>
          <w:tcPr>
            <w:tcW w:w="200" w:type="dxa"/>
            <w:vAlign w:val="bottom"/>
            <w:tcBorders>
              <w:left w:val="single" w:sz="8" w:color="CFF0FC"/>
            </w:tcBorders>
            <w:shd w:val="clear" w:color="auto" w:fill="CFF0FC"/>
          </w:tcPr>
          <w:p>
            <w:pPr>
              <w:spacing w:after="0"/>
              <w:rPr>
                <w:sz w:val="12"/>
                <w:szCs w:val="12"/>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left w:val="single" w:sz="8" w:color="CFF0FC"/>
            </w:tcBorders>
            <w:shd w:val="clear" w:color="auto" w:fill="CFF0FC"/>
          </w:tcPr>
          <w:p>
            <w:pPr>
              <w:spacing w:after="0"/>
              <w:rPr>
                <w:sz w:val="12"/>
                <w:szCs w:val="12"/>
                <w:color w:val="auto"/>
              </w:rPr>
            </w:pPr>
          </w:p>
        </w:tc>
        <w:tc>
          <w:tcPr>
            <w:tcW w:w="98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2"/>
                <w:szCs w:val="12"/>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6,372</w:t>
            </w:r>
          </w:p>
        </w:tc>
        <w:tc>
          <w:tcPr>
            <w:tcW w:w="22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6,372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280" w:type="dxa"/>
            <w:vAlign w:val="bottom"/>
          </w:tcPr>
          <w:p>
            <w:pPr>
              <w:ind w:left="20"/>
              <w:spacing w:after="0" w:line="121" w:lineRule="exact"/>
              <w:rPr>
                <w:sz w:val="20"/>
                <w:szCs w:val="20"/>
                <w:color w:val="auto"/>
              </w:rPr>
            </w:pPr>
            <w:r>
              <w:rPr>
                <w:rFonts w:ascii="Times New Roman" w:cs="Times New Roman" w:eastAsia="Times New Roman" w:hAnsi="Times New Roman"/>
                <w:sz w:val="11"/>
                <w:szCs w:val="11"/>
                <w:color w:val="auto"/>
              </w:rPr>
              <w:t>Gains on derivatives reclassified to</w:t>
            </w: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2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income (Note 5), net of tax</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(850 )</w:t>
            </w:r>
          </w:p>
        </w:tc>
        <w:tc>
          <w:tcPr>
            <w:tcW w:w="10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(850 )</w:t>
            </w:r>
          </w:p>
        </w:tc>
        <w:tc>
          <w:tcPr>
            <w:tcW w:w="0" w:type="dxa"/>
            <w:vAlign w:val="bottom"/>
          </w:tcPr>
          <w:p>
            <w:pPr>
              <w:spacing w:after="0"/>
              <w:rPr>
                <w:sz w:val="1"/>
                <w:szCs w:val="1"/>
                <w:color w:val="auto"/>
              </w:rPr>
            </w:pPr>
          </w:p>
        </w:tc>
      </w:tr>
      <w:tr>
        <w:trPr>
          <w:trHeight w:val="125"/>
        </w:trPr>
        <w:tc>
          <w:tcPr>
            <w:tcW w:w="3280" w:type="dxa"/>
            <w:vAlign w:val="bottom"/>
            <w:tcBorders>
              <w:right w:val="single" w:sz="8" w:color="CFF0FC"/>
            </w:tcBorders>
            <w:shd w:val="clear" w:color="auto" w:fill="CFF0FC"/>
          </w:tcPr>
          <w:p>
            <w:pPr>
              <w:ind w:left="20"/>
              <w:spacing w:after="0" w:line="125" w:lineRule="exact"/>
              <w:rPr>
                <w:sz w:val="20"/>
                <w:szCs w:val="20"/>
                <w:color w:val="auto"/>
              </w:rPr>
            </w:pPr>
            <w:r>
              <w:rPr>
                <w:rFonts w:ascii="Times New Roman" w:cs="Times New Roman" w:eastAsia="Times New Roman" w:hAnsi="Times New Roman"/>
                <w:sz w:val="11"/>
                <w:szCs w:val="11"/>
                <w:color w:val="auto"/>
              </w:rPr>
              <w:t>Issuance of common stock,</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1,793</w:t>
            </w:r>
          </w:p>
        </w:tc>
        <w:tc>
          <w:tcPr>
            <w:tcW w:w="240" w:type="dxa"/>
            <w:vAlign w:val="bottom"/>
            <w:shd w:val="clear" w:color="auto" w:fill="CFF0FC"/>
          </w:tcPr>
          <w:p>
            <w:pPr>
              <w:spacing w:after="0"/>
              <w:rPr>
                <w:sz w:val="10"/>
                <w:szCs w:val="10"/>
                <w:color w:val="auto"/>
              </w:rPr>
            </w:pPr>
          </w:p>
        </w:tc>
        <w:tc>
          <w:tcPr>
            <w:tcW w:w="62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right w:val="single" w:sz="8" w:color="CFF0FC"/>
            </w:tcBorders>
            <w:shd w:val="clear" w:color="auto" w:fill="CFF0FC"/>
          </w:tcPr>
          <w:p>
            <w:pPr>
              <w:spacing w:after="0"/>
              <w:rPr>
                <w:sz w:val="10"/>
                <w:szCs w:val="10"/>
                <w:color w:val="auto"/>
              </w:rPr>
            </w:pPr>
          </w:p>
        </w:tc>
        <w:tc>
          <w:tcPr>
            <w:tcW w:w="66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0"/>
                <w:szCs w:val="10"/>
                <w:color w:val="auto"/>
              </w:rPr>
            </w:pPr>
          </w:p>
        </w:tc>
        <w:tc>
          <w:tcPr>
            <w:tcW w:w="200" w:type="dxa"/>
            <w:vAlign w:val="bottom"/>
            <w:tcBorders>
              <w:left w:val="single" w:sz="8" w:color="CFF0FC"/>
            </w:tcBorders>
            <w:shd w:val="clear" w:color="auto" w:fill="CFF0FC"/>
          </w:tcPr>
          <w:p>
            <w:pPr>
              <w:spacing w:after="0"/>
              <w:rPr>
                <w:sz w:val="10"/>
                <w:szCs w:val="10"/>
                <w:color w:val="auto"/>
              </w:rPr>
            </w:pPr>
          </w:p>
        </w:tc>
        <w:tc>
          <w:tcPr>
            <w:tcW w:w="74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60" w:type="dxa"/>
            <w:vAlign w:val="bottom"/>
            <w:shd w:val="clear" w:color="auto" w:fill="CFF0FC"/>
          </w:tcPr>
          <w:p>
            <w:pPr>
              <w:spacing w:after="0"/>
              <w:rPr>
                <w:sz w:val="10"/>
                <w:szCs w:val="10"/>
                <w:color w:val="auto"/>
              </w:rPr>
            </w:pPr>
          </w:p>
        </w:tc>
        <w:tc>
          <w:tcPr>
            <w:tcW w:w="200" w:type="dxa"/>
            <w:vAlign w:val="bottom"/>
            <w:tcBorders>
              <w:left w:val="single" w:sz="8" w:color="CFF0FC"/>
            </w:tcBorders>
            <w:shd w:val="clear" w:color="auto" w:fill="CFF0FC"/>
          </w:tcPr>
          <w:p>
            <w:pPr>
              <w:spacing w:after="0"/>
              <w:rPr>
                <w:sz w:val="10"/>
                <w:szCs w:val="10"/>
                <w:color w:val="auto"/>
              </w:rPr>
            </w:pPr>
          </w:p>
        </w:tc>
        <w:tc>
          <w:tcPr>
            <w:tcW w:w="9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(277 )</w:t>
            </w:r>
          </w:p>
        </w:tc>
        <w:tc>
          <w:tcPr>
            <w:tcW w:w="140" w:type="dxa"/>
            <w:vAlign w:val="bottom"/>
            <w:tcBorders>
              <w:left w:val="single" w:sz="8" w:color="CFF0FC"/>
            </w:tcBorders>
            <w:shd w:val="clear" w:color="auto" w:fill="CFF0FC"/>
          </w:tcPr>
          <w:p>
            <w:pPr>
              <w:spacing w:after="0"/>
              <w:rPr>
                <w:sz w:val="10"/>
                <w:szCs w:val="10"/>
                <w:color w:val="auto"/>
              </w:rPr>
            </w:pPr>
          </w:p>
        </w:tc>
        <w:tc>
          <w:tcPr>
            <w:tcW w:w="980" w:type="dxa"/>
            <w:vAlign w:val="bottom"/>
            <w:tcBorders>
              <w:right w:val="single" w:sz="8" w:color="CFF0FC"/>
            </w:tcBorders>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0"/>
                <w:szCs w:val="10"/>
                <w:color w:val="auto"/>
              </w:rPr>
            </w:pPr>
          </w:p>
        </w:tc>
        <w:tc>
          <w:tcPr>
            <w:tcW w:w="1020" w:type="dxa"/>
            <w:vAlign w:val="bottom"/>
            <w:tcBorders>
              <w:right w:val="single" w:sz="8" w:color="CFF0FC"/>
            </w:tcBorders>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88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(275 )</w:t>
            </w:r>
          </w:p>
        </w:tc>
        <w:tc>
          <w:tcPr>
            <w:tcW w:w="0" w:type="dxa"/>
            <w:vAlign w:val="bottom"/>
          </w:tcPr>
          <w:p>
            <w:pPr>
              <w:spacing w:after="0"/>
              <w:rPr>
                <w:sz w:val="1"/>
                <w:szCs w:val="1"/>
                <w:color w:val="auto"/>
              </w:rPr>
            </w:pPr>
          </w:p>
        </w:tc>
      </w:tr>
      <w:tr>
        <w:trPr>
          <w:trHeight w:val="135"/>
        </w:trPr>
        <w:tc>
          <w:tcPr>
            <w:tcW w:w="328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net of tax withholdings</w:t>
            </w:r>
          </w:p>
        </w:tc>
        <w:tc>
          <w:tcPr>
            <w:tcW w:w="620" w:type="dxa"/>
            <w:vAlign w:val="bottom"/>
            <w:vMerge w:val="continue"/>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20" w:type="dxa"/>
            <w:vAlign w:val="bottom"/>
            <w:tcBorders>
              <w:right w:val="single" w:sz="8" w:color="CFF0FC"/>
            </w:tcBorders>
            <w:vMerge w:val="continue"/>
            <w:shd w:val="clear" w:color="auto" w:fill="CFF0FC"/>
          </w:tcPr>
          <w:p>
            <w:pPr>
              <w:spacing w:after="0"/>
              <w:rPr>
                <w:sz w:val="11"/>
                <w:szCs w:val="11"/>
                <w:color w:val="auto"/>
              </w:rPr>
            </w:pPr>
          </w:p>
        </w:tc>
        <w:tc>
          <w:tcPr>
            <w:tcW w:w="260" w:type="dxa"/>
            <w:vAlign w:val="bottom"/>
            <w:tcBorders>
              <w:right w:val="single" w:sz="8" w:color="CFF0FC"/>
            </w:tcBorders>
            <w:shd w:val="clear" w:color="auto" w:fill="CFF0FC"/>
          </w:tcPr>
          <w:p>
            <w:pPr>
              <w:spacing w:after="0"/>
              <w:rPr>
                <w:sz w:val="11"/>
                <w:szCs w:val="11"/>
                <w:color w:val="auto"/>
              </w:rPr>
            </w:pPr>
          </w:p>
        </w:tc>
        <w:tc>
          <w:tcPr>
            <w:tcW w:w="660" w:type="dxa"/>
            <w:vAlign w:val="bottom"/>
            <w:tcBorders>
              <w:right w:val="single" w:sz="8" w:color="CFF0FC"/>
            </w:tcBorders>
            <w:vMerge w:val="continue"/>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00" w:type="dxa"/>
            <w:vAlign w:val="bottom"/>
            <w:tcBorders>
              <w:left w:val="single" w:sz="8" w:color="CFF0FC"/>
            </w:tcBorders>
            <w:shd w:val="clear" w:color="auto" w:fill="CFF0FC"/>
          </w:tcPr>
          <w:p>
            <w:pPr>
              <w:spacing w:after="0"/>
              <w:rPr>
                <w:sz w:val="11"/>
                <w:szCs w:val="11"/>
                <w:color w:val="auto"/>
              </w:rPr>
            </w:pPr>
          </w:p>
        </w:tc>
        <w:tc>
          <w:tcPr>
            <w:tcW w:w="740" w:type="dxa"/>
            <w:vAlign w:val="bottom"/>
            <w:tcBorders>
              <w:right w:val="single" w:sz="8" w:color="CFF0FC"/>
            </w:tcBorders>
            <w:vMerge w:val="continue"/>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00" w:type="dxa"/>
            <w:vAlign w:val="bottom"/>
            <w:tcBorders>
              <w:left w:val="single" w:sz="8" w:color="CFF0FC"/>
            </w:tcBorders>
            <w:shd w:val="clear" w:color="auto" w:fill="CFF0FC"/>
          </w:tcPr>
          <w:p>
            <w:pPr>
              <w:spacing w:after="0"/>
              <w:rPr>
                <w:sz w:val="11"/>
                <w:szCs w:val="11"/>
                <w:color w:val="auto"/>
              </w:rPr>
            </w:pPr>
          </w:p>
        </w:tc>
        <w:tc>
          <w:tcPr>
            <w:tcW w:w="900" w:type="dxa"/>
            <w:vAlign w:val="bottom"/>
            <w:gridSpan w:val="2"/>
            <w:vMerge w:val="continue"/>
            <w:shd w:val="clear" w:color="auto" w:fill="CFF0FC"/>
          </w:tcPr>
          <w:p>
            <w:pPr>
              <w:spacing w:after="0"/>
              <w:rPr>
                <w:sz w:val="11"/>
                <w:szCs w:val="11"/>
                <w:color w:val="auto"/>
              </w:rPr>
            </w:pPr>
          </w:p>
        </w:tc>
        <w:tc>
          <w:tcPr>
            <w:tcW w:w="140" w:type="dxa"/>
            <w:vAlign w:val="bottom"/>
            <w:tcBorders>
              <w:left w:val="single" w:sz="8" w:color="CFF0FC"/>
            </w:tcBorders>
            <w:shd w:val="clear" w:color="auto" w:fill="CFF0FC"/>
          </w:tcPr>
          <w:p>
            <w:pPr>
              <w:spacing w:after="0"/>
              <w:rPr>
                <w:sz w:val="11"/>
                <w:szCs w:val="11"/>
                <w:color w:val="auto"/>
              </w:rPr>
            </w:pPr>
          </w:p>
        </w:tc>
        <w:tc>
          <w:tcPr>
            <w:tcW w:w="980" w:type="dxa"/>
            <w:vAlign w:val="bottom"/>
            <w:tcBorders>
              <w:right w:val="single" w:sz="8" w:color="CFF0FC"/>
            </w:tcBorders>
            <w:gridSpan w:val="2"/>
            <w:vMerge w:val="continue"/>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20" w:type="dxa"/>
            <w:vAlign w:val="bottom"/>
            <w:tcBorders>
              <w:right w:val="single" w:sz="8" w:color="CFF0FC"/>
            </w:tcBorders>
            <w:gridSpan w:val="2"/>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80" w:type="dxa"/>
            <w:vAlign w:val="bottom"/>
            <w:tcBorders>
              <w:right w:val="single" w:sz="8" w:color="auto"/>
            </w:tcBorders>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tcBorders>
              <w:left w:val="single" w:sz="8" w:color="CFF0FC"/>
            </w:tcBorders>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tcBorders>
              <w:left w:val="single" w:sz="8" w:color="CFF0FC"/>
            </w:tcBorders>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tcBorders>
              <w:left w:val="single" w:sz="8" w:color="CFF0FC"/>
            </w:tcBorders>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May 4, 2024</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232,949</w:t>
            </w:r>
          </w:p>
        </w:tc>
        <w:tc>
          <w:tcPr>
            <w:tcW w:w="2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37,791</w:t>
            </w:r>
          </w:p>
        </w:tc>
        <w:tc>
          <w:tcPr>
            <w:tcW w:w="2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37,791</w:t>
            </w:r>
          </w:p>
        </w:tc>
        <w:tc>
          <w:tcPr>
            <w:tcW w:w="180" w:type="dxa"/>
            <w:vAlign w:val="bottom"/>
          </w:tcPr>
          <w:p>
            <w:pPr>
              <w:spacing w:after="0"/>
              <w:rPr>
                <w:sz w:val="12"/>
                <w:szCs w:val="12"/>
                <w:color w:val="auto"/>
              </w:rPr>
            </w:pPr>
          </w:p>
        </w:tc>
        <w:tc>
          <w:tcPr>
            <w:tcW w:w="2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271</w:t>
            </w:r>
          </w:p>
        </w:tc>
        <w:tc>
          <w:tcPr>
            <w:tcW w:w="160" w:type="dxa"/>
            <w:vAlign w:val="bottom"/>
          </w:tcPr>
          <w:p>
            <w:pPr>
              <w:spacing w:after="0"/>
              <w:rPr>
                <w:sz w:val="12"/>
                <w:szCs w:val="12"/>
                <w:color w:val="auto"/>
              </w:rPr>
            </w:pPr>
          </w:p>
        </w:tc>
        <w:tc>
          <w:tcPr>
            <w:tcW w:w="2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2,246,756</w:t>
            </w:r>
          </w:p>
        </w:tc>
        <w:tc>
          <w:tcPr>
            <w:tcW w:w="18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(1,093,726 )</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9,008</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1,162,309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328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2"/>
          </w:tcPr>
          <w:p>
            <w:pPr>
              <w:jc w:val="center"/>
              <w:ind w:right="320"/>
              <w:spacing w:after="0" w:line="120"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8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Class</w:t>
            </w:r>
          </w:p>
        </w:tc>
        <w:tc>
          <w:tcPr>
            <w:tcW w:w="240" w:type="dxa"/>
            <w:vAlign w:val="bottom"/>
          </w:tcPr>
          <w:p>
            <w:pPr>
              <w:spacing w:after="0"/>
              <w:rPr>
                <w:sz w:val="10"/>
                <w:szCs w:val="10"/>
                <w:color w:val="auto"/>
              </w:rPr>
            </w:pPr>
          </w:p>
        </w:tc>
        <w:tc>
          <w:tcPr>
            <w:tcW w:w="62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auto"/>
                <w:w w:val="95"/>
              </w:rPr>
              <w:t>Class</w:t>
            </w:r>
          </w:p>
        </w:tc>
        <w:tc>
          <w:tcPr>
            <w:tcW w:w="260" w:type="dxa"/>
            <w:vAlign w:val="bottom"/>
          </w:tcPr>
          <w:p>
            <w:pPr>
              <w:spacing w:after="0"/>
              <w:rPr>
                <w:sz w:val="10"/>
                <w:szCs w:val="10"/>
                <w:color w:val="auto"/>
              </w:rPr>
            </w:pPr>
          </w:p>
        </w:tc>
        <w:tc>
          <w:tcPr>
            <w:tcW w:w="660" w:type="dxa"/>
            <w:vAlign w:val="bottom"/>
          </w:tcPr>
          <w:p>
            <w:pPr>
              <w:jc w:val="center"/>
              <w:ind w:right="86"/>
              <w:spacing w:after="0" w:line="122" w:lineRule="exact"/>
              <w:rPr>
                <w:sz w:val="20"/>
                <w:szCs w:val="20"/>
                <w:color w:val="auto"/>
              </w:rPr>
            </w:pPr>
            <w:r>
              <w:rPr>
                <w:rFonts w:ascii="Times New Roman" w:cs="Times New Roman" w:eastAsia="Times New Roman" w:hAnsi="Times New Roman"/>
                <w:sz w:val="11"/>
                <w:szCs w:val="11"/>
                <w:b w:val="1"/>
                <w:bCs w:val="1"/>
                <w:color w:val="auto"/>
                <w:w w:val="95"/>
              </w:rPr>
              <w:t>Class</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2"/>
          </w:tcPr>
          <w:p>
            <w:pPr>
              <w:jc w:val="center"/>
              <w:ind w:right="320"/>
              <w:spacing w:after="0" w:line="122" w:lineRule="exact"/>
              <w:rPr>
                <w:sz w:val="20"/>
                <w:szCs w:val="20"/>
                <w:color w:val="auto"/>
              </w:rPr>
            </w:pPr>
            <w:r>
              <w:rPr>
                <w:rFonts w:ascii="Times New Roman" w:cs="Times New Roman" w:eastAsia="Times New Roman" w:hAnsi="Times New Roman"/>
                <w:sz w:val="11"/>
                <w:szCs w:val="11"/>
                <w:b w:val="1"/>
                <w:bCs w:val="1"/>
                <w:color w:val="auto"/>
              </w:rPr>
              <w:t>other</w:t>
            </w:r>
          </w:p>
        </w:tc>
        <w:tc>
          <w:tcPr>
            <w:tcW w:w="100" w:type="dxa"/>
            <w:vAlign w:val="bottom"/>
          </w:tcPr>
          <w:p>
            <w:pPr>
              <w:spacing w:after="0"/>
              <w:rPr>
                <w:sz w:val="10"/>
                <w:szCs w:val="10"/>
                <w:color w:val="auto"/>
              </w:rPr>
            </w:pPr>
          </w:p>
        </w:tc>
        <w:tc>
          <w:tcPr>
            <w:tcW w:w="88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21"/>
        </w:trPr>
        <w:tc>
          <w:tcPr>
            <w:tcW w:w="328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A</w:t>
            </w:r>
          </w:p>
        </w:tc>
        <w:tc>
          <w:tcPr>
            <w:tcW w:w="240" w:type="dxa"/>
            <w:vAlign w:val="bottom"/>
          </w:tcPr>
          <w:p>
            <w:pPr>
              <w:spacing w:after="0"/>
              <w:rPr>
                <w:sz w:val="10"/>
                <w:szCs w:val="10"/>
                <w:color w:val="auto"/>
              </w:rPr>
            </w:pPr>
          </w:p>
        </w:tc>
        <w:tc>
          <w:tcPr>
            <w:tcW w:w="62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auto"/>
                <w:w w:val="96"/>
              </w:rPr>
              <w:t>B-1</w:t>
            </w:r>
          </w:p>
        </w:tc>
        <w:tc>
          <w:tcPr>
            <w:tcW w:w="260" w:type="dxa"/>
            <w:vAlign w:val="bottom"/>
          </w:tcPr>
          <w:p>
            <w:pPr>
              <w:spacing w:after="0"/>
              <w:rPr>
                <w:sz w:val="10"/>
                <w:szCs w:val="10"/>
                <w:color w:val="auto"/>
              </w:rPr>
            </w:pPr>
          </w:p>
        </w:tc>
        <w:tc>
          <w:tcPr>
            <w:tcW w:w="660" w:type="dxa"/>
            <w:vAlign w:val="bottom"/>
          </w:tcPr>
          <w:p>
            <w:pPr>
              <w:jc w:val="center"/>
              <w:ind w:right="86"/>
              <w:spacing w:after="0" w:line="122" w:lineRule="exact"/>
              <w:rPr>
                <w:sz w:val="20"/>
                <w:szCs w:val="20"/>
                <w:color w:val="auto"/>
              </w:rPr>
            </w:pPr>
            <w:r>
              <w:rPr>
                <w:rFonts w:ascii="Times New Roman" w:cs="Times New Roman" w:eastAsia="Times New Roman" w:hAnsi="Times New Roman"/>
                <w:sz w:val="11"/>
                <w:szCs w:val="11"/>
                <w:b w:val="1"/>
                <w:bCs w:val="1"/>
                <w:color w:val="auto"/>
                <w:w w:val="96"/>
              </w:rPr>
              <w:t>B-2</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Additional paid-in</w:t>
            </w: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2"/>
          </w:tcPr>
          <w:p>
            <w:pPr>
              <w:jc w:val="center"/>
              <w:ind w:right="3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comprehensive</w:t>
            </w:r>
          </w:p>
        </w:tc>
        <w:tc>
          <w:tcPr>
            <w:tcW w:w="100" w:type="dxa"/>
            <w:vAlign w:val="bottom"/>
          </w:tcPr>
          <w:p>
            <w:pPr>
              <w:spacing w:after="0"/>
              <w:rPr>
                <w:sz w:val="10"/>
                <w:szCs w:val="10"/>
                <w:color w:val="auto"/>
              </w:rPr>
            </w:pPr>
          </w:p>
        </w:tc>
        <w:tc>
          <w:tcPr>
            <w:tcW w:w="8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stockholders’</w:t>
            </w:r>
          </w:p>
        </w:tc>
        <w:tc>
          <w:tcPr>
            <w:tcW w:w="0" w:type="dxa"/>
            <w:vAlign w:val="bottom"/>
          </w:tcPr>
          <w:p>
            <w:pPr>
              <w:spacing w:after="0"/>
              <w:rPr>
                <w:sz w:val="1"/>
                <w:szCs w:val="1"/>
                <w:color w:val="auto"/>
              </w:rPr>
            </w:pPr>
          </w:p>
        </w:tc>
      </w:tr>
      <w:tr>
        <w:trPr>
          <w:trHeight w:val="146"/>
        </w:trPr>
        <w:tc>
          <w:tcPr>
            <w:tcW w:w="3280" w:type="dxa"/>
            <w:vAlign w:val="bottom"/>
          </w:tcPr>
          <w:p>
            <w:pPr>
              <w:spacing w:after="0"/>
              <w:rPr>
                <w:sz w:val="12"/>
                <w:szCs w:val="12"/>
                <w:color w:val="auto"/>
              </w:rPr>
            </w:pPr>
          </w:p>
        </w:tc>
        <w:tc>
          <w:tcPr>
            <w:tcW w:w="62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40" w:type="dxa"/>
            <w:vAlign w:val="bottom"/>
          </w:tcPr>
          <w:p>
            <w:pPr>
              <w:spacing w:after="0"/>
              <w:rPr>
                <w:sz w:val="12"/>
                <w:szCs w:val="12"/>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(shares)</w:t>
            </w:r>
          </w:p>
        </w:tc>
        <w:tc>
          <w:tcPr>
            <w:tcW w:w="260" w:type="dxa"/>
            <w:vAlign w:val="bottom"/>
          </w:tcPr>
          <w:p>
            <w:pPr>
              <w:spacing w:after="0"/>
              <w:rPr>
                <w:sz w:val="12"/>
                <w:szCs w:val="12"/>
                <w:color w:val="auto"/>
              </w:rPr>
            </w:pPr>
          </w:p>
        </w:tc>
        <w:tc>
          <w:tcPr>
            <w:tcW w:w="66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6"/>
              </w:rPr>
              <w:t>(shares)</w:t>
            </w:r>
          </w:p>
        </w:tc>
        <w:tc>
          <w:tcPr>
            <w:tcW w:w="1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80" w:type="dxa"/>
            <w:vAlign w:val="bottom"/>
          </w:tcPr>
          <w:p>
            <w:pPr>
              <w:spacing w:after="0"/>
              <w:rPr>
                <w:sz w:val="12"/>
                <w:szCs w:val="12"/>
                <w:color w:val="auto"/>
              </w:rPr>
            </w:pPr>
          </w:p>
        </w:tc>
        <w:tc>
          <w:tcPr>
            <w:tcW w:w="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w w:val="98"/>
              </w:rPr>
              <w:t>Retained earnings</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rPr>
              <w:t>loss</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28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January 28, 2023</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228,338</w:t>
            </w:r>
          </w:p>
        </w:tc>
        <w:tc>
          <w:tcPr>
            <w:tcW w:w="86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37,791</w:t>
            </w:r>
          </w:p>
        </w:tc>
        <w:tc>
          <w:tcPr>
            <w:tcW w:w="920" w:type="dxa"/>
            <w:vAlign w:val="bottom"/>
            <w:tcBorders>
              <w:right w:val="single" w:sz="8" w:color="CFF0FC"/>
            </w:tcBorders>
            <w:gridSpan w:val="2"/>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37,791</w:t>
            </w:r>
          </w:p>
        </w:tc>
        <w:tc>
          <w:tcPr>
            <w:tcW w:w="380" w:type="dxa"/>
            <w:vAlign w:val="bottom"/>
            <w:gridSpan w:val="2"/>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266</w:t>
            </w:r>
          </w:p>
        </w:tc>
        <w:tc>
          <w:tcPr>
            <w:tcW w:w="3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2,152,342</w:t>
            </w:r>
          </w:p>
        </w:tc>
        <w:tc>
          <w:tcPr>
            <w:tcW w:w="180" w:type="dxa"/>
            <w:vAlign w:val="bottom"/>
            <w:shd w:val="clear" w:color="auto" w:fill="CFF0FC"/>
          </w:tcPr>
          <w:p>
            <w:pPr>
              <w:spacing w:after="0"/>
              <w:rPr>
                <w:sz w:val="12"/>
                <w:szCs w:val="12"/>
                <w:color w:val="auto"/>
              </w:rPr>
            </w:pPr>
          </w:p>
        </w:tc>
        <w:tc>
          <w:tcPr>
            <w:tcW w:w="140" w:type="dxa"/>
            <w:vAlign w:val="bottom"/>
            <w:tcBorders>
              <w:lef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232,967</w:t>
            </w:r>
          </w:p>
        </w:tc>
        <w:tc>
          <w:tcPr>
            <w:tcW w:w="220" w:type="dxa"/>
            <w:vAlign w:val="bottom"/>
            <w:tcBorders>
              <w:right w:val="single" w:sz="8" w:color="CFF0FC"/>
            </w:tcBorders>
            <w:shd w:val="clear" w:color="auto" w:fill="CFF0FC"/>
          </w:tcPr>
          <w:p>
            <w:pPr>
              <w:spacing w:after="0"/>
              <w:rPr>
                <w:sz w:val="12"/>
                <w:szCs w:val="12"/>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10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(4,098 )</w:t>
            </w:r>
          </w:p>
        </w:tc>
        <w:tc>
          <w:tcPr>
            <w:tcW w:w="10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2,381,477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280" w:type="dxa"/>
            <w:vAlign w:val="bottom"/>
          </w:tcPr>
          <w:p>
            <w:pPr>
              <w:ind w:left="20"/>
              <w:spacing w:after="0" w:line="121" w:lineRule="exact"/>
              <w:rPr>
                <w:sz w:val="20"/>
                <w:szCs w:val="20"/>
                <w:color w:val="auto"/>
              </w:rPr>
            </w:pPr>
            <w:r>
              <w:rPr>
                <w:rFonts w:ascii="Times New Roman" w:cs="Times New Roman" w:eastAsia="Times New Roman" w:hAnsi="Times New Roman"/>
                <w:sz w:val="11"/>
                <w:szCs w:val="11"/>
                <w:color w:val="auto"/>
              </w:rPr>
              <w:t>Equity-based compensation expense</w:t>
            </w: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2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(Note 7)</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22,282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22,282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8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right w:val="single" w:sz="8" w:color="CFF0FC"/>
            </w:tcBorders>
            <w:shd w:val="clear" w:color="auto" w:fill="CFF0FC"/>
          </w:tcPr>
          <w:p>
            <w:pPr>
              <w:spacing w:after="0"/>
              <w:rPr>
                <w:sz w:val="13"/>
                <w:szCs w:val="13"/>
                <w:color w:val="auto"/>
              </w:rPr>
            </w:pPr>
          </w:p>
        </w:tc>
        <w:tc>
          <w:tcPr>
            <w:tcW w:w="660" w:type="dxa"/>
            <w:vAlign w:val="bottom"/>
            <w:tcBorders>
              <w:right w:val="single" w:sz="8" w:color="CFF0FC"/>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3"/>
                <w:szCs w:val="13"/>
                <w:color w:val="auto"/>
              </w:rPr>
            </w:pPr>
          </w:p>
        </w:tc>
        <w:tc>
          <w:tcPr>
            <w:tcW w:w="200" w:type="dxa"/>
            <w:vAlign w:val="bottom"/>
            <w:tcBorders>
              <w:left w:val="single" w:sz="8" w:color="CFF0FC"/>
            </w:tcBorders>
            <w:shd w:val="clear" w:color="auto" w:fill="CFF0FC"/>
          </w:tcPr>
          <w:p>
            <w:pPr>
              <w:spacing w:after="0"/>
              <w:rPr>
                <w:sz w:val="13"/>
                <w:szCs w:val="13"/>
                <w:color w:val="auto"/>
              </w:rPr>
            </w:pPr>
          </w:p>
        </w:tc>
        <w:tc>
          <w:tcPr>
            <w:tcW w:w="74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3"/>
                <w:szCs w:val="13"/>
                <w:color w:val="auto"/>
              </w:rPr>
            </w:pPr>
          </w:p>
        </w:tc>
        <w:tc>
          <w:tcPr>
            <w:tcW w:w="200" w:type="dxa"/>
            <w:vAlign w:val="bottom"/>
            <w:tcBorders>
              <w:left w:val="single" w:sz="8" w:color="CFF0FC"/>
            </w:tcBorders>
            <w:shd w:val="clear" w:color="auto" w:fill="CFF0FC"/>
          </w:tcPr>
          <w:p>
            <w:pPr>
              <w:spacing w:after="0"/>
              <w:rPr>
                <w:sz w:val="13"/>
                <w:szCs w:val="13"/>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left w:val="single" w:sz="8" w:color="CFF0FC"/>
            </w:tcBorders>
            <w:shd w:val="clear" w:color="auto" w:fill="CFF0FC"/>
          </w:tcPr>
          <w:p>
            <w:pPr>
              <w:spacing w:after="0"/>
              <w:rPr>
                <w:sz w:val="13"/>
                <w:szCs w:val="13"/>
                <w:color w:val="auto"/>
              </w:rPr>
            </w:pPr>
          </w:p>
        </w:tc>
        <w:tc>
          <w:tcPr>
            <w:tcW w:w="9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(1,892 )</w:t>
            </w:r>
          </w:p>
        </w:tc>
        <w:tc>
          <w:tcPr>
            <w:tcW w:w="60" w:type="dxa"/>
            <w:vAlign w:val="bottom"/>
            <w:shd w:val="clear" w:color="auto" w:fill="CFF0FC"/>
          </w:tcPr>
          <w:p>
            <w:pPr>
              <w:spacing w:after="0"/>
              <w:rPr>
                <w:sz w:val="13"/>
                <w:szCs w:val="13"/>
                <w:color w:val="auto"/>
              </w:rPr>
            </w:pPr>
          </w:p>
        </w:tc>
        <w:tc>
          <w:tcPr>
            <w:tcW w:w="10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(1,892 )</w:t>
            </w:r>
          </w:p>
        </w:tc>
        <w:tc>
          <w:tcPr>
            <w:tcW w:w="0" w:type="dxa"/>
            <w:vAlign w:val="bottom"/>
          </w:tcPr>
          <w:p>
            <w:pPr>
              <w:spacing w:after="0"/>
              <w:rPr>
                <w:sz w:val="1"/>
                <w:szCs w:val="1"/>
                <w:color w:val="auto"/>
              </w:rPr>
            </w:pPr>
          </w:p>
        </w:tc>
      </w:tr>
      <w:tr>
        <w:trPr>
          <w:trHeight w:val="121"/>
        </w:trPr>
        <w:tc>
          <w:tcPr>
            <w:tcW w:w="3280" w:type="dxa"/>
            <w:vAlign w:val="bottom"/>
          </w:tcPr>
          <w:p>
            <w:pPr>
              <w:ind w:left="20"/>
              <w:spacing w:after="0" w:line="121" w:lineRule="exact"/>
              <w:rPr>
                <w:sz w:val="20"/>
                <w:szCs w:val="20"/>
                <w:color w:val="auto"/>
              </w:rPr>
            </w:pPr>
            <w:r>
              <w:rPr>
                <w:rFonts w:ascii="Times New Roman" w:cs="Times New Roman" w:eastAsia="Times New Roman" w:hAnsi="Times New Roman"/>
                <w:sz w:val="11"/>
                <w:szCs w:val="11"/>
                <w:color w:val="auto"/>
              </w:rPr>
              <w:t>Foreign currency translation</w:t>
            </w: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2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adjustment, net of tax</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280" w:type="dxa"/>
            <w:vAlign w:val="bottom"/>
            <w:tcBorders>
              <w:right w:val="single" w:sz="8" w:color="CFF0FC"/>
            </w:tcBorders>
            <w:shd w:val="clear" w:color="auto" w:fill="CFF0FC"/>
          </w:tcPr>
          <w:p>
            <w:pPr>
              <w:ind w:left="20"/>
              <w:spacing w:after="0" w:line="125" w:lineRule="exact"/>
              <w:rPr>
                <w:sz w:val="20"/>
                <w:szCs w:val="20"/>
                <w:color w:val="auto"/>
              </w:rPr>
            </w:pPr>
            <w:r>
              <w:rPr>
                <w:rFonts w:ascii="Times New Roman" w:cs="Times New Roman" w:eastAsia="Times New Roman" w:hAnsi="Times New Roman"/>
                <w:sz w:val="11"/>
                <w:szCs w:val="11"/>
                <w:color w:val="auto"/>
              </w:rPr>
              <w:t>Unrealized loss on derivatives (Note 5),</w:t>
            </w: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20" w:type="dxa"/>
            <w:vAlign w:val="bottom"/>
            <w:tcBorders>
              <w:right w:val="single" w:sz="8" w:color="CFF0FC"/>
            </w:tcBorders>
            <w:shd w:val="clear" w:color="auto" w:fill="CFF0FC"/>
          </w:tcPr>
          <w:p>
            <w:pPr>
              <w:spacing w:after="0"/>
              <w:rPr>
                <w:sz w:val="10"/>
                <w:szCs w:val="10"/>
                <w:color w:val="auto"/>
              </w:rPr>
            </w:pPr>
          </w:p>
        </w:tc>
        <w:tc>
          <w:tcPr>
            <w:tcW w:w="260" w:type="dxa"/>
            <w:vAlign w:val="bottom"/>
            <w:tcBorders>
              <w:right w:val="single" w:sz="8" w:color="CFF0FC"/>
            </w:tcBorders>
            <w:shd w:val="clear" w:color="auto" w:fill="CFF0FC"/>
          </w:tcPr>
          <w:p>
            <w:pPr>
              <w:spacing w:after="0"/>
              <w:rPr>
                <w:sz w:val="10"/>
                <w:szCs w:val="10"/>
                <w:color w:val="auto"/>
              </w:rPr>
            </w:pPr>
          </w:p>
        </w:tc>
        <w:tc>
          <w:tcPr>
            <w:tcW w:w="660" w:type="dxa"/>
            <w:vAlign w:val="bottom"/>
            <w:tcBorders>
              <w:right w:val="single" w:sz="8" w:color="CFF0FC"/>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00" w:type="dxa"/>
            <w:vAlign w:val="bottom"/>
            <w:tcBorders>
              <w:left w:val="single" w:sz="8" w:color="CFF0FC"/>
            </w:tcBorders>
            <w:shd w:val="clear" w:color="auto" w:fill="CFF0FC"/>
          </w:tcPr>
          <w:p>
            <w:pPr>
              <w:spacing w:after="0"/>
              <w:rPr>
                <w:sz w:val="10"/>
                <w:szCs w:val="10"/>
                <w:color w:val="auto"/>
              </w:rPr>
            </w:pPr>
          </w:p>
        </w:tc>
        <w:tc>
          <w:tcPr>
            <w:tcW w:w="74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00" w:type="dxa"/>
            <w:vAlign w:val="bottom"/>
            <w:tcBorders>
              <w:left w:val="single" w:sz="8" w:color="CFF0FC"/>
            </w:tcBorders>
            <w:shd w:val="clear" w:color="auto" w:fill="CFF0FC"/>
          </w:tcPr>
          <w:p>
            <w:pPr>
              <w:spacing w:after="0"/>
              <w:rPr>
                <w:sz w:val="10"/>
                <w:szCs w:val="10"/>
                <w:color w:val="auto"/>
              </w:rPr>
            </w:pPr>
          </w:p>
        </w:tc>
        <w:tc>
          <w:tcPr>
            <w:tcW w:w="720" w:type="dxa"/>
            <w:vAlign w:val="bottom"/>
            <w:tcBorders>
              <w:right w:val="single" w:sz="8" w:color="CFF0FC"/>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40" w:type="dxa"/>
            <w:vAlign w:val="bottom"/>
            <w:tcBorders>
              <w:left w:val="single" w:sz="8" w:color="CFF0FC"/>
            </w:tcBorders>
            <w:shd w:val="clear" w:color="auto" w:fill="CFF0FC"/>
          </w:tcPr>
          <w:p>
            <w:pPr>
              <w:spacing w:after="0"/>
              <w:rPr>
                <w:sz w:val="10"/>
                <w:szCs w:val="10"/>
                <w:color w:val="auto"/>
              </w:rPr>
            </w:pPr>
          </w:p>
        </w:tc>
        <w:tc>
          <w:tcPr>
            <w:tcW w:w="760" w:type="dxa"/>
            <w:vAlign w:val="bottom"/>
            <w:tcBorders>
              <w:right w:val="single" w:sz="8" w:color="CFF0FC"/>
            </w:tcBorders>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0" w:type="dxa"/>
            <w:vAlign w:val="bottom"/>
            <w:tcBorders>
              <w:right w:val="single" w:sz="8" w:color="CFF0FC"/>
            </w:tcBorders>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8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net of tax</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right w:val="single" w:sz="8" w:color="CFF0FC"/>
            </w:tcBorders>
            <w:shd w:val="clear" w:color="auto" w:fill="CFF0FC"/>
          </w:tcPr>
          <w:p>
            <w:pPr>
              <w:spacing w:after="0"/>
              <w:rPr>
                <w:sz w:val="12"/>
                <w:szCs w:val="12"/>
                <w:color w:val="auto"/>
              </w:rPr>
            </w:pPr>
          </w:p>
        </w:tc>
        <w:tc>
          <w:tcPr>
            <w:tcW w:w="660" w:type="dxa"/>
            <w:vAlign w:val="bottom"/>
            <w:tcBorders>
              <w:right w:val="single" w:sz="8" w:color="CFF0FC"/>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2"/>
                <w:szCs w:val="12"/>
                <w:color w:val="auto"/>
              </w:rPr>
            </w:pPr>
          </w:p>
        </w:tc>
        <w:tc>
          <w:tcPr>
            <w:tcW w:w="200" w:type="dxa"/>
            <w:vAlign w:val="bottom"/>
            <w:tcBorders>
              <w:left w:val="single" w:sz="8" w:color="CFF0FC"/>
            </w:tcBorders>
            <w:shd w:val="clear" w:color="auto" w:fill="CFF0FC"/>
          </w:tcPr>
          <w:p>
            <w:pPr>
              <w:spacing w:after="0"/>
              <w:rPr>
                <w:sz w:val="12"/>
                <w:szCs w:val="12"/>
                <w:color w:val="auto"/>
              </w:rPr>
            </w:pPr>
          </w:p>
        </w:tc>
        <w:tc>
          <w:tcPr>
            <w:tcW w:w="74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2"/>
                <w:szCs w:val="12"/>
                <w:color w:val="auto"/>
              </w:rPr>
            </w:pPr>
          </w:p>
        </w:tc>
        <w:tc>
          <w:tcPr>
            <w:tcW w:w="200" w:type="dxa"/>
            <w:vAlign w:val="bottom"/>
            <w:tcBorders>
              <w:left w:val="single" w:sz="8" w:color="CFF0FC"/>
            </w:tcBorders>
            <w:shd w:val="clear" w:color="auto" w:fill="CFF0FC"/>
          </w:tcPr>
          <w:p>
            <w:pPr>
              <w:spacing w:after="0"/>
              <w:rPr>
                <w:sz w:val="12"/>
                <w:szCs w:val="12"/>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left w:val="single" w:sz="8" w:color="CFF0FC"/>
            </w:tcBorders>
            <w:shd w:val="clear" w:color="auto" w:fill="CFF0FC"/>
          </w:tcPr>
          <w:p>
            <w:pPr>
              <w:spacing w:after="0"/>
              <w:rPr>
                <w:sz w:val="12"/>
                <w:szCs w:val="12"/>
                <w:color w:val="auto"/>
              </w:rPr>
            </w:pPr>
          </w:p>
        </w:tc>
        <w:tc>
          <w:tcPr>
            <w:tcW w:w="98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2"/>
                <w:szCs w:val="12"/>
                <w:color w:val="auto"/>
              </w:rPr>
            </w:pPr>
          </w:p>
        </w:tc>
        <w:tc>
          <w:tcPr>
            <w:tcW w:w="10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(984 )</w:t>
            </w: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(984 )</w:t>
            </w:r>
          </w:p>
        </w:tc>
        <w:tc>
          <w:tcPr>
            <w:tcW w:w="0" w:type="dxa"/>
            <w:vAlign w:val="bottom"/>
          </w:tcPr>
          <w:p>
            <w:pPr>
              <w:spacing w:after="0"/>
              <w:rPr>
                <w:sz w:val="1"/>
                <w:szCs w:val="1"/>
                <w:color w:val="auto"/>
              </w:rPr>
            </w:pPr>
          </w:p>
        </w:tc>
      </w:tr>
      <w:tr>
        <w:trPr>
          <w:trHeight w:val="121"/>
        </w:trPr>
        <w:tc>
          <w:tcPr>
            <w:tcW w:w="3280" w:type="dxa"/>
            <w:vAlign w:val="bottom"/>
          </w:tcPr>
          <w:p>
            <w:pPr>
              <w:ind w:left="20"/>
              <w:spacing w:after="0" w:line="121" w:lineRule="exact"/>
              <w:rPr>
                <w:sz w:val="20"/>
                <w:szCs w:val="20"/>
                <w:color w:val="auto"/>
              </w:rPr>
            </w:pPr>
            <w:r>
              <w:rPr>
                <w:rFonts w:ascii="Times New Roman" w:cs="Times New Roman" w:eastAsia="Times New Roman" w:hAnsi="Times New Roman"/>
                <w:sz w:val="11"/>
                <w:szCs w:val="11"/>
                <w:color w:val="auto"/>
              </w:rPr>
              <w:t>Losses on derivatives reclassified to</w:t>
            </w: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2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income (Note 5), net of tax</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280" w:type="dxa"/>
            <w:vAlign w:val="bottom"/>
            <w:tcBorders>
              <w:right w:val="single" w:sz="8" w:color="CFF0FC"/>
            </w:tcBorders>
            <w:shd w:val="clear" w:color="auto" w:fill="CFF0FC"/>
          </w:tcPr>
          <w:p>
            <w:pPr>
              <w:ind w:left="20"/>
              <w:spacing w:after="0" w:line="125" w:lineRule="exact"/>
              <w:rPr>
                <w:sz w:val="20"/>
                <w:szCs w:val="20"/>
                <w:color w:val="auto"/>
              </w:rPr>
            </w:pPr>
            <w:r>
              <w:rPr>
                <w:rFonts w:ascii="Times New Roman" w:cs="Times New Roman" w:eastAsia="Times New Roman" w:hAnsi="Times New Roman"/>
                <w:sz w:val="11"/>
                <w:szCs w:val="11"/>
                <w:color w:val="auto"/>
              </w:rPr>
              <w:t>Issuance of common stock,</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727</w:t>
            </w:r>
          </w:p>
        </w:tc>
        <w:tc>
          <w:tcPr>
            <w:tcW w:w="240" w:type="dxa"/>
            <w:vAlign w:val="bottom"/>
            <w:shd w:val="clear" w:color="auto" w:fill="CFF0FC"/>
          </w:tcPr>
          <w:p>
            <w:pPr>
              <w:spacing w:after="0"/>
              <w:rPr>
                <w:sz w:val="10"/>
                <w:szCs w:val="10"/>
                <w:color w:val="auto"/>
              </w:rPr>
            </w:pPr>
          </w:p>
        </w:tc>
        <w:tc>
          <w:tcPr>
            <w:tcW w:w="62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right w:val="single" w:sz="8" w:color="CFF0FC"/>
            </w:tcBorders>
            <w:shd w:val="clear" w:color="auto" w:fill="CFF0FC"/>
          </w:tcPr>
          <w:p>
            <w:pPr>
              <w:spacing w:after="0"/>
              <w:rPr>
                <w:sz w:val="10"/>
                <w:szCs w:val="10"/>
                <w:color w:val="auto"/>
              </w:rPr>
            </w:pPr>
          </w:p>
        </w:tc>
        <w:tc>
          <w:tcPr>
            <w:tcW w:w="660" w:type="dxa"/>
            <w:vAlign w:val="bottom"/>
            <w:tcBorders>
              <w:right w:val="single" w:sz="8" w:color="CFF0FC"/>
            </w:tcBorders>
            <w:vMerge w:val="restart"/>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0"/>
                <w:szCs w:val="10"/>
                <w:color w:val="auto"/>
              </w:rPr>
            </w:pPr>
          </w:p>
        </w:tc>
        <w:tc>
          <w:tcPr>
            <w:tcW w:w="200" w:type="dxa"/>
            <w:vAlign w:val="bottom"/>
            <w:tcBorders>
              <w:left w:val="single" w:sz="8" w:color="CFF0FC"/>
            </w:tcBorders>
            <w:shd w:val="clear" w:color="auto" w:fill="CFF0FC"/>
          </w:tcPr>
          <w:p>
            <w:pPr>
              <w:spacing w:after="0"/>
              <w:rPr>
                <w:sz w:val="10"/>
                <w:szCs w:val="10"/>
                <w:color w:val="auto"/>
              </w:rPr>
            </w:pPr>
          </w:p>
        </w:tc>
        <w:tc>
          <w:tcPr>
            <w:tcW w:w="740" w:type="dxa"/>
            <w:vAlign w:val="bottom"/>
            <w:tcBorders>
              <w:right w:val="single" w:sz="8" w:color="CFF0FC"/>
            </w:tcBorders>
            <w:vMerge w:val="restart"/>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160" w:type="dxa"/>
            <w:vAlign w:val="bottom"/>
            <w:shd w:val="clear" w:color="auto" w:fill="CFF0FC"/>
          </w:tcPr>
          <w:p>
            <w:pPr>
              <w:spacing w:after="0"/>
              <w:rPr>
                <w:sz w:val="10"/>
                <w:szCs w:val="10"/>
                <w:color w:val="auto"/>
              </w:rPr>
            </w:pPr>
          </w:p>
        </w:tc>
        <w:tc>
          <w:tcPr>
            <w:tcW w:w="200" w:type="dxa"/>
            <w:vAlign w:val="bottom"/>
            <w:tcBorders>
              <w:left w:val="single" w:sz="8" w:color="CFF0FC"/>
            </w:tcBorders>
            <w:shd w:val="clear" w:color="auto" w:fill="CFF0FC"/>
          </w:tcPr>
          <w:p>
            <w:pPr>
              <w:spacing w:after="0"/>
              <w:rPr>
                <w:sz w:val="10"/>
                <w:szCs w:val="10"/>
                <w:color w:val="auto"/>
              </w:rPr>
            </w:pPr>
          </w:p>
        </w:tc>
        <w:tc>
          <w:tcPr>
            <w:tcW w:w="9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(1,254 )</w:t>
            </w:r>
          </w:p>
        </w:tc>
        <w:tc>
          <w:tcPr>
            <w:tcW w:w="140" w:type="dxa"/>
            <w:vAlign w:val="bottom"/>
            <w:tcBorders>
              <w:left w:val="single" w:sz="8" w:color="CFF0FC"/>
            </w:tcBorders>
            <w:shd w:val="clear" w:color="auto" w:fill="CFF0FC"/>
          </w:tcPr>
          <w:p>
            <w:pPr>
              <w:spacing w:after="0"/>
              <w:rPr>
                <w:sz w:val="10"/>
                <w:szCs w:val="10"/>
                <w:color w:val="auto"/>
              </w:rPr>
            </w:pPr>
          </w:p>
        </w:tc>
        <w:tc>
          <w:tcPr>
            <w:tcW w:w="980" w:type="dxa"/>
            <w:vAlign w:val="bottom"/>
            <w:tcBorders>
              <w:right w:val="single" w:sz="8" w:color="CFF0FC"/>
            </w:tcBorders>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0"/>
                <w:szCs w:val="10"/>
                <w:color w:val="auto"/>
              </w:rPr>
            </w:pPr>
          </w:p>
        </w:tc>
        <w:tc>
          <w:tcPr>
            <w:tcW w:w="1020" w:type="dxa"/>
            <w:vAlign w:val="bottom"/>
            <w:tcBorders>
              <w:right w:val="single" w:sz="8" w:color="CFF0FC"/>
            </w:tcBorders>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88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(1,253 )</w:t>
            </w:r>
          </w:p>
        </w:tc>
        <w:tc>
          <w:tcPr>
            <w:tcW w:w="0" w:type="dxa"/>
            <w:vAlign w:val="bottom"/>
          </w:tcPr>
          <w:p>
            <w:pPr>
              <w:spacing w:after="0"/>
              <w:rPr>
                <w:sz w:val="1"/>
                <w:szCs w:val="1"/>
                <w:color w:val="auto"/>
              </w:rPr>
            </w:pPr>
          </w:p>
        </w:tc>
      </w:tr>
      <w:tr>
        <w:trPr>
          <w:trHeight w:val="135"/>
        </w:trPr>
        <w:tc>
          <w:tcPr>
            <w:tcW w:w="328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net of tax withholdings</w:t>
            </w:r>
          </w:p>
        </w:tc>
        <w:tc>
          <w:tcPr>
            <w:tcW w:w="620" w:type="dxa"/>
            <w:vAlign w:val="bottom"/>
            <w:vMerge w:val="continue"/>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20" w:type="dxa"/>
            <w:vAlign w:val="bottom"/>
            <w:tcBorders>
              <w:right w:val="single" w:sz="8" w:color="CFF0FC"/>
            </w:tcBorders>
            <w:vMerge w:val="continue"/>
            <w:shd w:val="clear" w:color="auto" w:fill="CFF0FC"/>
          </w:tcPr>
          <w:p>
            <w:pPr>
              <w:spacing w:after="0"/>
              <w:rPr>
                <w:sz w:val="11"/>
                <w:szCs w:val="11"/>
                <w:color w:val="auto"/>
              </w:rPr>
            </w:pPr>
          </w:p>
        </w:tc>
        <w:tc>
          <w:tcPr>
            <w:tcW w:w="260" w:type="dxa"/>
            <w:vAlign w:val="bottom"/>
            <w:tcBorders>
              <w:right w:val="single" w:sz="8" w:color="CFF0FC"/>
            </w:tcBorders>
            <w:shd w:val="clear" w:color="auto" w:fill="CFF0FC"/>
          </w:tcPr>
          <w:p>
            <w:pPr>
              <w:spacing w:after="0"/>
              <w:rPr>
                <w:sz w:val="11"/>
                <w:szCs w:val="11"/>
                <w:color w:val="auto"/>
              </w:rPr>
            </w:pPr>
          </w:p>
        </w:tc>
        <w:tc>
          <w:tcPr>
            <w:tcW w:w="660" w:type="dxa"/>
            <w:vAlign w:val="bottom"/>
            <w:tcBorders>
              <w:right w:val="single" w:sz="8" w:color="CFF0FC"/>
            </w:tcBorders>
            <w:vMerge w:val="continue"/>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00" w:type="dxa"/>
            <w:vAlign w:val="bottom"/>
            <w:tcBorders>
              <w:left w:val="single" w:sz="8" w:color="CFF0FC"/>
            </w:tcBorders>
            <w:shd w:val="clear" w:color="auto" w:fill="CFF0FC"/>
          </w:tcPr>
          <w:p>
            <w:pPr>
              <w:spacing w:after="0"/>
              <w:rPr>
                <w:sz w:val="11"/>
                <w:szCs w:val="11"/>
                <w:color w:val="auto"/>
              </w:rPr>
            </w:pPr>
          </w:p>
        </w:tc>
        <w:tc>
          <w:tcPr>
            <w:tcW w:w="740" w:type="dxa"/>
            <w:vAlign w:val="bottom"/>
            <w:tcBorders>
              <w:right w:val="single" w:sz="8" w:color="CFF0FC"/>
            </w:tcBorders>
            <w:vMerge w:val="continue"/>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00" w:type="dxa"/>
            <w:vAlign w:val="bottom"/>
            <w:tcBorders>
              <w:left w:val="single" w:sz="8" w:color="CFF0FC"/>
            </w:tcBorders>
            <w:shd w:val="clear" w:color="auto" w:fill="CFF0FC"/>
          </w:tcPr>
          <w:p>
            <w:pPr>
              <w:spacing w:after="0"/>
              <w:rPr>
                <w:sz w:val="11"/>
                <w:szCs w:val="11"/>
                <w:color w:val="auto"/>
              </w:rPr>
            </w:pPr>
          </w:p>
        </w:tc>
        <w:tc>
          <w:tcPr>
            <w:tcW w:w="900" w:type="dxa"/>
            <w:vAlign w:val="bottom"/>
            <w:gridSpan w:val="2"/>
            <w:vMerge w:val="continue"/>
            <w:shd w:val="clear" w:color="auto" w:fill="CFF0FC"/>
          </w:tcPr>
          <w:p>
            <w:pPr>
              <w:spacing w:after="0"/>
              <w:rPr>
                <w:sz w:val="11"/>
                <w:szCs w:val="11"/>
                <w:color w:val="auto"/>
              </w:rPr>
            </w:pPr>
          </w:p>
        </w:tc>
        <w:tc>
          <w:tcPr>
            <w:tcW w:w="140" w:type="dxa"/>
            <w:vAlign w:val="bottom"/>
            <w:tcBorders>
              <w:left w:val="single" w:sz="8" w:color="CFF0FC"/>
            </w:tcBorders>
            <w:shd w:val="clear" w:color="auto" w:fill="CFF0FC"/>
          </w:tcPr>
          <w:p>
            <w:pPr>
              <w:spacing w:after="0"/>
              <w:rPr>
                <w:sz w:val="11"/>
                <w:szCs w:val="11"/>
                <w:color w:val="auto"/>
              </w:rPr>
            </w:pPr>
          </w:p>
        </w:tc>
        <w:tc>
          <w:tcPr>
            <w:tcW w:w="980" w:type="dxa"/>
            <w:vAlign w:val="bottom"/>
            <w:tcBorders>
              <w:right w:val="single" w:sz="8" w:color="CFF0FC"/>
            </w:tcBorders>
            <w:gridSpan w:val="2"/>
            <w:vMerge w:val="continue"/>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20" w:type="dxa"/>
            <w:vAlign w:val="bottom"/>
            <w:tcBorders>
              <w:right w:val="single" w:sz="8" w:color="CFF0FC"/>
            </w:tcBorders>
            <w:gridSpan w:val="2"/>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80" w:type="dxa"/>
            <w:vAlign w:val="bottom"/>
            <w:tcBorders>
              <w:right w:val="single" w:sz="8" w:color="CFF0FC"/>
            </w:tcBorders>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20" w:type="dxa"/>
            <w:vAlign w:val="bottom"/>
            <w:tcBorders>
              <w:right w:val="single" w:sz="8" w:color="CFF0FC"/>
            </w:tcBorders>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66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740" w:type="dxa"/>
            <w:vAlign w:val="bottom"/>
            <w:tcBorders>
              <w:right w:val="single" w:sz="8" w:color="CFF0FC"/>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72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76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April 29, 2023</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229,065</w:t>
            </w:r>
          </w:p>
        </w:tc>
        <w:tc>
          <w:tcPr>
            <w:tcW w:w="2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37,791</w:t>
            </w:r>
          </w:p>
        </w:tc>
        <w:tc>
          <w:tcPr>
            <w:tcW w:w="260" w:type="dxa"/>
            <w:vAlign w:val="bottom"/>
          </w:tcPr>
          <w:p>
            <w:pPr>
              <w:spacing w:after="0"/>
              <w:rPr>
                <w:sz w:val="12"/>
                <w:szCs w:val="12"/>
                <w:color w:val="auto"/>
              </w:rPr>
            </w:pP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37,791</w:t>
            </w:r>
          </w:p>
        </w:tc>
        <w:tc>
          <w:tcPr>
            <w:tcW w:w="180" w:type="dxa"/>
            <w:vAlign w:val="bottom"/>
          </w:tcPr>
          <w:p>
            <w:pPr>
              <w:spacing w:after="0"/>
              <w:rPr>
                <w:sz w:val="12"/>
                <w:szCs w:val="12"/>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267</w:t>
            </w:r>
          </w:p>
        </w:tc>
        <w:tc>
          <w:tcPr>
            <w:tcW w:w="160" w:type="dxa"/>
            <w:vAlign w:val="bottom"/>
          </w:tcPr>
          <w:p>
            <w:pPr>
              <w:spacing w:after="0"/>
              <w:rPr>
                <w:sz w:val="12"/>
                <w:szCs w:val="12"/>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2,173,370</w:t>
            </w:r>
          </w:p>
        </w:tc>
        <w:tc>
          <w:tcPr>
            <w:tcW w:w="180" w:type="dxa"/>
            <w:vAlign w:val="bottom"/>
          </w:tcPr>
          <w:p>
            <w:pPr>
              <w:spacing w:after="0"/>
              <w:rPr>
                <w:sz w:val="12"/>
                <w:szCs w:val="12"/>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231,075</w:t>
            </w:r>
          </w:p>
        </w:tc>
        <w:tc>
          <w:tcPr>
            <w:tcW w:w="2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(3,592 )</w:t>
            </w:r>
          </w:p>
        </w:tc>
        <w:tc>
          <w:tcPr>
            <w:tcW w:w="100" w:type="dxa"/>
            <w:vAlign w:val="bottom"/>
          </w:tcPr>
          <w:p>
            <w:pPr>
              <w:jc w:val="right"/>
              <w:ind w:right="20"/>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2,401,120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-1883410</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3027680</wp:posOffset>
            </wp:positionH>
            <wp:positionV relativeFrom="paragraph">
              <wp:posOffset>-1883410</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3609975</wp:posOffset>
            </wp:positionH>
            <wp:positionV relativeFrom="paragraph">
              <wp:posOffset>-1883410</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-1883410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-1883410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-1883410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-1883410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-1883410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-127635</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3010535</wp:posOffset>
            </wp:positionH>
            <wp:positionV relativeFrom="paragraph">
              <wp:posOffset>-127635</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3566795</wp:posOffset>
            </wp:positionH>
            <wp:positionV relativeFrom="paragraph">
              <wp:posOffset>-127635</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4286250</wp:posOffset>
            </wp:positionH>
            <wp:positionV relativeFrom="paragraph">
              <wp:posOffset>-127635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-127635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-127635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6367145</wp:posOffset>
            </wp:positionH>
            <wp:positionV relativeFrom="paragraph">
              <wp:posOffset>-127635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7" w:name="page8"/>
    <w:bookmarkEnd w:id="7"/>
    <w:p>
      <w:pPr>
        <w:ind w:left="3480"/>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p>
      <w:pPr>
        <w:spacing w:after="0" w:line="11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68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Thirteen weeks ended</w:t>
            </w: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7680" w:type="dxa"/>
            <w:vAlign w:val="bottom"/>
          </w:tcPr>
          <w:p>
            <w:pPr>
              <w:spacing w:after="0"/>
              <w:rPr>
                <w:sz w:val="10"/>
                <w:szCs w:val="10"/>
                <w:color w:val="auto"/>
              </w:rPr>
            </w:pPr>
          </w:p>
        </w:tc>
        <w:tc>
          <w:tcPr>
            <w:tcW w:w="1040" w:type="dxa"/>
            <w:vAlign w:val="bottom"/>
          </w:tcPr>
          <w:p>
            <w:pPr>
              <w:jc w:val="right"/>
              <w:spacing w:after="0" w:line="123" w:lineRule="exact"/>
              <w:rPr>
                <w:sz w:val="20"/>
                <w:szCs w:val="20"/>
                <w:color w:val="auto"/>
              </w:rPr>
            </w:pPr>
            <w:r>
              <w:rPr>
                <w:rFonts w:ascii="Times New Roman" w:cs="Times New Roman" w:eastAsia="Times New Roman" w:hAnsi="Times New Roman"/>
                <w:sz w:val="13"/>
                <w:szCs w:val="13"/>
                <w:b w:val="1"/>
                <w:bCs w:val="1"/>
                <w:color w:val="auto"/>
              </w:rPr>
              <w:t>May 4,</w:t>
            </w: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00" w:type="dxa"/>
            <w:vAlign w:val="bottom"/>
          </w:tcPr>
          <w:p>
            <w:pPr>
              <w:jc w:val="right"/>
              <w:ind w:right="493"/>
              <w:spacing w:after="0" w:line="123" w:lineRule="exact"/>
              <w:rPr>
                <w:sz w:val="20"/>
                <w:szCs w:val="20"/>
                <w:color w:val="auto"/>
              </w:rPr>
            </w:pPr>
            <w:r>
              <w:rPr>
                <w:rFonts w:ascii="Times New Roman" w:cs="Times New Roman" w:eastAsia="Times New Roman" w:hAnsi="Times New Roman"/>
                <w:sz w:val="13"/>
                <w:szCs w:val="13"/>
                <w:b w:val="1"/>
                <w:bCs w:val="1"/>
                <w:color w:val="auto"/>
              </w:rPr>
              <w:t>April 29,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7680" w:type="dxa"/>
            <w:vAlign w:val="bottom"/>
          </w:tcPr>
          <w:p>
            <w:pPr>
              <w:spacing w:after="0"/>
              <w:rPr>
                <w:sz w:val="14"/>
                <w:szCs w:val="14"/>
                <w:color w:val="auto"/>
              </w:rPr>
            </w:pPr>
          </w:p>
        </w:tc>
        <w:tc>
          <w:tcPr>
            <w:tcW w:w="10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2024</w:t>
            </w:r>
          </w:p>
        </w:tc>
        <w:tc>
          <w:tcPr>
            <w:tcW w:w="5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Cash flows from operating activities:</w:t>
            </w:r>
          </w:p>
        </w:tc>
        <w:tc>
          <w:tcPr>
            <w:tcW w:w="10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Net loss</w:t>
            </w:r>
          </w:p>
        </w:tc>
        <w:tc>
          <w:tcPr>
            <w:tcW w:w="1040" w:type="dxa"/>
            <w:vAlign w:val="bottom"/>
          </w:tcPr>
          <w:p>
            <w:pPr>
              <w:jc w:val="right"/>
              <w:ind w:right="894"/>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(46,483 )</w:t>
            </w:r>
          </w:p>
        </w:tc>
        <w:tc>
          <w:tcPr>
            <w:tcW w:w="480" w:type="dxa"/>
            <w:vAlign w:val="bottom"/>
          </w:tcPr>
          <w:p>
            <w:pPr>
              <w:jc w:val="right"/>
              <w:ind w:right="333"/>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(1,892 )</w:t>
            </w:r>
          </w:p>
        </w:tc>
        <w:tc>
          <w:tcPr>
            <w:tcW w:w="0" w:type="dxa"/>
            <w:vAlign w:val="bottom"/>
          </w:tcPr>
          <w:p>
            <w:pPr>
              <w:spacing w:after="0"/>
              <w:rPr>
                <w:sz w:val="1"/>
                <w:szCs w:val="1"/>
                <w:color w:val="auto"/>
              </w:rPr>
            </w:pPr>
          </w:p>
        </w:tc>
      </w:tr>
      <w:tr>
        <w:trPr>
          <w:trHeight w:val="149"/>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Adjustments to reconcile net loss to net cash (used in) provided by operating</w:t>
            </w:r>
          </w:p>
        </w:tc>
        <w:tc>
          <w:tcPr>
            <w:tcW w:w="10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6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activities:</w:t>
            </w: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49,587</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49,255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Amortization of debt discounts and issuance costs</w:t>
            </w: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1,218</w:t>
            </w:r>
          </w:p>
        </w:tc>
        <w:tc>
          <w:tcPr>
            <w:tcW w:w="2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1,238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Provision for deferred taxes</w:t>
            </w:r>
          </w:p>
        </w:tc>
        <w:tc>
          <w:tcPr>
            <w:tcW w:w="104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(13,365 )</w:t>
            </w:r>
          </w:p>
        </w:tc>
        <w:tc>
          <w:tcPr>
            <w:tcW w:w="480" w:type="dxa"/>
            <w:vAlign w:val="bottom"/>
          </w:tcPr>
          <w:p>
            <w:pPr>
              <w:spacing w:after="0"/>
              <w:rPr>
                <w:sz w:val="15"/>
                <w:szCs w:val="15"/>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(5,530 )</w:t>
            </w:r>
          </w:p>
        </w:tc>
        <w:tc>
          <w:tcPr>
            <w:tcW w:w="0" w:type="dxa"/>
            <w:vAlign w:val="bottom"/>
          </w:tcPr>
          <w:p>
            <w:pPr>
              <w:spacing w:after="0"/>
              <w:rPr>
                <w:sz w:val="1"/>
                <w:szCs w:val="1"/>
                <w:color w:val="auto"/>
              </w:rPr>
            </w:pPr>
          </w:p>
        </w:tc>
      </w:tr>
      <w:tr>
        <w:trPr>
          <w:trHeight w:val="176"/>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Equity-based compensation</w:t>
            </w: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17,434</w:t>
            </w:r>
          </w:p>
        </w:tc>
        <w:tc>
          <w:tcPr>
            <w:tcW w:w="2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22,129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Impairments, write-offs and losses on sale of fixed and other assets</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3,508</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Loss on partial extinguishment of debt</w:t>
            </w:r>
          </w:p>
        </w:tc>
        <w:tc>
          <w:tcPr>
            <w:tcW w:w="104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Income from equity method investees</w:t>
            </w:r>
          </w:p>
        </w:tc>
        <w:tc>
          <w:tcPr>
            <w:tcW w:w="104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(4,886 )</w:t>
            </w:r>
          </w:p>
        </w:tc>
        <w:tc>
          <w:tcPr>
            <w:tcW w:w="480" w:type="dxa"/>
            <w:vAlign w:val="bottom"/>
          </w:tcPr>
          <w:p>
            <w:pPr>
              <w:spacing w:after="0"/>
              <w:rPr>
                <w:sz w:val="15"/>
                <w:szCs w:val="15"/>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(3,130 )</w:t>
            </w:r>
          </w:p>
        </w:tc>
        <w:tc>
          <w:tcPr>
            <w:tcW w:w="0" w:type="dxa"/>
            <w:vAlign w:val="bottom"/>
          </w:tcPr>
          <w:p>
            <w:pPr>
              <w:spacing w:after="0"/>
              <w:rPr>
                <w:sz w:val="1"/>
                <w:szCs w:val="1"/>
                <w:color w:val="auto"/>
              </w:rPr>
            </w:pPr>
          </w:p>
        </w:tc>
      </w:tr>
      <w:tr>
        <w:trPr>
          <w:trHeight w:val="176"/>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Amounts reclassified out of accumulated other comprehensive income (Note 5)</w:t>
            </w:r>
          </w:p>
        </w:tc>
        <w:tc>
          <w:tcPr>
            <w:tcW w:w="104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(1,129 )</w:t>
            </w:r>
          </w:p>
        </w:tc>
        <w:tc>
          <w:tcPr>
            <w:tcW w:w="48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Non-cash operating lease costs</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103,637</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106,316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Other non-operating loss (income)</w:t>
            </w: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2,665</w:t>
            </w:r>
          </w:p>
        </w:tc>
        <w:tc>
          <w:tcPr>
            <w:tcW w:w="2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(2,819 )</w:t>
            </w:r>
          </w:p>
        </w:tc>
        <w:tc>
          <w:tcPr>
            <w:tcW w:w="0" w:type="dxa"/>
            <w:vAlign w:val="bottom"/>
          </w:tcPr>
          <w:p>
            <w:pPr>
              <w:spacing w:after="0"/>
              <w:rPr>
                <w:sz w:val="1"/>
                <w:szCs w:val="1"/>
                <w:color w:val="auto"/>
              </w:rPr>
            </w:pPr>
          </w:p>
        </w:tc>
      </w:tr>
      <w:tr>
        <w:trPr>
          <w:trHeight w:val="175"/>
        </w:trPr>
        <w:tc>
          <w:tcPr>
            <w:tcW w:w="76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Changes in assets and liabilities:</w:t>
            </w: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3"/>
                <w:szCs w:val="13"/>
                <w:color w:val="auto"/>
              </w:rPr>
              <w:t>Receivables</w:t>
            </w: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2,987</w:t>
            </w:r>
          </w:p>
        </w:tc>
        <w:tc>
          <w:tcPr>
            <w:tcW w:w="2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4,165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8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Merchandise inventories</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3,076</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(15,508 )</w:t>
            </w:r>
          </w:p>
        </w:tc>
        <w:tc>
          <w:tcPr>
            <w:tcW w:w="0" w:type="dxa"/>
            <w:vAlign w:val="bottom"/>
          </w:tcPr>
          <w:p>
            <w:pPr>
              <w:spacing w:after="0"/>
              <w:rPr>
                <w:sz w:val="1"/>
                <w:szCs w:val="1"/>
                <w:color w:val="auto"/>
              </w:rPr>
            </w:pPr>
          </w:p>
        </w:tc>
      </w:tr>
      <w:tr>
        <w:trPr>
          <w:trHeight w:val="176"/>
        </w:trPr>
        <w:tc>
          <w:tcPr>
            <w:tcW w:w="76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104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(4,511 )</w:t>
            </w:r>
          </w:p>
        </w:tc>
        <w:tc>
          <w:tcPr>
            <w:tcW w:w="48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(12,115 )</w:t>
            </w:r>
          </w:p>
        </w:tc>
        <w:tc>
          <w:tcPr>
            <w:tcW w:w="0" w:type="dxa"/>
            <w:vAlign w:val="bottom"/>
          </w:tcPr>
          <w:p>
            <w:pPr>
              <w:spacing w:after="0"/>
              <w:rPr>
                <w:sz w:val="1"/>
                <w:szCs w:val="1"/>
                <w:color w:val="auto"/>
              </w:rPr>
            </w:pPr>
          </w:p>
        </w:tc>
      </w:tr>
      <w:tr>
        <w:trPr>
          <w:trHeight w:val="175"/>
        </w:trPr>
        <w:tc>
          <w:tcPr>
            <w:tcW w:w="768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Accounts payable and book overdrafts</w:t>
            </w:r>
          </w:p>
        </w:tc>
        <w:tc>
          <w:tcPr>
            <w:tcW w:w="104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(19,538 )</w:t>
            </w:r>
          </w:p>
        </w:tc>
        <w:tc>
          <w:tcPr>
            <w:tcW w:w="4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12,582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3"/>
                <w:szCs w:val="13"/>
                <w:color w:val="auto"/>
              </w:rPr>
              <w:t>Accrued salaries and employee benefits</w:t>
            </w:r>
          </w:p>
        </w:tc>
        <w:tc>
          <w:tcPr>
            <w:tcW w:w="104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(5,474 )</w:t>
            </w:r>
          </w:p>
        </w:tc>
        <w:tc>
          <w:tcPr>
            <w:tcW w:w="48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18,982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8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Accrued expenses and other liabilities</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5,902</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(8,736 )</w:t>
            </w:r>
          </w:p>
        </w:tc>
        <w:tc>
          <w:tcPr>
            <w:tcW w:w="0" w:type="dxa"/>
            <w:vAlign w:val="bottom"/>
          </w:tcPr>
          <w:p>
            <w:pPr>
              <w:spacing w:after="0"/>
              <w:rPr>
                <w:sz w:val="1"/>
                <w:szCs w:val="1"/>
                <w:color w:val="auto"/>
              </w:rPr>
            </w:pPr>
          </w:p>
        </w:tc>
      </w:tr>
      <w:tr>
        <w:trPr>
          <w:trHeight w:val="176"/>
        </w:trPr>
        <w:tc>
          <w:tcPr>
            <w:tcW w:w="76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104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(104,181 )</w:t>
            </w:r>
          </w:p>
        </w:tc>
        <w:tc>
          <w:tcPr>
            <w:tcW w:w="48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(130,297 )</w:t>
            </w:r>
          </w:p>
        </w:tc>
        <w:tc>
          <w:tcPr>
            <w:tcW w:w="0" w:type="dxa"/>
            <w:vAlign w:val="bottom"/>
          </w:tcPr>
          <w:p>
            <w:pPr>
              <w:spacing w:after="0"/>
              <w:rPr>
                <w:sz w:val="1"/>
                <w:szCs w:val="1"/>
                <w:color w:val="auto"/>
              </w:rPr>
            </w:pPr>
          </w:p>
        </w:tc>
      </w:tr>
      <w:tr>
        <w:trPr>
          <w:trHeight w:val="175"/>
        </w:trPr>
        <w:tc>
          <w:tcPr>
            <w:tcW w:w="768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10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1,139</w:t>
            </w:r>
          </w:p>
        </w:tc>
        <w:tc>
          <w:tcPr>
            <w:tcW w:w="28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1,991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68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3"/>
                <w:szCs w:val="13"/>
                <w:color w:val="auto"/>
              </w:rPr>
              <w:t>Net cash (used in) provided by operating activities</w:t>
            </w:r>
          </w:p>
        </w:tc>
        <w:tc>
          <w:tcPr>
            <w:tcW w:w="10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(8,414 )</w:t>
            </w:r>
          </w:p>
        </w:tc>
        <w:tc>
          <w:tcPr>
            <w:tcW w:w="48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37,651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3"/>
                <w:szCs w:val="13"/>
                <w:color w:val="auto"/>
              </w:rPr>
              <w:t>Cash flows from investing activities:</w:t>
            </w:r>
          </w:p>
        </w:tc>
        <w:tc>
          <w:tcPr>
            <w:tcW w:w="10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80" w:type="dxa"/>
            <w:vAlign w:val="bottom"/>
            <w:tcBorders>
              <w:top w:val="single" w:sz="8" w:color="CFF0FC"/>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Cash paid for fixed assets</w:t>
            </w:r>
          </w:p>
        </w:tc>
        <w:tc>
          <w:tcPr>
            <w:tcW w:w="104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(32,641 )</w:t>
            </w:r>
          </w:p>
        </w:tc>
        <w:tc>
          <w:tcPr>
            <w:tcW w:w="48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(62,050 )</w:t>
            </w:r>
          </w:p>
        </w:tc>
        <w:tc>
          <w:tcPr>
            <w:tcW w:w="0" w:type="dxa"/>
            <w:vAlign w:val="bottom"/>
          </w:tcPr>
          <w:p>
            <w:pPr>
              <w:spacing w:after="0"/>
              <w:rPr>
                <w:sz w:val="1"/>
                <w:szCs w:val="1"/>
                <w:color w:val="auto"/>
              </w:rPr>
            </w:pPr>
          </w:p>
        </w:tc>
      </w:tr>
      <w:tr>
        <w:trPr>
          <w:trHeight w:val="175"/>
        </w:trPr>
        <w:tc>
          <w:tcPr>
            <w:tcW w:w="76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Cash paid for acquisitions, net of cash acquired</w:t>
            </w:r>
          </w:p>
        </w:tc>
        <w:tc>
          <w:tcPr>
            <w:tcW w:w="104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(100 )</w:t>
            </w:r>
          </w:p>
        </w:tc>
        <w:tc>
          <w:tcPr>
            <w:tcW w:w="480" w:type="dxa"/>
            <w:vAlign w:val="bottom"/>
          </w:tcPr>
          <w:p>
            <w:pPr>
              <w:spacing w:after="0"/>
              <w:rPr>
                <w:sz w:val="15"/>
                <w:szCs w:val="15"/>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(725 )</w:t>
            </w:r>
          </w:p>
        </w:tc>
        <w:tc>
          <w:tcPr>
            <w:tcW w:w="0" w:type="dxa"/>
            <w:vAlign w:val="bottom"/>
          </w:tcPr>
          <w:p>
            <w:pPr>
              <w:spacing w:after="0"/>
              <w:rPr>
                <w:sz w:val="1"/>
                <w:szCs w:val="1"/>
                <w:color w:val="auto"/>
              </w:rPr>
            </w:pPr>
          </w:p>
        </w:tc>
      </w:tr>
      <w:tr>
        <w:trPr>
          <w:trHeight w:val="17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Proceeds from investments</w:t>
            </w:r>
          </w:p>
        </w:tc>
        <w:tc>
          <w:tcPr>
            <w:tcW w:w="104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998</w:t>
            </w:r>
          </w:p>
        </w:tc>
        <w:tc>
          <w:tcPr>
            <w:tcW w:w="280" w:type="dxa"/>
            <w:vAlign w:val="bottom"/>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68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104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(31,743 )</w:t>
            </w:r>
          </w:p>
        </w:tc>
        <w:tc>
          <w:tcPr>
            <w:tcW w:w="480" w:type="dxa"/>
            <w:vAlign w:val="bottom"/>
          </w:tcPr>
          <w:p>
            <w:pPr>
              <w:spacing w:after="0"/>
              <w:rPr>
                <w:sz w:val="14"/>
                <w:szCs w:val="14"/>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(62,775 )</w:t>
            </w:r>
          </w:p>
        </w:tc>
        <w:tc>
          <w:tcPr>
            <w:tcW w:w="0" w:type="dxa"/>
            <w:vAlign w:val="bottom"/>
          </w:tcPr>
          <w:p>
            <w:pPr>
              <w:spacing w:after="0"/>
              <w:rPr>
                <w:sz w:val="1"/>
                <w:szCs w:val="1"/>
                <w:color w:val="auto"/>
              </w:rPr>
            </w:pPr>
          </w:p>
        </w:tc>
      </w:tr>
      <w:tr>
        <w:trPr>
          <w:trHeight w:val="16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Cash flows from financing activities:</w:t>
            </w:r>
          </w:p>
        </w:tc>
        <w:tc>
          <w:tcPr>
            <w:tcW w:w="104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80" w:type="dxa"/>
            <w:vAlign w:val="bottom"/>
            <w:tcBorders>
              <w:top w:val="single" w:sz="8" w:color="auto"/>
            </w:tcBorders>
            <w:shd w:val="clear" w:color="auto" w:fill="CFF0FC"/>
          </w:tcPr>
          <w:p>
            <w:pPr>
              <w:spacing w:after="0"/>
              <w:rPr>
                <w:sz w:val="14"/>
                <w:szCs w:val="14"/>
                <w:color w:val="auto"/>
              </w:rPr>
            </w:pPr>
          </w:p>
        </w:tc>
        <w:tc>
          <w:tcPr>
            <w:tcW w:w="110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Borrowings under long-term debt agreements</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173,000</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Repayments of long-term debt</w:t>
            </w:r>
          </w:p>
        </w:tc>
        <w:tc>
          <w:tcPr>
            <w:tcW w:w="104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(173,000 )</w:t>
            </w:r>
          </w:p>
        </w:tc>
        <w:tc>
          <w:tcPr>
            <w:tcW w:w="48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(35,000 )</w:t>
            </w:r>
          </w:p>
        </w:tc>
        <w:tc>
          <w:tcPr>
            <w:tcW w:w="0" w:type="dxa"/>
            <w:vAlign w:val="bottom"/>
          </w:tcPr>
          <w:p>
            <w:pPr>
              <w:spacing w:after="0"/>
              <w:rPr>
                <w:sz w:val="1"/>
                <w:szCs w:val="1"/>
                <w:color w:val="auto"/>
              </w:rPr>
            </w:pPr>
          </w:p>
        </w:tc>
      </w:tr>
      <w:tr>
        <w:trPr>
          <w:trHeight w:val="175"/>
        </w:trPr>
        <w:tc>
          <w:tcPr>
            <w:tcW w:w="76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Debt refinancing costs</w:t>
            </w:r>
          </w:p>
        </w:tc>
        <w:tc>
          <w:tcPr>
            <w:tcW w:w="104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(2,955 )</w:t>
            </w:r>
          </w:p>
        </w:tc>
        <w:tc>
          <w:tcPr>
            <w:tcW w:w="48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Payments for finance lease liabilities</w:t>
            </w:r>
          </w:p>
        </w:tc>
        <w:tc>
          <w:tcPr>
            <w:tcW w:w="104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(1,444 )</w:t>
            </w:r>
          </w:p>
        </w:tc>
        <w:tc>
          <w:tcPr>
            <w:tcW w:w="48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(1,250 )</w:t>
            </w:r>
          </w:p>
        </w:tc>
        <w:tc>
          <w:tcPr>
            <w:tcW w:w="0" w:type="dxa"/>
            <w:vAlign w:val="bottom"/>
          </w:tcPr>
          <w:p>
            <w:pPr>
              <w:spacing w:after="0"/>
              <w:rPr>
                <w:sz w:val="1"/>
                <w:szCs w:val="1"/>
                <w:color w:val="auto"/>
              </w:rPr>
            </w:pPr>
          </w:p>
        </w:tc>
      </w:tr>
      <w:tr>
        <w:trPr>
          <w:trHeight w:val="175"/>
        </w:trPr>
        <w:tc>
          <w:tcPr>
            <w:tcW w:w="76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Proceeds from employee stock purchase plan and stock option exercises</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830</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Tax withholdings on stock-based awards</w:t>
            </w:r>
          </w:p>
        </w:tc>
        <w:tc>
          <w:tcPr>
            <w:tcW w:w="104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(2,059 )</w:t>
            </w:r>
          </w:p>
        </w:tc>
        <w:tc>
          <w:tcPr>
            <w:tcW w:w="48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(2,210 )</w:t>
            </w:r>
          </w:p>
        </w:tc>
        <w:tc>
          <w:tcPr>
            <w:tcW w:w="0" w:type="dxa"/>
            <w:vAlign w:val="bottom"/>
          </w:tcPr>
          <w:p>
            <w:pPr>
              <w:spacing w:after="0"/>
              <w:rPr>
                <w:sz w:val="1"/>
                <w:szCs w:val="1"/>
                <w:color w:val="auto"/>
              </w:rPr>
            </w:pPr>
          </w:p>
        </w:tc>
      </w:tr>
      <w:tr>
        <w:trPr>
          <w:trHeight w:val="20"/>
        </w:trPr>
        <w:tc>
          <w:tcPr>
            <w:tcW w:w="7680" w:type="dxa"/>
            <w:vAlign w:val="bottom"/>
            <w:vMerge w:val="restart"/>
          </w:tcPr>
          <w:p>
            <w:pPr>
              <w:ind w:left="740"/>
              <w:spacing w:after="0"/>
              <w:rPr>
                <w:sz w:val="20"/>
                <w:szCs w:val="20"/>
                <w:color w:val="auto"/>
              </w:rPr>
            </w:pPr>
            <w:r>
              <w:rPr>
                <w:rFonts w:ascii="Times New Roman" w:cs="Times New Roman" w:eastAsia="Times New Roman" w:hAnsi="Times New Roman"/>
                <w:sz w:val="13"/>
                <w:szCs w:val="13"/>
                <w:color w:val="auto"/>
              </w:rPr>
              <w:t>Net cash used in financing activities</w:t>
            </w:r>
          </w:p>
        </w:tc>
        <w:tc>
          <w:tcPr>
            <w:tcW w:w="10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68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(5,628 )</w:t>
            </w:r>
          </w:p>
        </w:tc>
        <w:tc>
          <w:tcPr>
            <w:tcW w:w="480" w:type="dxa"/>
            <w:vAlign w:val="bottom"/>
          </w:tcPr>
          <w:p>
            <w:pPr>
              <w:spacing w:after="0"/>
              <w:rPr>
                <w:sz w:val="14"/>
                <w:szCs w:val="14"/>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(37,082 )</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decrease in cash, cash equivalents and restricted cash</w:t>
            </w:r>
          </w:p>
        </w:tc>
        <w:tc>
          <w:tcPr>
            <w:tcW w:w="10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(45,785 )</w:t>
            </w:r>
          </w:p>
        </w:tc>
        <w:tc>
          <w:tcPr>
            <w:tcW w:w="4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(62,206 )</w:t>
            </w:r>
          </w:p>
        </w:tc>
        <w:tc>
          <w:tcPr>
            <w:tcW w:w="0" w:type="dxa"/>
            <w:vAlign w:val="bottom"/>
          </w:tcPr>
          <w:p>
            <w:pPr>
              <w:spacing w:after="0"/>
              <w:rPr>
                <w:sz w:val="1"/>
                <w:szCs w:val="1"/>
                <w:color w:val="auto"/>
              </w:rPr>
            </w:pPr>
          </w:p>
        </w:tc>
      </w:tr>
      <w:tr>
        <w:trPr>
          <w:trHeight w:val="175"/>
        </w:trPr>
        <w:tc>
          <w:tcPr>
            <w:tcW w:w="7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at beginning of period</w:t>
            </w:r>
          </w:p>
        </w:tc>
        <w:tc>
          <w:tcPr>
            <w:tcW w:w="10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136,649</w:t>
            </w:r>
          </w:p>
        </w:tc>
        <w:tc>
          <w:tcPr>
            <w:tcW w:w="28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213,727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at end of period</w:t>
            </w:r>
          </w:p>
        </w:tc>
        <w:tc>
          <w:tcPr>
            <w:tcW w:w="1040" w:type="dxa"/>
            <w:vAlign w:val="bottom"/>
            <w:tcBorders>
              <w:bottom w:val="single" w:sz="8" w:color="auto"/>
            </w:tcBorders>
            <w:shd w:val="clear" w:color="auto" w:fill="CFF0FC"/>
          </w:tcPr>
          <w:p>
            <w:pPr>
              <w:jc w:val="right"/>
              <w:ind w:right="894"/>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90,864</w:t>
            </w:r>
          </w:p>
        </w:tc>
        <w:tc>
          <w:tcPr>
            <w:tcW w:w="28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ind w:right="333"/>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151,521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Supplemental cash flow disclosures:</w:t>
            </w: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Interest paid, net</w:t>
            </w:r>
          </w:p>
        </w:tc>
        <w:tc>
          <w:tcPr>
            <w:tcW w:w="1040" w:type="dxa"/>
            <w:vAlign w:val="bottom"/>
            <w:shd w:val="clear" w:color="auto" w:fill="CFF0FC"/>
          </w:tcPr>
          <w:p>
            <w:pPr>
              <w:jc w:val="right"/>
              <w:ind w:right="894"/>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34,357</w:t>
            </w:r>
          </w:p>
        </w:tc>
        <w:tc>
          <w:tcPr>
            <w:tcW w:w="280" w:type="dxa"/>
            <w:vAlign w:val="bottom"/>
            <w:shd w:val="clear" w:color="auto" w:fill="CFF0FC"/>
          </w:tcPr>
          <w:p>
            <w:pPr>
              <w:spacing w:after="0"/>
              <w:rPr>
                <w:sz w:val="15"/>
                <w:szCs w:val="15"/>
                <w:color w:val="auto"/>
              </w:rPr>
            </w:pPr>
          </w:p>
        </w:tc>
        <w:tc>
          <w:tcPr>
            <w:tcW w:w="480" w:type="dxa"/>
            <w:vAlign w:val="bottom"/>
            <w:shd w:val="clear" w:color="auto" w:fill="CFF0FC"/>
          </w:tcPr>
          <w:p>
            <w:pPr>
              <w:jc w:val="right"/>
              <w:ind w:right="333"/>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37,121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Income taxes paid</w:t>
            </w:r>
          </w:p>
        </w:tc>
        <w:tc>
          <w:tcPr>
            <w:tcW w:w="1040" w:type="dxa"/>
            <w:vAlign w:val="bottom"/>
          </w:tcPr>
          <w:p>
            <w:pPr>
              <w:jc w:val="right"/>
              <w:ind w:right="894"/>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1,282</w:t>
            </w:r>
          </w:p>
        </w:tc>
        <w:tc>
          <w:tcPr>
            <w:tcW w:w="280" w:type="dxa"/>
            <w:vAlign w:val="bottom"/>
          </w:tcPr>
          <w:p>
            <w:pPr>
              <w:spacing w:after="0"/>
              <w:rPr>
                <w:sz w:val="15"/>
                <w:szCs w:val="15"/>
                <w:color w:val="auto"/>
              </w:rPr>
            </w:pPr>
          </w:p>
        </w:tc>
        <w:tc>
          <w:tcPr>
            <w:tcW w:w="480" w:type="dxa"/>
            <w:vAlign w:val="bottom"/>
          </w:tcPr>
          <w:p>
            <w:pPr>
              <w:jc w:val="right"/>
              <w:ind w:right="333"/>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8,934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Supplemental non-cash investing and financing activities disclosure:</w:t>
            </w: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Accounts payable and accrued expenses for capital expenditures</w:t>
            </w:r>
          </w:p>
        </w:tc>
        <w:tc>
          <w:tcPr>
            <w:tcW w:w="1040" w:type="dxa"/>
            <w:vAlign w:val="bottom"/>
          </w:tcPr>
          <w:p>
            <w:pPr>
              <w:jc w:val="right"/>
              <w:ind w:right="894"/>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14,541</w:t>
            </w:r>
          </w:p>
        </w:tc>
        <w:tc>
          <w:tcPr>
            <w:tcW w:w="280" w:type="dxa"/>
            <w:vAlign w:val="bottom"/>
          </w:tcPr>
          <w:p>
            <w:pPr>
              <w:spacing w:after="0"/>
              <w:rPr>
                <w:sz w:val="15"/>
                <w:szCs w:val="15"/>
                <w:color w:val="auto"/>
              </w:rPr>
            </w:pPr>
          </w:p>
        </w:tc>
        <w:tc>
          <w:tcPr>
            <w:tcW w:w="480" w:type="dxa"/>
            <w:vAlign w:val="bottom"/>
          </w:tcPr>
          <w:p>
            <w:pPr>
              <w:jc w:val="right"/>
              <w:ind w:right="333"/>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24,767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-2413635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-2413635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5883275</wp:posOffset>
            </wp:positionH>
            <wp:positionV relativeFrom="paragraph">
              <wp:posOffset>-1972310</wp:posOffset>
            </wp:positionV>
            <wp:extent cx="93980" cy="1536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3980" cy="15367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-1972310</wp:posOffset>
            </wp:positionV>
            <wp:extent cx="93980" cy="1536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3980" cy="153670"/>
                    </a:xfrm>
                    <a:prstGeom prst="rect">
                      <a:avLst/>
                    </a:prstGeom>
                    <a:noFill/>
                  </pic:spPr>
                </pic:pic>
              </a:graphicData>
            </a:graphic>
          </wp:anchor>
        </w:drawing>
        <w:drawing>
          <wp:anchor simplePos="0" relativeHeight="251657728" behindDoc="1" locked="0" layoutInCell="0" allowOverlap="1">
            <wp:simplePos x="0" y="0"/>
            <wp:positionH relativeFrom="column">
              <wp:posOffset>5883275</wp:posOffset>
            </wp:positionH>
            <wp:positionV relativeFrom="paragraph">
              <wp:posOffset>-1064895</wp:posOffset>
            </wp:positionV>
            <wp:extent cx="93980" cy="1536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3980" cy="15367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-1064895</wp:posOffset>
            </wp:positionV>
            <wp:extent cx="93980" cy="1536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3980" cy="15367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-581025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-563880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-581025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-563880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8" w:name="page9"/>
    <w:bookmarkEnd w:id="8"/>
    <w:p>
      <w:pPr>
        <w:ind w:left="3480"/>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p>
      <w:pPr>
        <w:spacing w:after="0" w:line="11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Petco Health and Wellness Company, Inc. (together with its consolidated subsidiaries, the “Company”) is a pet health and wellness company focused on improving the lives of pets, pet parents, and its own partners. The Company manages its business as one reportable operating segment.</w:t>
      </w:r>
    </w:p>
    <w:p>
      <w:pPr>
        <w:spacing w:after="0" w:line="163" w:lineRule="exact"/>
        <w:rPr>
          <w:sz w:val="20"/>
          <w:szCs w:val="20"/>
          <w:color w:val="auto"/>
        </w:rPr>
      </w:pPr>
    </w:p>
    <w:p>
      <w:pPr>
        <w:ind w:right="200" w:firstLine="509"/>
        <w:spacing w:after="0" w:line="265" w:lineRule="auto"/>
        <w:rPr>
          <w:sz w:val="20"/>
          <w:szCs w:val="20"/>
          <w:color w:val="auto"/>
        </w:rPr>
      </w:pPr>
      <w:r>
        <w:rPr>
          <w:rFonts w:ascii="Times New Roman" w:cs="Times New Roman" w:eastAsia="Times New Roman" w:hAnsi="Times New Roman"/>
          <w:sz w:val="18"/>
          <w:szCs w:val="18"/>
          <w:color w:val="auto"/>
        </w:rPr>
        <w:t>In the opinion of management, the accompanying consolidated financial statements contain all adjustments necessary for a fair presentation as prescribed by accounting principles generally accepted in the United States (“GAAP”). All adjustments were comprised of normal recurring adjustments, except as noted in these Notes to Consolidated Financial Statements.</w:t>
      </w:r>
    </w:p>
    <w:p>
      <w:pPr>
        <w:spacing w:after="0" w:line="177" w:lineRule="exact"/>
        <w:rPr>
          <w:sz w:val="20"/>
          <w:szCs w:val="20"/>
          <w:color w:val="auto"/>
        </w:rPr>
      </w:pPr>
    </w:p>
    <w:p>
      <w:pPr>
        <w:ind w:right="740" w:firstLine="509"/>
        <w:spacing w:after="0" w:line="281" w:lineRule="auto"/>
        <w:rPr>
          <w:sz w:val="20"/>
          <w:szCs w:val="20"/>
          <w:color w:val="auto"/>
        </w:rPr>
      </w:pPr>
      <w:r>
        <w:rPr>
          <w:rFonts w:ascii="Times New Roman" w:cs="Times New Roman" w:eastAsia="Times New Roman" w:hAnsi="Times New Roman"/>
          <w:sz w:val="18"/>
          <w:szCs w:val="18"/>
          <w:color w:val="auto"/>
        </w:rPr>
        <w:t>There have been no significant changes from the significant accounting policies disclosed in Note 1 of the Notes to Consolidated Financial Statements included in the Company’s Annual Report on Form 10-K for the fiscal year ended February 3, 2024.</w:t>
      </w:r>
    </w:p>
    <w:p>
      <w:pPr>
        <w:spacing w:after="0" w:line="163"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GAAP for interim financial information and the instructions to Form 10-Q and Article 10 of Regulation S-X. Accordingly, they do not include all of the information and footnotes required by GAAP for complete financial statements. Interim financial results are not necessarily indicative of results anticipated for the full year. The accompanying consolidated financial statements and these Notes to Consolidated Financial Statements should be read in conjunction with the audited consolidated financial statements and Notes to Consolidated Financial Statements included in the Company’s Annual Report on Form 10-K for the fiscal year ended February 3, 2024, from which the prior year balance sheet information herein was derived.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preparation of these consolidated financial statements in conformity with GAAP requires management to make estimates and assumptions that affect the reported amounts of assets and liabilities, disclosure of contingent assets and liabilities at the date of the consolidated financial statements and the reported amounts of revenues and expenses during the reporting periods. These estimates are based on information that is currently available and on various other assumptions that are believed to be reasonable under the circumstances. Actual results could vary from those estimates under different assumptions or conditions.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22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November 2022, the Company entered into a series of interest rate cap agreements to limit the maximum interest on a portion of the Company’s variable-rate debt and decrease its exposure to interest rate variability relating to the three-month Secured Overnight Financing Rate as published by CME Group ("Term SOFR"). The interest rate caps became effective December 30, 2022 and expire on December 31, 2024. The interest rate caps are accounted for as cash flow hedges, and changes in the fair value of the interest rate caps are reported as a component of accumulated other comprehensive income (loss) ("AOCI").</w:t>
      </w:r>
    </w:p>
    <w:p>
      <w:pPr>
        <w:spacing w:after="0" w:line="182" w:lineRule="exact"/>
        <w:rPr>
          <w:sz w:val="20"/>
          <w:szCs w:val="20"/>
          <w:color w:val="auto"/>
        </w:rPr>
      </w:pPr>
    </w:p>
    <w:p>
      <w:pPr>
        <w:ind w:right="100" w:firstLine="509"/>
        <w:spacing w:after="0" w:line="265" w:lineRule="auto"/>
        <w:rPr>
          <w:sz w:val="20"/>
          <w:szCs w:val="20"/>
          <w:color w:val="auto"/>
        </w:rPr>
      </w:pPr>
      <w:r>
        <w:rPr>
          <w:rFonts w:ascii="Times New Roman" w:cs="Times New Roman" w:eastAsia="Times New Roman" w:hAnsi="Times New Roman"/>
          <w:sz w:val="18"/>
          <w:szCs w:val="18"/>
          <w:color w:val="auto"/>
        </w:rPr>
        <w:t>In March 2023, the Company entered into an interest rate collar agreement to limit the maximum interest on a portion of the Company’s variable-rate debt and decrease its exposure to interest rate variability relating to three-month Term SOFR. The interest rate collar became effective March 31, 2023 and expires on March 31, 2026.</w:t>
      </w:r>
    </w:p>
    <w:p>
      <w:pPr>
        <w:spacing w:after="0" w:line="177" w:lineRule="exact"/>
        <w:rPr>
          <w:sz w:val="20"/>
          <w:szCs w:val="20"/>
          <w:color w:val="auto"/>
        </w:rPr>
      </w:pPr>
    </w:p>
    <w:p>
      <w:pPr>
        <w:jc w:val="both"/>
        <w:ind w:right="100" w:firstLine="509"/>
        <w:spacing w:after="0" w:line="265" w:lineRule="auto"/>
        <w:rPr>
          <w:sz w:val="20"/>
          <w:szCs w:val="20"/>
          <w:color w:val="auto"/>
        </w:rPr>
      </w:pPr>
      <w:r>
        <w:rPr>
          <w:rFonts w:ascii="Times New Roman" w:cs="Times New Roman" w:eastAsia="Times New Roman" w:hAnsi="Times New Roman"/>
          <w:sz w:val="18"/>
          <w:szCs w:val="18"/>
          <w:color w:val="auto"/>
        </w:rPr>
        <w:t>In June 2023, the Company entered into an interest rate collar agreement to limit the maximum interest on a portion of the Company’s variable-rate debt and decrease its exposure to interest rate variability relating to three-month Term SOFR. The interest rate collar became effective September 30, 2023 and expires on December 31, 2026.</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9" w:name="page10"/>
    <w:bookmarkEnd w:id="9"/>
    <w:p>
      <w:pPr>
        <w:ind w:right="480" w:firstLine="509"/>
        <w:spacing w:after="0" w:line="265" w:lineRule="auto"/>
        <w:rPr>
          <w:sz w:val="20"/>
          <w:szCs w:val="20"/>
          <w:color w:val="auto"/>
        </w:rPr>
      </w:pPr>
      <w:r>
        <w:rPr>
          <w:rFonts w:ascii="Times New Roman" w:cs="Times New Roman" w:eastAsia="Times New Roman" w:hAnsi="Times New Roman"/>
          <w:sz w:val="18"/>
          <w:szCs w:val="18"/>
          <w:color w:val="auto"/>
        </w:rPr>
        <w:t>In December 2023, the Company entered into an interest rate collar agreement to limit the maximum interest on a portion of the Company’s variable-rate debt and decrease its exposure to interest rate variability relating to three-month Term SOFR. The interest rate collar becomes effective December 31, 2024 and expires on December 31, 2026.</w:t>
      </w:r>
    </w:p>
    <w:p>
      <w:pPr>
        <w:spacing w:after="0" w:line="177"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In March 2024, the Company entered into two interest rate collar agreements to limit the maximum interest on a portion of the Company’s variable-rate debt and decrease its exposure to interest rate variability relating to three-month Term SOFR. The interest rate collars become effective on December 31, 2024 and expire on December 31, 2026.</w:t>
      </w:r>
    </w:p>
    <w:p>
      <w:pPr>
        <w:spacing w:after="0" w:line="177"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8"/>
          <w:szCs w:val="18"/>
          <w:color w:val="auto"/>
        </w:rPr>
        <w:t>The interest rate collars are accounted for as cash flow hedges, and changes in the fair value of the interest rate collars are reported as a component of AOCI.</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right="260" w:firstLine="509"/>
        <w:spacing w:after="0" w:line="281"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in the consolidated balance sheets to the total amounts reported in the consolidated statements of cash flows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May 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89,717</w:t>
            </w:r>
          </w:p>
        </w:tc>
        <w:tc>
          <w:tcPr>
            <w:tcW w:w="4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125,428</w:t>
            </w:r>
          </w:p>
        </w:tc>
        <w:tc>
          <w:tcPr>
            <w:tcW w:w="80" w:type="dxa"/>
            <w:vAlign w:val="bottom"/>
            <w:shd w:val="clear" w:color="auto" w:fill="CFF0FC"/>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included in other current assets</w:t>
            </w: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11,221</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 in</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FF0FC"/>
          </w:tcPr>
          <w:p>
            <w:pPr>
              <w:spacing w:after="0"/>
              <w:rPr>
                <w:sz w:val="18"/>
                <w:szCs w:val="18"/>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90,864</w:t>
            </w:r>
          </w:p>
        </w:tc>
        <w:tc>
          <w:tcPr>
            <w:tcW w:w="220" w:type="dxa"/>
            <w:vAlign w:val="bottom"/>
            <w:vMerge w:val="restart"/>
            <w:shd w:val="clear" w:color="auto" w:fill="CFF0FC"/>
          </w:tcPr>
          <w:p>
            <w:pPr>
              <w:spacing w:after="0"/>
              <w:rPr>
                <w:sz w:val="18"/>
                <w:szCs w:val="18"/>
                <w:color w:val="auto"/>
              </w:rPr>
            </w:pPr>
          </w:p>
        </w:tc>
        <w:tc>
          <w:tcPr>
            <w:tcW w:w="18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136,649</w:t>
            </w:r>
          </w:p>
        </w:tc>
        <w:tc>
          <w:tcPr>
            <w:tcW w:w="80" w:type="dxa"/>
            <w:vAlign w:val="bottom"/>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1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the statement of cash flows</w:t>
            </w:r>
          </w:p>
        </w:tc>
        <w:tc>
          <w:tcPr>
            <w:tcW w:w="140" w:type="dxa"/>
            <w:vAlign w:val="bottom"/>
            <w:tcBorders>
              <w:bottom w:val="single" w:sz="8" w:color="auto"/>
            </w:tcBorders>
            <w:vMerge w:val="continue"/>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vMerge w:val="continue"/>
            <w:shd w:val="clear" w:color="auto" w:fill="CFF0FC"/>
          </w:tcPr>
          <w:p>
            <w:pPr>
              <w:spacing w:after="0"/>
              <w:rPr>
                <w:sz w:val="21"/>
                <w:szCs w:val="21"/>
                <w:color w:val="auto"/>
              </w:rPr>
            </w:pPr>
          </w:p>
        </w:tc>
        <w:tc>
          <w:tcPr>
            <w:tcW w:w="220" w:type="dxa"/>
            <w:vAlign w:val="bottom"/>
            <w:tcBorders>
              <w:bottom w:val="single" w:sz="8" w:color="CFF0FC"/>
            </w:tcBorders>
            <w:vMerge w:val="continue"/>
            <w:shd w:val="clear" w:color="auto" w:fill="CFF0FC"/>
          </w:tcPr>
          <w:p>
            <w:pPr>
              <w:spacing w:after="0"/>
              <w:rPr>
                <w:sz w:val="21"/>
                <w:szCs w:val="21"/>
                <w:color w:val="auto"/>
              </w:rPr>
            </w:pPr>
          </w:p>
        </w:tc>
        <w:tc>
          <w:tcPr>
            <w:tcW w:w="180" w:type="dxa"/>
            <w:vAlign w:val="bottom"/>
            <w:tcBorders>
              <w:bottom w:val="single" w:sz="8" w:color="auto"/>
            </w:tcBorders>
            <w:gridSpan w:val="2"/>
            <w:vMerge w:val="continue"/>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vMerge w:val="continue"/>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03"/>
        </w:trPr>
        <w:tc>
          <w:tcPr>
            <w:tcW w:w="7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2. Revenue Recognition</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73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Net sales by product type and services were as follows (in thousands):</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60" w:type="dxa"/>
            <w:vAlign w:val="bottom"/>
            <w:gridSpan w:val="10"/>
          </w:tcPr>
          <w:p>
            <w:pPr>
              <w:ind w:left="7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131"/>
        </w:trPr>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118"/>
              <w:spacing w:after="0" w:line="131" w:lineRule="exact"/>
              <w:rPr>
                <w:sz w:val="20"/>
                <w:szCs w:val="20"/>
                <w:color w:val="auto"/>
              </w:rPr>
            </w:pPr>
            <w:r>
              <w:rPr>
                <w:rFonts w:ascii="Times New Roman" w:cs="Times New Roman" w:eastAsia="Times New Roman" w:hAnsi="Times New Roman"/>
                <w:sz w:val="14"/>
                <w:szCs w:val="14"/>
                <w:b w:val="1"/>
                <w:bCs w:val="1"/>
                <w:color w:val="auto"/>
              </w:rPr>
              <w:t>May 4,</w:t>
            </w: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3"/>
          </w:tcPr>
          <w:p>
            <w:pPr>
              <w:jc w:val="right"/>
              <w:ind w:right="440"/>
              <w:spacing w:after="0" w:line="131" w:lineRule="exact"/>
              <w:rPr>
                <w:sz w:val="20"/>
                <w:szCs w:val="20"/>
                <w:color w:val="auto"/>
              </w:rPr>
            </w:pPr>
            <w:r>
              <w:rPr>
                <w:rFonts w:ascii="Times New Roman" w:cs="Times New Roman" w:eastAsia="Times New Roman" w:hAnsi="Times New Roman"/>
                <w:sz w:val="14"/>
                <w:szCs w:val="14"/>
                <w:b w:val="1"/>
                <w:bCs w:val="1"/>
                <w:color w:val="auto"/>
              </w:rPr>
              <w:t>April 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6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Consumables</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763,974</w:t>
            </w:r>
          </w:p>
        </w:tc>
        <w:tc>
          <w:tcPr>
            <w:tcW w:w="10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763,051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Supplies and companion animals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515,757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553,545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67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Services and other</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249,409</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239,312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1,529,140</w:t>
            </w:r>
          </w:p>
        </w:tc>
        <w:tc>
          <w:tcPr>
            <w:tcW w:w="10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1,555,908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-1960245</wp:posOffset>
            </wp:positionV>
            <wp:extent cx="514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-1943100</wp:posOffset>
            </wp:positionV>
            <wp:extent cx="514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-1960245</wp:posOffset>
            </wp:positionV>
            <wp:extent cx="514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-1943100</wp:posOffset>
            </wp:positionV>
            <wp:extent cx="514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5638800</wp:posOffset>
            </wp:positionH>
            <wp:positionV relativeFrom="paragraph">
              <wp:posOffset>-187960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-187960</wp:posOffset>
            </wp:positionV>
            <wp:extent cx="596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Goodwill</w:t>
      </w:r>
    </w:p>
    <w:p>
      <w:pPr>
        <w:spacing w:after="0" w:line="229" w:lineRule="exact"/>
        <w:rPr>
          <w:sz w:val="20"/>
          <w:szCs w:val="20"/>
          <w:color w:val="auto"/>
        </w:rPr>
      </w:pPr>
    </w:p>
    <w:p>
      <w:pPr>
        <w:ind w:right="60" w:firstLine="515"/>
        <w:spacing w:after="0" w:line="256" w:lineRule="auto"/>
        <w:rPr>
          <w:sz w:val="20"/>
          <w:szCs w:val="20"/>
          <w:color w:val="auto"/>
        </w:rPr>
      </w:pPr>
      <w:r>
        <w:rPr>
          <w:rFonts w:ascii="Times New Roman" w:cs="Times New Roman" w:eastAsia="Times New Roman" w:hAnsi="Times New Roman"/>
          <w:sz w:val="18"/>
          <w:szCs w:val="18"/>
          <w:color w:val="auto"/>
        </w:rPr>
        <w:t>During the first quarter of fiscal 2024, due to declines in the Company's share price, the Company performed an interim impairment test of its goodwill and trade name. As the estimated fair value of the Company's reporting unit was in excess of its carrying value, the Company concluded that the carrying amount of goodwill was recoverable and did not record a goodwill impairment charge during the first quarter of fiscal 2024. The fair value of the Company's reporting unit was based upon an equal weighting of the income and market approaches, utilizing estimated cash flows and a terminal value, discounted at a rate of return that reflects the relative risk of the cash flows, as well as valuation multiples derived from comparable publicly traded companies that are applied to operating performance of the reporting unit.</w:t>
      </w:r>
    </w:p>
    <w:p>
      <w:pPr>
        <w:spacing w:after="0" w:line="78" w:lineRule="exact"/>
        <w:rPr>
          <w:sz w:val="20"/>
          <w:szCs w:val="20"/>
          <w:color w:val="auto"/>
        </w:rPr>
      </w:pPr>
    </w:p>
    <w:p>
      <w:pPr>
        <w:jc w:val="both"/>
        <w:ind w:right="120" w:firstLine="515"/>
        <w:spacing w:after="0" w:line="265" w:lineRule="auto"/>
        <w:rPr>
          <w:sz w:val="20"/>
          <w:szCs w:val="20"/>
          <w:color w:val="auto"/>
        </w:rPr>
      </w:pPr>
      <w:r>
        <w:rPr>
          <w:rFonts w:ascii="Times New Roman" w:cs="Times New Roman" w:eastAsia="Times New Roman" w:hAnsi="Times New Roman"/>
          <w:sz w:val="18"/>
          <w:szCs w:val="18"/>
          <w:color w:val="auto"/>
        </w:rPr>
        <w:t>Significant assumptions used in the determination of fair value of the reporting unit generally include prospective financial information, discount rates, terminal growth rates, and earnings multiples. The discounted cash flow model used to determine the fair value of the reporting unit during the first quarter of fiscal 2024 reflected the Company's most recent cash flow projections, a discount rate of 13.2%, and a terminal growth rate of 3%. The</w:t>
      </w:r>
    </w:p>
    <w:p>
      <w:pPr>
        <w:spacing w:after="0" w:line="1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466725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8" w:right="4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reporting unit fair value measurement is classified as Level 3 in the fair value hierarchy because it involves significant unobservable inputs.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Senior Secured Credit Facilities</w:t>
      </w:r>
    </w:p>
    <w:p>
      <w:pPr>
        <w:spacing w:after="0" w:line="121" w:lineRule="exact"/>
        <w:rPr>
          <w:sz w:val="20"/>
          <w:szCs w:val="20"/>
          <w:color w:val="auto"/>
        </w:rPr>
      </w:pPr>
    </w:p>
    <w:p>
      <w:pPr>
        <w:ind w:firstLine="515"/>
        <w:spacing w:after="0" w:line="254" w:lineRule="auto"/>
        <w:rPr>
          <w:sz w:val="20"/>
          <w:szCs w:val="20"/>
          <w:color w:val="auto"/>
        </w:rPr>
      </w:pPr>
      <w:r>
        <w:rPr>
          <w:rFonts w:ascii="Times New Roman" w:cs="Times New Roman" w:eastAsia="Times New Roman" w:hAnsi="Times New Roman"/>
          <w:sz w:val="18"/>
          <w:szCs w:val="18"/>
          <w:color w:val="auto"/>
        </w:rPr>
        <w:t>On March 4, 2021, the Company entered into a $1,700.0 million secured term loan facility maturing on March 4, 2028 (the “First Lien Term Loan”) and a secured asset-based revolving credit facility with availability of up to $500.0 million, subject to a borrowing base, maturing on March 4, 2026 (the “ABL Revolving Credit Facility”). In March 2024, the Company amended the ABL Revolving Credit Facility, which now consists of two tranches, to increase its total availability from $500.0 million to $581.0 million and extend the maturity on a portion of this availability. The first tranche has availability of up to $35.0 million, subject to a borrowing base, maturing on March 4, 2026. The second tranche has availability of up to $546.0 million, subject to a borrowing base, maturing on March 29, 2029. Interest on the ABL Revolving Credit Facility is now based on, at the Company's option, either the base rate subject to a 1% floor, or Term SOFR subject to a floor of 0%, plus an applicable margin. All other key terms of the ABL Revolving Credit Facility remained unchanged.</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May 4, 2024, the Company was in compliance with its covenants under the First Lien Term Loan and the ABL Revolving Credit Facility.</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 Facilities</w:t>
      </w:r>
    </w:p>
    <w:p>
      <w:pPr>
        <w:spacing w:after="0" w:line="229" w:lineRule="exact"/>
        <w:rPr>
          <w:sz w:val="20"/>
          <w:szCs w:val="20"/>
          <w:color w:val="auto"/>
        </w:rPr>
      </w:pPr>
    </w:p>
    <w:p>
      <w:pPr>
        <w:ind w:right="100" w:firstLine="515"/>
        <w:spacing w:after="0" w:line="258" w:lineRule="auto"/>
        <w:rPr>
          <w:sz w:val="20"/>
          <w:szCs w:val="20"/>
          <w:color w:val="auto"/>
        </w:rPr>
      </w:pPr>
      <w:r>
        <w:rPr>
          <w:rFonts w:ascii="Times New Roman" w:cs="Times New Roman" w:eastAsia="Times New Roman" w:hAnsi="Times New Roman"/>
          <w:sz w:val="18"/>
          <w:szCs w:val="18"/>
          <w:color w:val="auto"/>
        </w:rPr>
        <w:t>Interest on the First Lien Term Loan is based on, at the Company’s option, either a base rate or Term SOFR plus the credit spread adjustment recommended by the Alternative Reference Rates Committee ("Adjusted Term SOFR"), subject to a 0.75% floor, payable upon maturity of the SOFR contract, in either case plus the applicable rate. The base rate is the greater of the bank prime rate, federal funds effective rate plus 0.5% or Adjusted Term SOFR plus 1.0%. The applicable rate is 2.25% per annum for a base rate loan or 3.25% per annum for an Adjusted Term SOFR loan. Principal and interest payments commenced on June 30, 2021. Principal payments are normally $4.25 million quarterly.</w:t>
      </w:r>
    </w:p>
    <w:p>
      <w:pPr>
        <w:spacing w:after="0" w:line="182" w:lineRule="exact"/>
        <w:rPr>
          <w:sz w:val="20"/>
          <w:szCs w:val="20"/>
          <w:color w:val="auto"/>
        </w:rPr>
      </w:pPr>
    </w:p>
    <w:p>
      <w:pPr>
        <w:ind w:right="20" w:firstLine="515"/>
        <w:spacing w:after="0" w:line="280" w:lineRule="auto"/>
        <w:rPr>
          <w:sz w:val="20"/>
          <w:szCs w:val="20"/>
          <w:color w:val="auto"/>
        </w:rPr>
      </w:pPr>
      <w:r>
        <w:rPr>
          <w:rFonts w:ascii="Times New Roman" w:cs="Times New Roman" w:eastAsia="Times New Roman" w:hAnsi="Times New Roman"/>
          <w:sz w:val="17"/>
          <w:szCs w:val="17"/>
          <w:color w:val="auto"/>
        </w:rPr>
        <w:t>In March 2023, the Company voluntarily prepaid $35.0 million of the First Lien Term Loan using existing cash on hand. The repayment was applied to the remaining principal payments in order of scheduled payment date and, as a result, the entire remaining balance was included in senior secured credit facilities, net, excluding current portion in the consolidated balance sheets as of May 4, 2024 and February 3, 2024. The Company accounted for the repayment as a partial extinguishment and recognized a loss on debt extinguishment of $0.4 million for the thirteen week period ended April 29, 2023.</w:t>
      </w:r>
    </w:p>
    <w:p>
      <w:pPr>
        <w:spacing w:after="0" w:line="166" w:lineRule="exact"/>
        <w:rPr>
          <w:sz w:val="20"/>
          <w:szCs w:val="20"/>
          <w:color w:val="auto"/>
        </w:rPr>
      </w:pPr>
    </w:p>
    <w:p>
      <w:pPr>
        <w:ind w:firstLine="515"/>
        <w:spacing w:after="0" w:line="256" w:lineRule="auto"/>
        <w:rPr>
          <w:sz w:val="20"/>
          <w:szCs w:val="20"/>
          <w:color w:val="auto"/>
        </w:rPr>
      </w:pPr>
      <w:r>
        <w:rPr>
          <w:rFonts w:ascii="Times New Roman" w:cs="Times New Roman" w:eastAsia="Times New Roman" w:hAnsi="Times New Roman"/>
          <w:sz w:val="18"/>
          <w:szCs w:val="18"/>
          <w:color w:val="auto"/>
        </w:rPr>
        <w:t>As of May 4, 2024, the outstanding principal balance of the First Lien Term Loan was $1,595.3 million ($1,579.6 million, net of the unamortized discount and debt issuance costs). As of February 3, 2024, the outstanding principal balance of the First Lien Term Loan was $1,595.3 million ($1,578.6 million, net of the unamortized discount and debt issuance costs). The weighted average interest rate on the borrowings outstanding was 8.9% and 9.0% as of May 4, 2024 and February 3, 2024, respectively. Debt issuance costs are being amortized over the contractual term to interest expense using the effective interest rate in effect at issuance. As of May 4, 2024 and February 3, 2024, the estimated fair value of the First Lien Term Loan was approximately $1,356.0 million and $1,497.6 million, respectively, based upon Level 2 fair value hierarchy inputs.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Facilities</w:t>
      </w:r>
    </w:p>
    <w:p>
      <w:pPr>
        <w:spacing w:after="0" w:line="229" w:lineRule="exact"/>
        <w:rPr>
          <w:sz w:val="20"/>
          <w:szCs w:val="20"/>
          <w:color w:val="auto"/>
        </w:rPr>
      </w:pPr>
    </w:p>
    <w:p>
      <w:pPr>
        <w:ind w:right="240" w:firstLine="515"/>
        <w:spacing w:after="0" w:line="260" w:lineRule="auto"/>
        <w:rPr>
          <w:sz w:val="20"/>
          <w:szCs w:val="20"/>
          <w:color w:val="auto"/>
        </w:rPr>
      </w:pPr>
      <w:r>
        <w:rPr>
          <w:rFonts w:ascii="Times New Roman" w:cs="Times New Roman" w:eastAsia="Times New Roman" w:hAnsi="Times New Roman"/>
          <w:sz w:val="18"/>
          <w:szCs w:val="18"/>
          <w:color w:val="auto"/>
        </w:rPr>
        <w:t>In March 2024, the Company amended the ABL Revolving Credit Facility to increase its total availability and extend the maturity on a portion of the availability. Fees of $3.0 million relating to the Company’s entry into the amendment were capitalized as debt issuance costs. These fees consisted of arranger fees and other third-party expenses. The unamortized portion of the debt issuance costs of the ABL Revolving Credit Facility previously capitalized is being amortized over the amended contractual term.</w:t>
      </w:r>
    </w:p>
    <w:p>
      <w:pPr>
        <w:spacing w:after="0" w:line="182" w:lineRule="exact"/>
        <w:rPr>
          <w:sz w:val="20"/>
          <w:szCs w:val="20"/>
          <w:color w:val="auto"/>
        </w:rPr>
      </w:pPr>
    </w:p>
    <w:p>
      <w:pPr>
        <w:ind w:right="20" w:firstLine="515"/>
        <w:spacing w:after="0" w:line="258" w:lineRule="auto"/>
        <w:rPr>
          <w:sz w:val="20"/>
          <w:szCs w:val="20"/>
          <w:color w:val="auto"/>
        </w:rPr>
      </w:pPr>
      <w:r>
        <w:rPr>
          <w:rFonts w:ascii="Times New Roman" w:cs="Times New Roman" w:eastAsia="Times New Roman" w:hAnsi="Times New Roman"/>
          <w:sz w:val="18"/>
          <w:szCs w:val="18"/>
          <w:color w:val="auto"/>
        </w:rPr>
        <w:t>As of May 4, 2024 and February 3, 2024, no amounts were outstanding under the ABL Revolving Credit Facility. At May 4, 2024, $527.6 million was available under the ABL Revolving Credit Facility, which is net of $53.4 million of outstanding letters of credit issued in the normal course of business and no borrowing base reduction for a shortfall in qualifying assets. As of May 4, 2024 and February 3, 2024, unamortized debt issuance costs of $5.1 million and $2.4 million, respectively, relating to the ABL Revolving Credit Facility were outstanding and were being amortized using the straight-line method over the remaining term of the agreement.</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1" w:name="page12"/>
    <w:bookmarkEnd w:id="11"/>
    <w:p>
      <w:pPr>
        <w:ind w:right="120" w:firstLine="509"/>
        <w:spacing w:after="0" w:line="280" w:lineRule="auto"/>
        <w:rPr>
          <w:sz w:val="20"/>
          <w:szCs w:val="20"/>
          <w:color w:val="auto"/>
        </w:rPr>
      </w:pPr>
      <w:r>
        <w:rPr>
          <w:rFonts w:ascii="Times New Roman" w:cs="Times New Roman" w:eastAsia="Times New Roman" w:hAnsi="Times New Roman"/>
          <w:sz w:val="17"/>
          <w:szCs w:val="17"/>
          <w:color w:val="auto"/>
        </w:rPr>
        <w:t>The ABL Revolving Credit Facility has availability up to $581.0 million and a $150.0 million letter of credit sub-facility. The availability is limited to a borrowing base, which allows borrowings of up to 90% of eligible accounts receivable plus 90% of the net orderly liquidation value of eligible inventory plus up to $50.0 million of qualified cash of the Company to which the Company and guarantors have no access, less reserves as determined by the administrative agent. Letters of credit reduce the amount available to borrow under the ABL Revolving Credit Facility by their face value.</w:t>
      </w:r>
    </w:p>
    <w:p>
      <w:pPr>
        <w:spacing w:after="0" w:line="166"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Prior to the March 2024 amendment, interest on the ABL Revolving Credit Facility was based on, at the Company’s option, either the base rate or Adjusted Term SOFR subject to a floor of 0%, in either case, plus an applicable margin. Following the March 2024 amendment, interest on the ABL Revolving Credit Facility is now based on, at the Company’s option, either the base rate subject to a 1% floor, or Term SOFR subject to a floor of 0%, plus an applicable margin. The applicable margin is currently equal to 25 basis points in the case of base rate loans and 125 basis points in the case of Term SOFR loans.</w:t>
      </w:r>
    </w:p>
    <w:p>
      <w:pPr>
        <w:spacing w:after="0" w:line="182" w:lineRule="exact"/>
        <w:rPr>
          <w:sz w:val="20"/>
          <w:szCs w:val="20"/>
          <w:color w:val="auto"/>
        </w:rPr>
      </w:pPr>
    </w:p>
    <w:p>
      <w:pPr>
        <w:ind w:right="100" w:firstLine="509"/>
        <w:spacing w:after="0" w:line="281" w:lineRule="auto"/>
        <w:rPr>
          <w:sz w:val="20"/>
          <w:szCs w:val="20"/>
          <w:color w:val="auto"/>
        </w:rPr>
      </w:pPr>
      <w:r>
        <w:rPr>
          <w:rFonts w:ascii="Times New Roman" w:cs="Times New Roman" w:eastAsia="Times New Roman" w:hAnsi="Times New Roman"/>
          <w:sz w:val="18"/>
          <w:szCs w:val="18"/>
          <w:color w:val="auto"/>
        </w:rPr>
        <w:t>The applicable margin is adjusted quarterly based on the average historical excess availability as a percentage of the Line Cap, which represents the lesser of the aggregate ABL Revolving Credit Facility and the borrowing base, as follows:</w:t>
      </w:r>
    </w:p>
    <w:p>
      <w:pPr>
        <w:spacing w:after="0" w:line="15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0" w:type="dxa"/>
            <w:vAlign w:val="bottom"/>
          </w:tcPr>
          <w:p>
            <w:pPr>
              <w:spacing w:after="0"/>
              <w:rPr>
                <w:sz w:val="1"/>
                <w:szCs w:val="1"/>
                <w:color w:val="auto"/>
              </w:rPr>
            </w:pPr>
          </w:p>
        </w:tc>
      </w:tr>
      <w:tr>
        <w:trPr>
          <w:trHeight w:val="148"/>
        </w:trPr>
        <w:tc>
          <w:tcPr>
            <w:tcW w:w="6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3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Margin</w:t>
            </w:r>
          </w:p>
        </w:tc>
        <w:tc>
          <w:tcPr>
            <w:tcW w:w="0" w:type="dxa"/>
            <w:vAlign w:val="bottom"/>
          </w:tcPr>
          <w:p>
            <w:pPr>
              <w:spacing w:after="0"/>
              <w:rPr>
                <w:sz w:val="1"/>
                <w:szCs w:val="1"/>
                <w:color w:val="auto"/>
              </w:rPr>
            </w:pPr>
          </w:p>
        </w:tc>
      </w:tr>
      <w:tr>
        <w:trPr>
          <w:trHeight w:val="148"/>
        </w:trPr>
        <w:tc>
          <w:tcPr>
            <w:tcW w:w="6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Average Historical Excess Availability</w:t>
            </w:r>
          </w:p>
        </w:tc>
        <w:tc>
          <w:tcPr>
            <w:tcW w:w="160" w:type="dxa"/>
            <w:vAlign w:val="bottom"/>
          </w:tcPr>
          <w:p>
            <w:pPr>
              <w:spacing w:after="0"/>
              <w:rPr>
                <w:sz w:val="12"/>
                <w:szCs w:val="12"/>
                <w:color w:val="auto"/>
              </w:rPr>
            </w:pPr>
          </w:p>
        </w:tc>
        <w:tc>
          <w:tcPr>
            <w:tcW w:w="15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Margin for</w:t>
            </w:r>
          </w:p>
        </w:tc>
        <w:tc>
          <w:tcPr>
            <w:tcW w:w="13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for Base Rate</w:t>
            </w:r>
          </w:p>
        </w:tc>
        <w:tc>
          <w:tcPr>
            <w:tcW w:w="0" w:type="dxa"/>
            <w:vAlign w:val="bottom"/>
          </w:tcPr>
          <w:p>
            <w:pPr>
              <w:spacing w:after="0"/>
              <w:rPr>
                <w:sz w:val="1"/>
                <w:szCs w:val="1"/>
                <w:color w:val="auto"/>
              </w:rPr>
            </w:pPr>
          </w:p>
        </w:tc>
      </w:tr>
      <w:tr>
        <w:trPr>
          <w:trHeight w:val="187"/>
        </w:trPr>
        <w:tc>
          <w:tcPr>
            <w:tcW w:w="602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 SOFR Loans</w:t>
            </w:r>
          </w:p>
        </w:tc>
        <w:tc>
          <w:tcPr>
            <w:tcW w:w="24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Loans</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Less than 33.3% of the Line Cap</w:t>
            </w:r>
          </w:p>
        </w:tc>
        <w:tc>
          <w:tcPr>
            <w:tcW w:w="16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1.75 %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0.75 %</w:t>
            </w:r>
          </w:p>
        </w:tc>
        <w:tc>
          <w:tcPr>
            <w:tcW w:w="0" w:type="dxa"/>
            <w:vAlign w:val="bottom"/>
          </w:tcPr>
          <w:p>
            <w:pPr>
              <w:spacing w:after="0"/>
              <w:rPr>
                <w:sz w:val="1"/>
                <w:szCs w:val="1"/>
                <w:color w:val="auto"/>
              </w:rPr>
            </w:pPr>
          </w:p>
        </w:tc>
      </w:tr>
      <w:tr>
        <w:trPr>
          <w:trHeight w:val="219"/>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Less than 66.7% but greater than or equal to 33.3% of</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Line Cap</w:t>
            </w:r>
          </w:p>
        </w:tc>
        <w:tc>
          <w:tcPr>
            <w:tcW w:w="16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1.50 %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0.50 %</w:t>
            </w:r>
          </w:p>
        </w:tc>
        <w:tc>
          <w:tcPr>
            <w:tcW w:w="0" w:type="dxa"/>
            <w:vAlign w:val="bottom"/>
          </w:tcPr>
          <w:p>
            <w:pPr>
              <w:spacing w:after="0"/>
              <w:rPr>
                <w:sz w:val="1"/>
                <w:szCs w:val="1"/>
                <w:color w:val="auto"/>
              </w:rPr>
            </w:pPr>
          </w:p>
        </w:tc>
      </w:tr>
      <w:tr>
        <w:trPr>
          <w:trHeight w:val="243"/>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Greater than or equal to 66.7% of the Line Cap</w:t>
            </w:r>
          </w:p>
        </w:tc>
        <w:tc>
          <w:tcPr>
            <w:tcW w:w="16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1.25 %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-589915</wp:posOffset>
            </wp:positionV>
            <wp:extent cx="5702300"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02300" cy="154305"/>
                    </a:xfrm>
                    <a:prstGeom prst="rect">
                      <a:avLst/>
                    </a:prstGeom>
                    <a:noFill/>
                  </pic:spPr>
                </pic:pic>
              </a:graphicData>
            </a:graphic>
          </wp:anchor>
        </w:drawing>
        <w:drawing>
          <wp:anchor simplePos="0" relativeHeight="251657728" behindDoc="1" locked="0" layoutInCell="0" allowOverlap="1">
            <wp:simplePos x="0" y="0"/>
            <wp:positionH relativeFrom="column">
              <wp:posOffset>724535</wp:posOffset>
            </wp:positionH>
            <wp:positionV relativeFrom="paragraph">
              <wp:posOffset>-144780</wp:posOffset>
            </wp:positionV>
            <wp:extent cx="5702300" cy="1543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02300" cy="154305"/>
                    </a:xfrm>
                    <a:prstGeom prst="rect">
                      <a:avLst/>
                    </a:prstGeom>
                    <a:noFill/>
                  </pic:spPr>
                </pic:pic>
              </a:graphicData>
            </a:graphic>
          </wp:anchor>
        </w:drawing>
      </w:r>
    </w:p>
    <w:p>
      <w:pPr>
        <w:spacing w:after="0" w:line="258" w:lineRule="exact"/>
        <w:rPr>
          <w:sz w:val="20"/>
          <w:szCs w:val="20"/>
          <w:color w:val="auto"/>
        </w:rPr>
      </w:pPr>
    </w:p>
    <w:p>
      <w:pPr>
        <w:ind w:right="920" w:firstLine="509"/>
        <w:spacing w:after="0" w:line="281" w:lineRule="auto"/>
        <w:rPr>
          <w:sz w:val="20"/>
          <w:szCs w:val="20"/>
          <w:color w:val="auto"/>
        </w:rPr>
      </w:pPr>
      <w:r>
        <w:rPr>
          <w:rFonts w:ascii="Times New Roman" w:cs="Times New Roman" w:eastAsia="Times New Roman" w:hAnsi="Times New Roman"/>
          <w:sz w:val="18"/>
          <w:szCs w:val="18"/>
          <w:color w:val="auto"/>
        </w:rPr>
        <w:t>The ABL Revolving Credit Facility is subject to an unused commitment fee. If the actual daily utilized portion exceeds 50%, the unused commitment fee is 0.25%. Otherwise, the unused commitment fee is 0.375% and is not dependent upon excess availability.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Derivative Instruments</w:t>
      </w:r>
    </w:p>
    <w:p>
      <w:pPr>
        <w:spacing w:after="0" w:line="229"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The interest rate caps and collars are accounted for as cash flow hedges because they are expected to be highly effective in hedging variable rate interest payments. Changes in the fair value of the cash flow hedges are reported as a component of AOCI. As of May 4, 2024, AOCI included unrealized gains of $5.1 million ($3.9 million, net of tax). As of February 3, 2024, AOCI included unrealized losses of $2.2 million ($1.7 million, net of tax). Approximately $1.1 million of pre-tax gains and $0.6 million of pre-tax losses deferred in AOCI were reclassified to interest expense during the thirteen week periods ended May 4, 2024 and April 29, 2023, respectively. The Company currently estimates that $2.3 million of losses related to trade date costs on its cash flow hedges that are currently deferred in AOCI will be reclassified to interest expense in the consolidated statement of operations within the next twelve months. This estimate could vary based on actual amounts as a result of changes in market conditions.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cash flow hedges are reflected in the Company’s consolidated balance sheets as follows (in thousands):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vMerge w:val="restart"/>
          </w:tcPr>
          <w:p>
            <w:pPr>
              <w:ind w:left="1520"/>
              <w:spacing w:after="0"/>
              <w:rPr>
                <w:sz w:val="20"/>
                <w:szCs w:val="20"/>
                <w:color w:val="auto"/>
              </w:rPr>
            </w:pPr>
            <w:r>
              <w:rPr>
                <w:rFonts w:ascii="Times New Roman" w:cs="Times New Roman" w:eastAsia="Times New Roman" w:hAnsi="Times New Roman"/>
                <w:sz w:val="14"/>
                <w:szCs w:val="14"/>
                <w:b w:val="1"/>
                <w:bCs w:val="1"/>
                <w:color w:val="auto"/>
              </w:rPr>
              <w:t>Assets (Liabilities)</w:t>
            </w:r>
          </w:p>
        </w:tc>
        <w:tc>
          <w:tcPr>
            <w:tcW w:w="200" w:type="dxa"/>
            <w:vAlign w:val="bottom"/>
          </w:tcPr>
          <w:p>
            <w:pPr>
              <w:spacing w:after="0"/>
              <w:rPr>
                <w:sz w:val="13"/>
                <w:szCs w:val="13"/>
                <w:color w:val="auto"/>
              </w:rPr>
            </w:pPr>
          </w:p>
        </w:tc>
        <w:tc>
          <w:tcPr>
            <w:tcW w:w="3060" w:type="dxa"/>
            <w:vAlign w:val="bottom"/>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May 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0" w:type="dxa"/>
            <w:vAlign w:val="bottom"/>
          </w:tcPr>
          <w:p>
            <w:pPr>
              <w:spacing w:after="0"/>
              <w:rPr>
                <w:sz w:val="1"/>
                <w:szCs w:val="1"/>
                <w:color w:val="auto"/>
              </w:rPr>
            </w:pPr>
          </w:p>
        </w:tc>
      </w:tr>
      <w:tr>
        <w:trPr>
          <w:trHeight w:val="187"/>
        </w:trPr>
        <w:tc>
          <w:tcPr>
            <w:tcW w:w="414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306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asset portion of cash flow hedges</w:t>
            </w:r>
          </w:p>
        </w:tc>
        <w:tc>
          <w:tcPr>
            <w:tcW w:w="200" w:type="dxa"/>
            <w:vAlign w:val="bottom"/>
            <w:shd w:val="clear" w:color="auto" w:fill="CFF0FC"/>
          </w:tcPr>
          <w:p>
            <w:pPr>
              <w:spacing w:after="0"/>
              <w:rPr>
                <w:sz w:val="20"/>
                <w:szCs w:val="20"/>
                <w:color w:val="auto"/>
              </w:rPr>
            </w:pPr>
          </w:p>
        </w:tc>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52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3,703</w:t>
            </w:r>
          </w:p>
        </w:tc>
        <w:tc>
          <w:tcPr>
            <w:tcW w:w="5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 portion of cash flow</w:t>
            </w:r>
          </w:p>
        </w:tc>
        <w:tc>
          <w:tcPr>
            <w:tcW w:w="20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hedges</w:t>
            </w:r>
          </w:p>
        </w:tc>
        <w:tc>
          <w:tcPr>
            <w:tcW w:w="2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liability portion of cash flow</w:t>
            </w:r>
          </w:p>
        </w:tc>
        <w:tc>
          <w:tcPr>
            <w:tcW w:w="200" w:type="dxa"/>
            <w:vAlign w:val="bottom"/>
            <w:shd w:val="clear" w:color="auto" w:fill="CFF0FC"/>
          </w:tcPr>
          <w:p>
            <w:pPr>
              <w:spacing w:after="0"/>
              <w:rPr>
                <w:sz w:val="18"/>
                <w:szCs w:val="18"/>
                <w:color w:val="auto"/>
              </w:rPr>
            </w:pPr>
          </w:p>
        </w:tc>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1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hedges</w:t>
            </w:r>
          </w:p>
        </w:tc>
        <w:tc>
          <w:tcPr>
            <w:tcW w:w="200" w:type="dxa"/>
            <w:vAlign w:val="bottom"/>
            <w:shd w:val="clear" w:color="auto" w:fill="CFF0FC"/>
          </w:tcPr>
          <w:p>
            <w:pPr>
              <w:spacing w:after="0"/>
              <w:rPr>
                <w:sz w:val="21"/>
                <w:szCs w:val="21"/>
                <w:color w:val="auto"/>
              </w:rPr>
            </w:pPr>
          </w:p>
        </w:tc>
        <w:tc>
          <w:tcPr>
            <w:tcW w:w="3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(124 )</w:t>
            </w:r>
          </w:p>
        </w:tc>
        <w:tc>
          <w:tcPr>
            <w:tcW w:w="0" w:type="dxa"/>
            <w:vAlign w:val="bottom"/>
          </w:tcPr>
          <w:p>
            <w:pPr>
              <w:spacing w:after="0"/>
              <w:rPr>
                <w:sz w:val="1"/>
                <w:szCs w:val="1"/>
                <w:color w:val="auto"/>
              </w:rPr>
            </w:pPr>
          </w:p>
        </w:tc>
      </w:tr>
      <w:tr>
        <w:trPr>
          <w:trHeight w:val="211"/>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liability portion of cash flow</w:t>
            </w:r>
          </w:p>
        </w:tc>
        <w:tc>
          <w:tcPr>
            <w:tcW w:w="20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(3,067 )</w:t>
            </w:r>
          </w:p>
        </w:tc>
        <w:tc>
          <w:tcPr>
            <w:tcW w:w="0" w:type="dxa"/>
            <w:vAlign w:val="bottom"/>
          </w:tcPr>
          <w:p>
            <w:pPr>
              <w:spacing w:after="0"/>
              <w:rPr>
                <w:sz w:val="1"/>
                <w:szCs w:val="1"/>
                <w:color w:val="auto"/>
              </w:rPr>
            </w:pPr>
          </w:p>
        </w:tc>
      </w:tr>
      <w:tr>
        <w:trPr>
          <w:trHeight w:val="234"/>
        </w:trPr>
        <w:tc>
          <w:tcPr>
            <w:tcW w:w="4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hedges</w:t>
            </w:r>
          </w:p>
        </w:tc>
        <w:tc>
          <w:tcPr>
            <w:tcW w:w="2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cash flow hedges</w:t>
            </w:r>
          </w:p>
        </w:tc>
        <w:tc>
          <w:tcPr>
            <w:tcW w:w="200" w:type="dxa"/>
            <w:vAlign w:val="bottom"/>
            <w:shd w:val="clear" w:color="auto" w:fill="CFF0FC"/>
          </w:tcPr>
          <w:p>
            <w:pPr>
              <w:spacing w:after="0"/>
              <w:rPr>
                <w:sz w:val="23"/>
                <w:szCs w:val="23"/>
                <w:color w:val="auto"/>
              </w:rPr>
            </w:pPr>
          </w:p>
        </w:tc>
        <w:tc>
          <w:tcPr>
            <w:tcW w:w="306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6,346</w:t>
            </w:r>
          </w:p>
        </w:tc>
        <w:tc>
          <w:tcPr>
            <w:tcW w:w="100" w:type="dxa"/>
            <w:vAlign w:val="bottom"/>
            <w:shd w:val="clear" w:color="auto" w:fill="CFF0FC"/>
          </w:tcPr>
          <w:p>
            <w:pPr>
              <w:spacing w:after="0"/>
              <w:rPr>
                <w:sz w:val="23"/>
                <w:szCs w:val="23"/>
                <w:color w:val="auto"/>
              </w:rPr>
            </w:pP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(932 )</w:t>
            </w:r>
          </w:p>
        </w:tc>
        <w:tc>
          <w:tcPr>
            <w:tcW w:w="0" w:type="dxa"/>
            <w:vAlign w:val="bottom"/>
          </w:tcPr>
          <w:p>
            <w:pPr>
              <w:spacing w:after="0"/>
              <w:rPr>
                <w:sz w:val="1"/>
                <w:szCs w:val="1"/>
                <w:color w:val="auto"/>
              </w:rPr>
            </w:pPr>
          </w:p>
        </w:tc>
      </w:tr>
      <w:tr>
        <w:trPr>
          <w:trHeight w:val="848"/>
        </w:trPr>
        <w:tc>
          <w:tcPr>
            <w:tcW w:w="4140" w:type="dxa"/>
            <w:vAlign w:val="bottom"/>
            <w:tcBorders>
              <w:top w:val="single" w:sz="8" w:color="CFF0FC"/>
            </w:tcBorders>
          </w:tcPr>
          <w:p>
            <w:pPr>
              <w:spacing w:after="0"/>
              <w:rPr>
                <w:sz w:val="24"/>
                <w:szCs w:val="24"/>
                <w:color w:val="auto"/>
              </w:rPr>
            </w:pPr>
          </w:p>
        </w:tc>
        <w:tc>
          <w:tcPr>
            <w:tcW w:w="3260" w:type="dxa"/>
            <w:vAlign w:val="bottom"/>
            <w:tcBorders>
              <w:top w:val="single" w:sz="8" w:color="CFF0FC"/>
            </w:tcBorders>
            <w:gridSpan w:val="2"/>
          </w:tcPr>
          <w:p>
            <w:pPr>
              <w:jc w:val="right"/>
              <w:ind w:right="1593"/>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4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5827395</wp:posOffset>
            </wp:positionH>
            <wp:positionV relativeFrom="paragraph">
              <wp:posOffset>-1069975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-1052830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-1069975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-1052830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6. Fair Value Measurements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on a Recurring Basis</w:t>
      </w:r>
    </w:p>
    <w:p>
      <w:pPr>
        <w:spacing w:after="0" w:line="121" w:lineRule="exact"/>
        <w:rPr>
          <w:sz w:val="20"/>
          <w:szCs w:val="20"/>
          <w:color w:val="auto"/>
        </w:rPr>
      </w:pPr>
    </w:p>
    <w:p>
      <w:pPr>
        <w:ind w:right="260" w:firstLine="509"/>
        <w:spacing w:after="0" w:line="281" w:lineRule="auto"/>
        <w:rPr>
          <w:sz w:val="20"/>
          <w:szCs w:val="20"/>
          <w:color w:val="auto"/>
        </w:rPr>
      </w:pPr>
      <w:r>
        <w:rPr>
          <w:rFonts w:ascii="Times New Roman" w:cs="Times New Roman" w:eastAsia="Times New Roman" w:hAnsi="Times New Roman"/>
          <w:sz w:val="18"/>
          <w:szCs w:val="18"/>
          <w:color w:val="auto"/>
        </w:rPr>
        <w:t>The following table presents information about assets and liabilities that are measured at fair value on a recurring basis and indicate the fair value hierarchy of the valuation techniques utilized to determine such fair value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4"/>
                <w:szCs w:val="14"/>
                <w:color w:val="auto"/>
              </w:rPr>
            </w:pPr>
          </w:p>
        </w:tc>
        <w:tc>
          <w:tcPr>
            <w:tcW w:w="10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4"/>
                <w:szCs w:val="14"/>
                <w:color w:val="auto"/>
              </w:rPr>
            </w:pP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 (liabilities):</w:t>
            </w:r>
          </w:p>
        </w:tc>
        <w:tc>
          <w:tcPr>
            <w:tcW w:w="26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33,888</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Investments of officers' life insurance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15,493</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Non-qualified deferred compensation plan</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(21,095 )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427"/>
        </w:trPr>
        <w:tc>
          <w:tcPr>
            <w:tcW w:w="66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February 3, 2024</w:t>
            </w: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6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4"/>
                <w:szCs w:val="14"/>
                <w:color w:val="auto"/>
              </w:rPr>
            </w:pPr>
          </w:p>
        </w:tc>
        <w:tc>
          <w:tcPr>
            <w:tcW w:w="10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4"/>
                <w:szCs w:val="14"/>
                <w:color w:val="auto"/>
              </w:rPr>
            </w:pP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 (liabilities):</w:t>
            </w:r>
          </w:p>
        </w:tc>
        <w:tc>
          <w:tcPr>
            <w:tcW w:w="26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80,186</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Investments of officers' life insurance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14,945</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Non-qualified deferred compensation plan</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(20,355 )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r>
    </w:tbl>
    <w:p>
      <w:pPr>
        <w:spacing w:after="0" w:line="273"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The fair value of money market mutual funds is based on quoted market prices, such as quoted net asset values published by the fund as supported in an active market. Money market mutual funds included in the Company’s cash and cash equivalents were $33.8 million and $69.6 million as of May 4,</w:t>
      </w:r>
    </w:p>
    <w:p>
      <w:pPr>
        <w:spacing w:after="0" w:line="1" w:lineRule="exact"/>
        <w:rPr>
          <w:sz w:val="20"/>
          <w:szCs w:val="20"/>
          <w:color w:val="auto"/>
        </w:rPr>
      </w:pPr>
    </w:p>
    <w:p>
      <w:pPr>
        <w:jc w:val="both"/>
        <w:ind w:right="120"/>
        <w:spacing w:after="0" w:line="255" w:lineRule="auto"/>
        <w:rPr>
          <w:sz w:val="20"/>
          <w:szCs w:val="20"/>
          <w:color w:val="auto"/>
        </w:rPr>
      </w:pPr>
      <w:r>
        <w:rPr>
          <w:rFonts w:ascii="Times New Roman" w:cs="Times New Roman" w:eastAsia="Times New Roman" w:hAnsi="Times New Roman"/>
          <w:sz w:val="18"/>
          <w:szCs w:val="18"/>
          <w:color w:val="auto"/>
        </w:rPr>
        <w:t>2024 and February 3, 2024, respectively. Also included in the Company’s money market mutual funds balances were $0.1 million and $10.6 million as of May 4, 2024 and February 3, 2024, respectively, which relate to the Company’s restricted cash, and are included in other current assets in the consolidated balance sheets.</w:t>
      </w:r>
    </w:p>
    <w:p>
      <w:pPr>
        <w:spacing w:after="0" w:line="185" w:lineRule="exact"/>
        <w:rPr>
          <w:sz w:val="20"/>
          <w:szCs w:val="20"/>
          <w:color w:val="auto"/>
        </w:rPr>
      </w:pPr>
    </w:p>
    <w:p>
      <w:pPr>
        <w:jc w:val="both"/>
        <w:ind w:right="300" w:firstLine="509"/>
        <w:spacing w:after="0" w:line="265" w:lineRule="auto"/>
        <w:rPr>
          <w:sz w:val="20"/>
          <w:szCs w:val="20"/>
          <w:color w:val="auto"/>
        </w:rPr>
      </w:pPr>
      <w:r>
        <w:rPr>
          <w:rFonts w:ascii="Times New Roman" w:cs="Times New Roman" w:eastAsia="Times New Roman" w:hAnsi="Times New Roman"/>
          <w:sz w:val="18"/>
          <w:szCs w:val="18"/>
          <w:color w:val="auto"/>
        </w:rPr>
        <w:t>The Company maintains a deferred compensation plan for key executives and other members of management, which is funded by investments in officers’ life insurance. The fair value of this obligation is based on participants’ elected investments, which reflect the closing market prices of similar assets.</w:t>
      </w:r>
    </w:p>
    <w:p>
      <w:pPr>
        <w:spacing w:after="0" w:line="177" w:lineRule="exact"/>
        <w:rPr>
          <w:sz w:val="20"/>
          <w:szCs w:val="20"/>
          <w:color w:val="auto"/>
        </w:rPr>
      </w:pPr>
    </w:p>
    <w:p>
      <w:pPr>
        <w:ind w:right="160" w:firstLine="509"/>
        <w:spacing w:after="0" w:line="260" w:lineRule="auto"/>
        <w:rPr>
          <w:sz w:val="20"/>
          <w:szCs w:val="20"/>
          <w:color w:val="auto"/>
        </w:rPr>
      </w:pPr>
      <w:r>
        <w:rPr>
          <w:rFonts w:ascii="Times New Roman" w:cs="Times New Roman" w:eastAsia="Times New Roman" w:hAnsi="Times New Roman"/>
          <w:sz w:val="18"/>
          <w:szCs w:val="18"/>
          <w:color w:val="auto"/>
        </w:rPr>
        <w:t>In February 2022, the Company amended a collaboration agreement with a vendor, and as part of the amendment the Company was granted a right to receive equity and warrants for common shares of the vendor that is subject to certain performance conditions and other contingencies. The Company's interest in these rights is accounted for as an investment in an equity security without a readily determinable fair value. When an upward or downward adjustment occurs, the resulting gains or losses are included in other non-operating income in the consolidated statements of operations.</w:t>
      </w:r>
    </w:p>
    <w:p>
      <w:pPr>
        <w:spacing w:after="0" w:line="182"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In April 2023, the Company sold its interest in Rover Group, Inc. Class A common stock to a buyer at a price determined based on the daily volume weighted average price, in addition to a premium, over an agreed upon period. The Company's interest in the unsettled cash proceeds were remeasured at fair value at each reporting period, and the resulting gains or losses were included in other non-operating income in the consolidated statements of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Measured on a Non-Recurring Basis</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Company’s non-financial assets, which primarily consist of goodwill, other intangible assets, fixed assets and equity and other investments, are reported at carrying value, or at fair value as of the date of the Company’s acquisition of Petco Holdings, Inc. LLC on January 26, 2016, and are not required to be measured at fair value on a recurring basis. However, on a periodic basis (at least annually for goodwill and indefinite-lived intangibles or whenever events or changes in circumstances indicate that the carrying value of an asset may not be recoverable), non-financial assets are assessed for impairment. If impaired, the carrying values of the assets are written down to fair value using Level 3 inputs.</w:t>
      </w:r>
    </w:p>
    <w:p>
      <w:pPr>
        <w:spacing w:after="0" w:line="74" w:lineRule="exact"/>
        <w:rPr>
          <w:sz w:val="20"/>
          <w:szCs w:val="20"/>
          <w:color w:val="auto"/>
        </w:rPr>
      </w:pPr>
    </w:p>
    <w:p>
      <w:pPr>
        <w:ind w:right="100" w:firstLine="509"/>
        <w:spacing w:after="0" w:line="265" w:lineRule="auto"/>
        <w:rPr>
          <w:sz w:val="20"/>
          <w:szCs w:val="20"/>
          <w:color w:val="auto"/>
        </w:rPr>
      </w:pPr>
      <w:r>
        <w:rPr>
          <w:rFonts w:ascii="Times New Roman" w:cs="Times New Roman" w:eastAsia="Times New Roman" w:hAnsi="Times New Roman"/>
          <w:sz w:val="18"/>
          <w:szCs w:val="18"/>
          <w:color w:val="auto"/>
        </w:rPr>
        <w:t>The Company’s trade name has an indefinite life. The Company performs its annual impairment test during the fourth quarter of each fiscal year, or more frequently when warranted by events or changes in circumstances. During the first quarter of fiscal 2024, due to declines in the Company's share price, the Company performed an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3" w:name="page14"/>
    <w:bookmarkEnd w:id="13"/>
    <w:p>
      <w:pPr>
        <w:ind w:right="20"/>
        <w:spacing w:after="0" w:line="281" w:lineRule="auto"/>
        <w:rPr>
          <w:sz w:val="20"/>
          <w:szCs w:val="20"/>
          <w:color w:val="auto"/>
        </w:rPr>
      </w:pPr>
      <w:r>
        <w:rPr>
          <w:rFonts w:ascii="Times New Roman" w:cs="Times New Roman" w:eastAsia="Times New Roman" w:hAnsi="Times New Roman"/>
          <w:sz w:val="18"/>
          <w:szCs w:val="18"/>
          <w:color w:val="auto"/>
        </w:rPr>
        <w:t>interim impairment test of its goodwill and indefinite-lived trade name. Refer to Note 3 for further discussion of the results of impairment testing performed on the Company’s goodwill.</w:t>
      </w:r>
    </w:p>
    <w:p>
      <w:pPr>
        <w:spacing w:after="0" w:line="5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fair value of the Company’s trade name was estimated by management using the relief from royalty valuation method, which estimates the hypothetical royalties that would have to be paid if the trade name was not owned. The fair value of the Company's trade name reflected the Company's most recent revenue projections, a discount rate of 14.2% and a terminal growth rate of 3%. The Company concluded that the fair value of its trade name exceeded its carrying value, and therefore no trade name impairment charge was recorded during the first quarter of fiscal 2024. The Company's trade name fair value measurement is classified as Level 3 in the fair value hierarchy because it involves significant unobservable inputs.</w:t>
      </w:r>
    </w:p>
    <w:p>
      <w:pPr>
        <w:spacing w:after="0" w:line="182" w:lineRule="exact"/>
        <w:rPr>
          <w:sz w:val="20"/>
          <w:szCs w:val="20"/>
          <w:color w:val="auto"/>
        </w:rPr>
      </w:pPr>
    </w:p>
    <w:p>
      <w:pPr>
        <w:ind w:right="240" w:firstLine="509"/>
        <w:spacing w:after="0" w:line="265" w:lineRule="auto"/>
        <w:rPr>
          <w:sz w:val="20"/>
          <w:szCs w:val="20"/>
          <w:color w:val="auto"/>
        </w:rPr>
      </w:pPr>
      <w:r>
        <w:rPr>
          <w:rFonts w:ascii="Times New Roman" w:cs="Times New Roman" w:eastAsia="Times New Roman" w:hAnsi="Times New Roman"/>
          <w:sz w:val="18"/>
          <w:szCs w:val="18"/>
          <w:color w:val="auto"/>
        </w:rPr>
        <w:t>There were no indications of impairment of the Company’s equity and other investments during the thirteen week periods ended May 4, 2024 and April 29, 2023. During the thirteen week periods ended May 4, 2024 and April 29, 2023, the Company recorded fixed asset and right-of-use asset impairment charges of $3.5 million and $0.1 million, respectively.</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Stockholders’ Equity</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229" w:lineRule="exact"/>
        <w:rPr>
          <w:sz w:val="20"/>
          <w:szCs w:val="20"/>
          <w:color w:val="auto"/>
        </w:rPr>
      </w:pPr>
    </w:p>
    <w:p>
      <w:pPr>
        <w:jc w:val="both"/>
        <w:ind w:right="360" w:firstLine="509"/>
        <w:spacing w:after="0" w:line="265" w:lineRule="auto"/>
        <w:rPr>
          <w:sz w:val="20"/>
          <w:szCs w:val="20"/>
          <w:color w:val="auto"/>
        </w:rPr>
      </w:pPr>
      <w:r>
        <w:rPr>
          <w:rFonts w:ascii="Times New Roman" w:cs="Times New Roman" w:eastAsia="Times New Roman" w:hAnsi="Times New Roman"/>
          <w:sz w:val="18"/>
          <w:szCs w:val="18"/>
          <w:color w:val="auto"/>
        </w:rPr>
        <w:t>Equity-based compensation awards under the Company’s current equity incentive plan (as amended, the “2021 Equity Incentive Plan”) include restricted stock units (“RSUs,” which include performance-based stock units), restricted stock awards (“RSAs”), non-qualified stock options, and other equity compensation awards. The Company also has an employee stock purchase plan (“ESPP”).</w:t>
      </w:r>
    </w:p>
    <w:p>
      <w:pPr>
        <w:spacing w:after="0" w:line="177" w:lineRule="exact"/>
        <w:rPr>
          <w:sz w:val="20"/>
          <w:szCs w:val="20"/>
          <w:color w:val="auto"/>
        </w:rPr>
      </w:pPr>
    </w:p>
    <w:p>
      <w:pPr>
        <w:jc w:val="both"/>
        <w:ind w:right="100" w:firstLine="509"/>
        <w:spacing w:after="0" w:line="265" w:lineRule="auto"/>
        <w:rPr>
          <w:sz w:val="20"/>
          <w:szCs w:val="20"/>
          <w:color w:val="auto"/>
        </w:rPr>
      </w:pPr>
      <w:r>
        <w:rPr>
          <w:rFonts w:ascii="Times New Roman" w:cs="Times New Roman" w:eastAsia="Times New Roman" w:hAnsi="Times New Roman"/>
          <w:sz w:val="18"/>
          <w:szCs w:val="18"/>
          <w:color w:val="auto"/>
        </w:rPr>
        <w:t>The Company’s controlling parent, Scooby LP, also maintains an incentive plan (the “2016 Incentive Plan”) under which it has awarded partnership unit awards to certain current and former employees, consultants, and non-employee directors of the Company that are restricted profit interests in Scooby LP subject to a distribution threshold (“Series C Units”).</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equity-based compensation expense by award type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5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6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80" w:type="dxa"/>
            <w:vAlign w:val="bottom"/>
            <w:gridSpan w:val="2"/>
          </w:tcPr>
          <w:p>
            <w:pPr>
              <w:jc w:val="right"/>
              <w:ind w:right="762"/>
              <w:spacing w:after="0" w:line="131" w:lineRule="exact"/>
              <w:rPr>
                <w:sz w:val="20"/>
                <w:szCs w:val="20"/>
                <w:color w:val="auto"/>
              </w:rPr>
            </w:pPr>
            <w:r>
              <w:rPr>
                <w:rFonts w:ascii="Times New Roman" w:cs="Times New Roman" w:eastAsia="Times New Roman" w:hAnsi="Times New Roman"/>
                <w:sz w:val="14"/>
                <w:szCs w:val="14"/>
                <w:b w:val="1"/>
                <w:bCs w:val="1"/>
                <w:color w:val="auto"/>
              </w:rPr>
              <w:t>May 4,</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tcPr>
          <w:p>
            <w:pPr>
              <w:jc w:val="right"/>
              <w:ind w:right="694"/>
              <w:spacing w:after="0" w:line="131" w:lineRule="exact"/>
              <w:rPr>
                <w:sz w:val="20"/>
                <w:szCs w:val="20"/>
                <w:color w:val="auto"/>
              </w:rPr>
            </w:pPr>
            <w:r>
              <w:rPr>
                <w:rFonts w:ascii="Times New Roman" w:cs="Times New Roman" w:eastAsia="Times New Roman" w:hAnsi="Times New Roman"/>
                <w:sz w:val="14"/>
                <w:szCs w:val="14"/>
                <w:b w:val="1"/>
                <w:bCs w:val="1"/>
                <w:color w:val="auto"/>
              </w:rPr>
              <w:t>April 29,</w:t>
            </w:r>
          </w:p>
        </w:tc>
        <w:tc>
          <w:tcPr>
            <w:tcW w:w="100" w:type="dxa"/>
            <w:vAlign w:val="bottom"/>
          </w:tcPr>
          <w:p>
            <w:pPr>
              <w:spacing w:after="0"/>
              <w:rPr>
                <w:sz w:val="11"/>
                <w:szCs w:val="11"/>
                <w:color w:val="auto"/>
              </w:rPr>
            </w:pPr>
          </w:p>
        </w:tc>
      </w:tr>
      <w:tr>
        <w:trPr>
          <w:trHeight w:val="187"/>
        </w:trPr>
        <w:tc>
          <w:tcPr>
            <w:tcW w:w="65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8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8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RSUs and RSAs</w:t>
            </w:r>
          </w:p>
        </w:tc>
        <w:tc>
          <w:tcPr>
            <w:tcW w:w="820" w:type="dxa"/>
            <w:vAlign w:val="bottom"/>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10,722</w:t>
            </w:r>
          </w:p>
        </w:tc>
        <w:tc>
          <w:tcPr>
            <w:tcW w:w="6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14,496</w:t>
            </w:r>
          </w:p>
        </w:tc>
        <w:tc>
          <w:tcPr>
            <w:tcW w:w="100" w:type="dxa"/>
            <w:vAlign w:val="bottom"/>
            <w:shd w:val="clear" w:color="auto" w:fill="CFF0FC"/>
          </w:tcPr>
          <w:p>
            <w:pPr>
              <w:spacing w:after="0"/>
              <w:rPr>
                <w:sz w:val="20"/>
                <w:szCs w:val="20"/>
                <w:color w:val="auto"/>
              </w:rPr>
            </w:pPr>
          </w:p>
        </w:tc>
      </w:t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82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5,553</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5,085</w:t>
            </w:r>
          </w:p>
        </w:tc>
        <w:tc>
          <w:tcPr>
            <w:tcW w:w="100" w:type="dxa"/>
            <w:vAlign w:val="bottom"/>
          </w:tcPr>
          <w:p>
            <w:pPr>
              <w:spacing w:after="0"/>
              <w:rPr>
                <w:sz w:val="20"/>
                <w:szCs w:val="20"/>
                <w:color w:val="auto"/>
              </w:rPr>
            </w:pPr>
          </w:p>
        </w:tc>
      </w:tr>
      <w:tr>
        <w:trPr>
          <w:trHeight w:val="247"/>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8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3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shd w:val="clear" w:color="auto" w:fill="CFF0FC"/>
          </w:tcPr>
          <w:p>
            <w:pPr>
              <w:spacing w:after="0"/>
              <w:rPr>
                <w:sz w:val="21"/>
                <w:szCs w:val="21"/>
                <w:color w:val="auto"/>
              </w:rPr>
            </w:pPr>
          </w:p>
        </w:tc>
      </w:t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awards</w:t>
            </w:r>
          </w:p>
        </w:tc>
        <w:tc>
          <w:tcPr>
            <w:tcW w:w="8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100" w:type="dxa"/>
            <w:vAlign w:val="bottom"/>
          </w:tcPr>
          <w:p>
            <w:pPr>
              <w:spacing w:after="0"/>
              <w:rPr>
                <w:sz w:val="20"/>
                <w:szCs w:val="20"/>
                <w:color w:val="auto"/>
              </w:rPr>
            </w:pPr>
          </w:p>
        </w:tc>
      </w:tr>
      <w:tr>
        <w:trPr>
          <w:trHeight w:val="276"/>
        </w:trPr>
        <w:tc>
          <w:tcPr>
            <w:tcW w:w="65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equity-based compensation expense</w:t>
            </w:r>
          </w:p>
        </w:tc>
        <w:tc>
          <w:tcPr>
            <w:tcW w:w="820" w:type="dxa"/>
            <w:vAlign w:val="bottom"/>
            <w:tcBorders>
              <w:bottom w:val="single" w:sz="8" w:color="auto"/>
            </w:tcBorders>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17,434</w:t>
            </w:r>
          </w:p>
        </w:tc>
        <w:tc>
          <w:tcPr>
            <w:tcW w:w="3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spacing w:after="0"/>
              <w:rPr>
                <w:sz w:val="24"/>
                <w:szCs w:val="2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22,129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59"/>
        </w:trPr>
        <w:tc>
          <w:tcPr>
            <w:tcW w:w="74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w w:val="99"/>
              </w:rPr>
              <w:t>Activity under the 2021 Equity Incentive Plan was as follows (shares and dollars in thousands):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6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RSUs and RSAs</w:t>
            </w:r>
          </w:p>
        </w:tc>
        <w:tc>
          <w:tcPr>
            <w:tcW w:w="180" w:type="dxa"/>
            <w:vAlign w:val="bottom"/>
          </w:tcPr>
          <w:p>
            <w:pPr>
              <w:spacing w:after="0"/>
              <w:rPr>
                <w:sz w:val="24"/>
                <w:szCs w:val="24"/>
                <w:color w:val="auto"/>
              </w:rPr>
            </w:pPr>
          </w:p>
        </w:tc>
        <w:tc>
          <w:tcPr>
            <w:tcW w:w="148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Options</w:t>
            </w:r>
          </w:p>
        </w:tc>
      </w:tr>
      <w:tr>
        <w:trPr>
          <w:trHeight w:val="236"/>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Nonvested/outstanding, February 3, 2024</w:t>
            </w:r>
          </w:p>
        </w:tc>
        <w:tc>
          <w:tcPr>
            <w:tcW w:w="8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9,618</w:t>
            </w:r>
          </w:p>
        </w:tc>
        <w:tc>
          <w:tcPr>
            <w:tcW w:w="30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6,310</w:t>
            </w:r>
          </w:p>
        </w:tc>
        <w:tc>
          <w:tcPr>
            <w:tcW w:w="100" w:type="dxa"/>
            <w:vAlign w:val="bottom"/>
            <w:shd w:val="clear" w:color="auto" w:fill="CFF0FC"/>
          </w:tcPr>
          <w:p>
            <w:pPr>
              <w:spacing w:after="0"/>
              <w:rPr>
                <w:sz w:val="20"/>
                <w:szCs w:val="20"/>
                <w:color w:val="auto"/>
              </w:rPr>
            </w:pPr>
          </w:p>
        </w:tc>
      </w:t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10,218</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7,407</w:t>
            </w:r>
          </w:p>
        </w:tc>
        <w:tc>
          <w:tcPr>
            <w:tcW w:w="100" w:type="dxa"/>
            <w:vAlign w:val="bottom"/>
          </w:tcPr>
          <w:p>
            <w:pPr>
              <w:spacing w:after="0"/>
              <w:rPr>
                <w:sz w:val="20"/>
                <w:szCs w:val="20"/>
                <w:color w:val="auto"/>
              </w:rPr>
            </w:pPr>
          </w:p>
        </w:tc>
      </w:tr>
      <w:tr>
        <w:trPr>
          <w:trHeight w:val="247"/>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 and delivered/exercised</w:t>
            </w:r>
          </w:p>
        </w:tc>
        <w:tc>
          <w:tcPr>
            <w:tcW w:w="8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9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(2,144 )</w:t>
            </w:r>
          </w:p>
        </w:tc>
        <w:tc>
          <w:tcPr>
            <w:tcW w:w="1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Forfeited/expired</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(1,631 )</w:t>
            </w:r>
          </w:p>
        </w:tc>
        <w:tc>
          <w:tcPr>
            <w:tcW w:w="18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(292 )</w:t>
            </w:r>
          </w:p>
        </w:tc>
      </w:tr>
      <w:tr>
        <w:trPr>
          <w:trHeight w:val="276"/>
        </w:trPr>
        <w:tc>
          <w:tcPr>
            <w:tcW w:w="6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Nonvested/outstanding, May 4, 2024</w:t>
            </w:r>
          </w:p>
        </w:tc>
        <w:tc>
          <w:tcPr>
            <w:tcW w:w="8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top w:val="single" w:sz="8" w:color="auto"/>
              <w:bottom w:val="single" w:sz="8" w:color="auto"/>
            </w:tcBorders>
            <w:shd w:val="clear" w:color="auto" w:fill="CFF0FC"/>
          </w:tcPr>
          <w:p>
            <w:pPr>
              <w:spacing w:after="0"/>
              <w:rPr>
                <w:sz w:val="24"/>
                <w:szCs w:val="24"/>
                <w:color w:val="auto"/>
              </w:rPr>
            </w:pPr>
          </w:p>
        </w:tc>
        <w:tc>
          <w:tcPr>
            <w:tcW w:w="6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16,061</w:t>
            </w:r>
          </w:p>
        </w:tc>
        <w:tc>
          <w:tcPr>
            <w:tcW w:w="3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spacing w:after="0"/>
              <w:rPr>
                <w:sz w:val="24"/>
                <w:szCs w:val="24"/>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13,425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compensation expense as of May 4, 2024</w:t>
            </w:r>
          </w:p>
        </w:tc>
        <w:tc>
          <w:tcPr>
            <w:tcW w:w="820" w:type="dxa"/>
            <w:vAlign w:val="bottom"/>
          </w:tcPr>
          <w:p>
            <w:pPr>
              <w:spacing w:after="0"/>
              <w:rPr>
                <w:sz w:val="19"/>
                <w:szCs w:val="19"/>
                <w:color w:val="auto"/>
              </w:rPr>
            </w:pPr>
          </w:p>
        </w:tc>
        <w:tc>
          <w:tcPr>
            <w:tcW w:w="1280" w:type="dxa"/>
            <w:vAlign w:val="bottom"/>
            <w:gridSpan w:val="2"/>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60,199</w:t>
            </w:r>
          </w:p>
        </w:tc>
        <w:tc>
          <w:tcPr>
            <w:tcW w:w="3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7,548</w:t>
            </w:r>
          </w:p>
        </w:tc>
        <w:tc>
          <w:tcPr>
            <w:tcW w:w="100" w:type="dxa"/>
            <w:vAlign w:val="bottom"/>
          </w:tcPr>
          <w:p>
            <w:pPr>
              <w:spacing w:after="0"/>
              <w:rPr>
                <w:sz w:val="19"/>
                <w:szCs w:val="19"/>
                <w:color w:val="auto"/>
              </w:rPr>
            </w:pPr>
          </w:p>
        </w:tc>
      </w:tr>
      <w:tr>
        <w:trPr>
          <w:trHeight w:val="247"/>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remaining expense period as of May 4, 2024</w:t>
            </w:r>
          </w:p>
        </w:tc>
        <w:tc>
          <w:tcPr>
            <w:tcW w:w="8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880" w:type="dxa"/>
            <w:vAlign w:val="bottom"/>
            <w:gridSpan w:val="4"/>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1.9 years</w:t>
            </w:r>
          </w:p>
        </w:tc>
        <w:tc>
          <w:tcPr>
            <w:tcW w:w="1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0.8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5510530</wp:posOffset>
            </wp:positionH>
            <wp:positionV relativeFrom="paragraph">
              <wp:posOffset>-1840230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-1823085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-1840230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-1823085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-333375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-316230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right="480" w:firstLine="509"/>
        <w:spacing w:after="0" w:line="281" w:lineRule="auto"/>
        <w:rPr>
          <w:sz w:val="20"/>
          <w:szCs w:val="20"/>
          <w:color w:val="auto"/>
        </w:rPr>
      </w:pPr>
      <w:r>
        <w:rPr>
          <w:rFonts w:ascii="Times New Roman" w:cs="Times New Roman" w:eastAsia="Times New Roman" w:hAnsi="Times New Roman"/>
          <w:sz w:val="18"/>
          <w:szCs w:val="18"/>
          <w:color w:val="auto"/>
        </w:rPr>
        <w:t>The ESPP allows eligible employees to contribute up to 15% of their base earnings towards purchases of Class A common stock, subject to an annual maximum. The purchase price will be 85% of the lower of (i) the fair</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market value of the stock on the associated lookback date and (ii) the fair market value of the stock on the last day of the related purchase period.</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Series C Unit activity under the 2016 Incentive Plan was as follows (in thousands):</w:t>
      </w:r>
    </w:p>
    <w:p>
      <w:pPr>
        <w:spacing w:after="0" w:line="259" w:lineRule="exact"/>
        <w:rPr>
          <w:sz w:val="20"/>
          <w:szCs w:val="20"/>
          <w:color w:val="auto"/>
        </w:rPr>
      </w:pPr>
    </w:p>
    <w:tbl>
      <w:tblPr>
        <w:tblLayout w:type="fixed"/>
        <w:tblInd w:w="2260" w:type="dxa"/>
        <w:tblCellMar>
          <w:top w:w="0" w:type="dxa"/>
          <w:left w:w="0" w:type="dxa"/>
          <w:bottom w:w="0" w:type="dxa"/>
          <w:right w:w="0" w:type="dxa"/>
        </w:tblCellMar>
      </w:tblPr>
      <w:tr>
        <w:trPr>
          <w:trHeight w:val="187"/>
        </w:trPr>
        <w:tc>
          <w:tcPr>
            <w:tcW w:w="5520" w:type="dxa"/>
            <w:vAlign w:val="bottom"/>
          </w:tcPr>
          <w:p>
            <w:pPr>
              <w:spacing w:after="0"/>
              <w:rPr>
                <w:sz w:val="16"/>
                <w:szCs w:val="16"/>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Units</w:t>
            </w:r>
          </w:p>
        </w:tc>
      </w:tr>
      <w:tr>
        <w:trPr>
          <w:trHeight w:val="236"/>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February 3, 2024</w:t>
            </w:r>
          </w:p>
        </w:tc>
        <w:tc>
          <w:tcPr>
            <w:tcW w:w="120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198,145</w:t>
            </w:r>
          </w:p>
        </w:tc>
        <w:tc>
          <w:tcPr>
            <w:tcW w:w="20" w:type="dxa"/>
            <w:vAlign w:val="bottom"/>
          </w:tcPr>
          <w:p>
            <w:pPr>
              <w:spacing w:after="0"/>
              <w:rPr>
                <w:sz w:val="20"/>
                <w:szCs w:val="20"/>
                <w:color w:val="auto"/>
              </w:rPr>
            </w:pPr>
          </w:p>
        </w:tc>
      </w:tr>
      <w:tr>
        <w:trPr>
          <w:trHeight w:val="234"/>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r>
      <w:tr>
        <w:trPr>
          <w:trHeight w:val="245"/>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(4,402 )</w:t>
            </w:r>
          </w:p>
        </w:tc>
      </w:tr>
      <w:tr>
        <w:trPr>
          <w:trHeight w:val="238"/>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May 4, 2024</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193,743</w:t>
            </w:r>
          </w:p>
        </w:tc>
        <w:tc>
          <w:tcPr>
            <w:tcW w:w="20" w:type="dxa"/>
            <w:vAlign w:val="bottom"/>
          </w:tcPr>
          <w:p>
            <w:pPr>
              <w:spacing w:after="0"/>
              <w:rPr>
                <w:sz w:val="20"/>
                <w:szCs w:val="20"/>
                <w:color w:val="auto"/>
              </w:rPr>
            </w:pPr>
          </w:p>
        </w:tc>
      </w:tr>
      <w:tr>
        <w:trPr>
          <w:trHeight w:val="20"/>
        </w:trPr>
        <w:tc>
          <w:tcPr>
            <w:tcW w:w="55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5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 May 4, 2024</w:t>
            </w:r>
          </w:p>
        </w:tc>
        <w:tc>
          <w:tcPr>
            <w:tcW w:w="12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188,143</w:t>
            </w:r>
          </w:p>
        </w:tc>
        <w:tc>
          <w:tcPr>
            <w:tcW w:w="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1435100</wp:posOffset>
            </wp:positionH>
            <wp:positionV relativeFrom="paragraph">
              <wp:posOffset>-521970</wp:posOffset>
            </wp:positionV>
            <wp:extent cx="4272915" cy="1625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272915" cy="162560"/>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-24765</wp:posOffset>
            </wp:positionV>
            <wp:extent cx="342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-7620</wp:posOffset>
            </wp:positionV>
            <wp:extent cx="342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7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No additional Series C Units have been or will be awarded following the Company’s initial public offering. As of May 4, 2024, unrecognized compensation expense related to the unvested portion of Scooby LP’s Series C Units was $1.2 million, which is expected to be recognized over a weighted average period of 1.0 years. In addition to acceleration upon a change in control, a portion of grantees’ Series C Units may vest upon certain levels of direct or indirect sales by Scooby LP of the Company’s Class A common stock, and all unvested Series C Units will fully accelerate in the event Scooby LP sells 90% of its direct or indirect holdings of the Company’s Class A common stock.</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Per Share</w:t>
      </w:r>
    </w:p>
    <w:p>
      <w:pPr>
        <w:spacing w:after="0" w:line="229" w:lineRule="exact"/>
        <w:rPr>
          <w:sz w:val="20"/>
          <w:szCs w:val="20"/>
          <w:color w:val="auto"/>
        </w:rPr>
      </w:pPr>
    </w:p>
    <w:p>
      <w:pPr>
        <w:ind w:right="140" w:firstLine="509"/>
        <w:spacing w:after="0" w:line="260" w:lineRule="auto"/>
        <w:rPr>
          <w:sz w:val="20"/>
          <w:szCs w:val="20"/>
          <w:color w:val="auto"/>
        </w:rPr>
      </w:pPr>
      <w:r>
        <w:rPr>
          <w:rFonts w:ascii="Times New Roman" w:cs="Times New Roman" w:eastAsia="Times New Roman" w:hAnsi="Times New Roman"/>
          <w:sz w:val="18"/>
          <w:szCs w:val="18"/>
          <w:color w:val="auto"/>
        </w:rPr>
        <w:t>Potentially dilutive securities include potential Class A common shares related to outstanding stock options, unvested RSUs and RSAs, and the ESPP, calculated using the treasury stock method. The calculation of diluted shares outstanding excludes securities where the combination of the exercise or purchase price (in the case of options and the ESPP) and the associated unrecognized compensation expense is greater than the average market price of Class A common shares because the inclusion of these securities would be anti-dilutive.</w:t>
      </w:r>
    </w:p>
    <w:p>
      <w:pPr>
        <w:spacing w:after="0" w:line="209" w:lineRule="exact"/>
        <w:rPr>
          <w:sz w:val="20"/>
          <w:szCs w:val="20"/>
          <w:color w:val="auto"/>
        </w:rPr>
      </w:pPr>
    </w:p>
    <w:p>
      <w:pPr>
        <w:ind w:right="320" w:firstLine="449"/>
        <w:spacing w:after="0" w:line="251" w:lineRule="auto"/>
        <w:rPr>
          <w:sz w:val="20"/>
          <w:szCs w:val="20"/>
          <w:color w:val="auto"/>
        </w:rPr>
      </w:pPr>
      <w:r>
        <w:rPr>
          <w:rFonts w:ascii="Times New Roman" w:cs="Times New Roman" w:eastAsia="Times New Roman" w:hAnsi="Times New Roman"/>
          <w:sz w:val="18"/>
          <w:szCs w:val="18"/>
          <w:color w:val="auto"/>
        </w:rPr>
        <w:t>All outstanding equity awards were excluded from the calculation of diluted loss per Class A and B-1 common share in the thirteen weeks ended May 4, 2024 and April 29, 2023, as their effect would be antidilutive in a net loss period</w:t>
      </w:r>
      <w:r>
        <w:rPr>
          <w:rFonts w:ascii="Calibri" w:cs="Calibri" w:eastAsia="Calibri" w:hAnsi="Calibri"/>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229" w:lineRule="exact"/>
        <w:rPr>
          <w:sz w:val="20"/>
          <w:szCs w:val="20"/>
          <w:color w:val="auto"/>
        </w:rPr>
      </w:pPr>
    </w:p>
    <w:p>
      <w:pPr>
        <w:ind w:firstLine="613"/>
        <w:spacing w:after="0" w:line="254" w:lineRule="auto"/>
        <w:rPr>
          <w:sz w:val="20"/>
          <w:szCs w:val="20"/>
          <w:color w:val="auto"/>
        </w:rPr>
      </w:pPr>
      <w:r>
        <w:rPr>
          <w:rFonts w:ascii="Times New Roman" w:cs="Times New Roman" w:eastAsia="Times New Roman" w:hAnsi="Times New Roman"/>
          <w:sz w:val="18"/>
          <w:szCs w:val="18"/>
          <w:color w:val="auto"/>
        </w:rPr>
        <w:t>The Company is involved in legal proceedings and is subject to other claims and litigation arising in the ordinary course of its business. The Company has made accruals with respect to certain of these matters, where appropriate, which are reflected in the Company’s consolidated financial statements but are not, individually or in the aggregate, considered material. For other matters, the Company has not made accruals because management has not yet determined that a loss is probable or because the amount of loss cannot be reasonably estimated. While the ultimate outcome of the matters cannot be determined, the Company currently does not expect that these matters will have a material adverse effect on its consolidated financial statements. The outcome of any litigation is inherently uncertain, however, and if decided adversely to the Company, or if the Company determines that settlement of particular litigation is appropriate, the Company may be subject to liability that could have a material adverse effect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8"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our consolidated financial statements and the accompanying notes included elsewhere in this Quarterly Report on Form 10-Q (this “Form 10-Q”), as well as the corresponding Management’s Discussion and Analysis of Financial Condition and Results of Operations contained in our Annual Report on Form 10-K for the fiscal year ended February 3, 2024 (the “2023 Form 10-K”). The discussion and analysis below contains certain forward-looking statements about our business and operations that are subject to the risks, uncertainties, and other factors referred to in Part II,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this Form 10-Q. These risks, uncertainties, and other factors could cause our actual results to differ materially from those expressed in, or implied by, the forward-looking statements. The risks described in this Form 10-Q and in other documents we file from time to time with the U.S. Securities and Exchange Commission (the “SEC”), including the section entitled “Forward-Looking Statements” in this Form 10-Q, should be carefully reviewed. All amounts herein are unaudited.</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80" w:firstLine="509"/>
        <w:spacing w:after="0" w:line="260" w:lineRule="auto"/>
        <w:rPr>
          <w:sz w:val="20"/>
          <w:szCs w:val="20"/>
          <w:color w:val="auto"/>
        </w:rPr>
      </w:pPr>
      <w:r>
        <w:rPr>
          <w:rFonts w:ascii="Times New Roman" w:cs="Times New Roman" w:eastAsia="Times New Roman" w:hAnsi="Times New Roman"/>
          <w:sz w:val="18"/>
          <w:szCs w:val="18"/>
          <w:color w:val="auto"/>
        </w:rPr>
        <w:t>Petco Health and Wellness Company, Inc. (“Petco”, the “Company”, “we”, “our” and “us”) is a pet health and wellness company focused on improving the lives of pets, pet parents, and our own partners. Through our omnichannel ecosystem, we provide our customers with a comprehensive offering of products and services to fulfill their pets’ health and wellness needs through our more than 1,500 pet care centers in the U.S., Mexico, and Puerto Rico, including a network of in-store veterinary hospitals, our digital channel, and our flexible fulfillment options.</w:t>
      </w:r>
    </w:p>
    <w:p>
      <w:pPr>
        <w:spacing w:after="0" w:line="74" w:lineRule="exact"/>
        <w:rPr>
          <w:sz w:val="20"/>
          <w:szCs w:val="20"/>
          <w:color w:val="auto"/>
        </w:rPr>
      </w:pPr>
    </w:p>
    <w:p>
      <w:pPr>
        <w:ind w:firstLine="509"/>
        <w:spacing w:after="0" w:line="274" w:lineRule="auto"/>
        <w:rPr>
          <w:sz w:val="20"/>
          <w:szCs w:val="20"/>
          <w:color w:val="auto"/>
        </w:rPr>
      </w:pPr>
      <w:r>
        <w:rPr>
          <w:rFonts w:ascii="Times New Roman" w:cs="Times New Roman" w:eastAsia="Times New Roman" w:hAnsi="Times New Roman"/>
          <w:sz w:val="17"/>
          <w:szCs w:val="17"/>
          <w:color w:val="auto"/>
        </w:rPr>
        <w:t>Our multicategory strategy integrates our digital assets with our nationwide physical footprint to meet the needs of pet parents who are looking for a single source for all their pets' needs. Our e-commerce site and mobile app serve as hubs for pet parents to manage their pets’ health, wellness, and merchandise needs, while enabling them to shop wherever, whenever, and however they want. The full value of our ecosystem can be realized through our Vital Care membership program, which has a two-tiered offering—Vital Care Core, our free membership tier, and Vital Care Premier, our paid membership tier. Sitting at the intersection of value and loyalty, Vital Care Premier makes it easier and more affordable for pet parents to care for their pet’s whole health and links pet parents with our merchandising and services offerings, while Vital Care Core provides pet parents with a suite of loyalty offerings.</w:t>
      </w:r>
    </w:p>
    <w:p>
      <w:pPr>
        <w:spacing w:after="0" w:line="63" w:lineRule="exact"/>
        <w:rPr>
          <w:sz w:val="20"/>
          <w:szCs w:val="20"/>
          <w:color w:val="auto"/>
        </w:rPr>
      </w:pPr>
    </w:p>
    <w:p>
      <w:pPr>
        <w:ind w:right="60" w:firstLine="509"/>
        <w:spacing w:after="0" w:line="265" w:lineRule="auto"/>
        <w:rPr>
          <w:sz w:val="20"/>
          <w:szCs w:val="20"/>
          <w:color w:val="auto"/>
        </w:rPr>
      </w:pPr>
      <w:r>
        <w:rPr>
          <w:rFonts w:ascii="Times New Roman" w:cs="Times New Roman" w:eastAsia="Times New Roman" w:hAnsi="Times New Roman"/>
          <w:sz w:val="18"/>
          <w:szCs w:val="18"/>
          <w:color w:val="auto"/>
        </w:rPr>
        <w:t>We strive to be a company that is improving millions of pet lives as well as the lives of pet parents and the partners who work for us. In tandem with Petco Love, a life-changing independent nonprofit organization, we work with and support thousands of local animal welfare groups across the country and, through in-store adoption events, we have helped find homes for nearly 7 million animals.</w:t>
      </w:r>
    </w:p>
    <w:p>
      <w:pPr>
        <w:spacing w:after="0" w:line="69" w:lineRule="exact"/>
        <w:rPr>
          <w:sz w:val="20"/>
          <w:szCs w:val="20"/>
          <w:color w:val="auto"/>
        </w:rPr>
      </w:pPr>
    </w:p>
    <w:p>
      <w:pPr>
        <w:ind w:right="420" w:firstLine="509"/>
        <w:spacing w:after="0" w:line="260" w:lineRule="auto"/>
        <w:rPr>
          <w:sz w:val="20"/>
          <w:szCs w:val="20"/>
          <w:color w:val="auto"/>
        </w:rPr>
      </w:pPr>
      <w:r>
        <w:rPr>
          <w:rFonts w:ascii="Times New Roman" w:cs="Times New Roman" w:eastAsia="Times New Roman" w:hAnsi="Times New Roman"/>
          <w:sz w:val="18"/>
          <w:szCs w:val="18"/>
          <w:color w:val="auto"/>
        </w:rPr>
        <w:t>Macroeconomic factors, including rising interest rates, inflationary pressures, supply chain constraints, and global economic and geopolitical developments have had varying impacts on our results of operations, such as decreases in sales of discretionary items like supplies, that are difficult to isolate and quantify. We cannot predict the duration or ultimate severity of these macroeconomic factors or the ultimate impact on our operations and liquidity. Please refer to the risk factors referred to in Part II,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this Form 10-Q.</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16" w:name="page17"/>
    <w:bookmarkEnd w:id="16"/>
    <w:p>
      <w:pPr>
        <w:ind w:left="3740"/>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assessing our performance, we consider a variety of performance and financial measures, including the following:</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Comparable Sales</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Comparable sales is an important measure throughout the retail industry and includes both retail and digital sales of products and services. A new location or digital site is included in comparable sales beginning on the first day of the fiscal month following 12 full fiscal months of operation and is subsequently compared to like time periods from the previous year. Relocated pet care centers become comparable pet care centers on the first day of operation if the original pet care center was open longer than 12 full fiscal months. If, during the period presented, a pet care center was closed, sales from that pet care center are included up to the first day of the month of closing. There may be variations in the way in which some of our competitors and other retailers calculate comparable sales. As a result, data in this filing regarding our comparable sales may not be comparable to similar data made available by other retailers.</w:t>
      </w:r>
    </w:p>
    <w:p>
      <w:pPr>
        <w:spacing w:after="0" w:line="187" w:lineRule="exact"/>
        <w:rPr>
          <w:sz w:val="20"/>
          <w:szCs w:val="20"/>
          <w:color w:val="auto"/>
        </w:rPr>
      </w:pPr>
    </w:p>
    <w:p>
      <w:pPr>
        <w:ind w:right="60" w:firstLine="554"/>
        <w:spacing w:after="0" w:line="260" w:lineRule="auto"/>
        <w:rPr>
          <w:sz w:val="20"/>
          <w:szCs w:val="20"/>
          <w:color w:val="auto"/>
        </w:rPr>
      </w:pPr>
      <w:r>
        <w:rPr>
          <w:rFonts w:ascii="Times New Roman" w:cs="Times New Roman" w:eastAsia="Times New Roman" w:hAnsi="Times New Roman"/>
          <w:sz w:val="18"/>
          <w:szCs w:val="18"/>
          <w:color w:val="auto"/>
        </w:rPr>
        <w:t>Comparable sales allow us to evaluate how our overall ecosystem is performing by measuring the change in period-over-period net sales from locations and digital sites that have been open for the applicable period. We intend to improve comparable sales by continuing initiatives aimed to increase customer retention, frequency of visits, and basket size. General macroeconomic and retail business trends are also a key driver of changes in comparable sales.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21"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Management and our board of directors review, in addition to GAAP (as defined herein) measures, certain non-GAAP financial measures, including Adjusted EBITDA and Free Cash Flow, to evaluate our operating performance, generate future operating plans, and make strategic decisions regarding the allocation of capital. Further explanations of these non-GAAP measures, along with reconciliations to their most comparable GAAP measures, are presented below under “Reconciliation of Non-GAAP Financial Measures to GAAP Measures.”</w:t>
      </w: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21" w:lineRule="exact"/>
        <w:rPr>
          <w:sz w:val="20"/>
          <w:szCs w:val="20"/>
          <w:color w:val="auto"/>
        </w:rPr>
      </w:pPr>
    </w:p>
    <w:p>
      <w:pPr>
        <w:ind w:right="220" w:firstLine="509"/>
        <w:spacing w:after="0" w:line="281" w:lineRule="auto"/>
        <w:rPr>
          <w:sz w:val="20"/>
          <w:szCs w:val="20"/>
          <w:color w:val="auto"/>
        </w:rPr>
      </w:pPr>
      <w:r>
        <w:rPr>
          <w:rFonts w:ascii="Times New Roman" w:cs="Times New Roman" w:eastAsia="Times New Roman" w:hAnsi="Times New Roman"/>
          <w:sz w:val="18"/>
          <w:szCs w:val="18"/>
          <w:color w:val="auto"/>
        </w:rPr>
        <w:t>Comparing the thirteen weeks ended May 4, 2024 with the thirteen weeks ended April 29, 2023 (unless otherwise noted), our results included the following:</w:t>
      </w:r>
    </w:p>
    <w:p>
      <w:pPr>
        <w:spacing w:after="0" w:line="55" w:lineRule="exact"/>
        <w:rPr>
          <w:sz w:val="20"/>
          <w:szCs w:val="20"/>
          <w:color w:val="auto"/>
        </w:rPr>
      </w:pPr>
    </w:p>
    <w:p>
      <w:pPr>
        <w:ind w:left="1020" w:hanging="368"/>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net sales from $1.56 billion to $1.53 billion, representing a period-over-period decrease of 1.7%;</w:t>
      </w:r>
    </w:p>
    <w:p>
      <w:pPr>
        <w:spacing w:after="0" w:line="116"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operating loss of $16.8 million, compared to operating income of $27.6 million in the prior year period;</w:t>
      </w:r>
    </w:p>
    <w:p>
      <w:pPr>
        <w:spacing w:after="0" w:line="116" w:lineRule="exact"/>
        <w:rPr>
          <w:rFonts w:ascii="Times New Roman" w:cs="Times New Roman" w:eastAsia="Times New Roman" w:hAnsi="Times New Roman"/>
          <w:sz w:val="18"/>
          <w:szCs w:val="18"/>
          <w:color w:val="auto"/>
        </w:rPr>
      </w:pPr>
    </w:p>
    <w:p>
      <w:pPr>
        <w:ind w:left="1020" w:hanging="368"/>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attributable to Class A and B-1 common stockholders of $46.5 million, compared to net loss attributable to Class A and B-1 common stockholders of $1.9 million in the prior year period; and</w:t>
      </w:r>
    </w:p>
    <w:p>
      <w:pPr>
        <w:spacing w:after="0" w:line="54"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Adjusted EBITDA from $111.0 million to $75.6 million.</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2"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600" w:firstLine="509"/>
        <w:spacing w:after="0" w:line="281" w:lineRule="auto"/>
        <w:rPr>
          <w:sz w:val="20"/>
          <w:szCs w:val="20"/>
          <w:color w:val="auto"/>
        </w:rPr>
      </w:pPr>
      <w:r>
        <w:rPr>
          <w:rFonts w:ascii="Times New Roman" w:cs="Times New Roman" w:eastAsia="Times New Roman" w:hAnsi="Times New Roman"/>
          <w:sz w:val="18"/>
          <w:szCs w:val="18"/>
          <w:color w:val="auto"/>
        </w:rPr>
        <w:t>The following tables summarize our results of operations and the percent of net sales of line items included in our consolidated statements of operations (dollars in thousands):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340" w:type="dxa"/>
            <w:vAlign w:val="bottom"/>
            <w:gridSpan w:val="7"/>
          </w:tcPr>
          <w:p>
            <w:pPr>
              <w:jc w:val="right"/>
              <w:ind w:right="13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131"/>
        </w:trPr>
        <w:tc>
          <w:tcPr>
            <w:tcW w:w="438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gridSpan w:val="4"/>
          </w:tcPr>
          <w:p>
            <w:pPr>
              <w:ind w:left="240"/>
              <w:spacing w:after="0" w:line="131" w:lineRule="exact"/>
              <w:rPr>
                <w:sz w:val="20"/>
                <w:szCs w:val="20"/>
                <w:color w:val="auto"/>
              </w:rPr>
            </w:pPr>
            <w:r>
              <w:rPr>
                <w:rFonts w:ascii="Times New Roman" w:cs="Times New Roman" w:eastAsia="Times New Roman" w:hAnsi="Times New Roman"/>
                <w:sz w:val="14"/>
                <w:szCs w:val="14"/>
                <w:b w:val="1"/>
                <w:bCs w:val="1"/>
                <w:color w:val="auto"/>
              </w:rPr>
              <w:t>May 4,</w:t>
            </w:r>
          </w:p>
        </w:tc>
        <w:tc>
          <w:tcPr>
            <w:tcW w:w="2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392"/>
              <w:spacing w:after="0" w:line="131" w:lineRule="exact"/>
              <w:rPr>
                <w:sz w:val="20"/>
                <w:szCs w:val="20"/>
                <w:color w:val="auto"/>
              </w:rPr>
            </w:pPr>
            <w:r>
              <w:rPr>
                <w:rFonts w:ascii="Times New Roman" w:cs="Times New Roman" w:eastAsia="Times New Roman" w:hAnsi="Times New Roman"/>
                <w:sz w:val="14"/>
                <w:szCs w:val="14"/>
                <w:b w:val="1"/>
                <w:bCs w:val="1"/>
                <w:color w:val="auto"/>
              </w:rPr>
              <w:t>April 29,</w:t>
            </w:r>
          </w:p>
        </w:tc>
        <w:tc>
          <w:tcPr>
            <w:tcW w:w="300" w:type="dxa"/>
            <w:vAlign w:val="bottom"/>
          </w:tcPr>
          <w:p>
            <w:pPr>
              <w:spacing w:after="0"/>
              <w:rPr>
                <w:sz w:val="11"/>
                <w:szCs w:val="11"/>
                <w:color w:val="auto"/>
              </w:rPr>
            </w:pPr>
          </w:p>
        </w:tc>
      </w:tr>
      <w:tr>
        <w:trPr>
          <w:trHeight w:val="187"/>
        </w:trPr>
        <w:tc>
          <w:tcPr>
            <w:tcW w:w="43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6"/>
                <w:szCs w:val="16"/>
                <w:color w:val="auto"/>
              </w:rPr>
            </w:pPr>
          </w:p>
        </w:tc>
      </w:tr>
      <w:tr>
        <w:trPr>
          <w:trHeight w:val="236"/>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r>
      <w:tr>
        <w:trPr>
          <w:trHeight w:val="238"/>
        </w:trPr>
        <w:tc>
          <w:tcPr>
            <w:tcW w:w="4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Products</w:t>
            </w:r>
          </w:p>
        </w:tc>
        <w:tc>
          <w:tcPr>
            <w:tcW w:w="3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1,279,731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1,316,596</w:t>
            </w:r>
          </w:p>
        </w:tc>
        <w:tc>
          <w:tcPr>
            <w:tcW w:w="300" w:type="dxa"/>
            <w:vAlign w:val="bottom"/>
          </w:tcPr>
          <w:p>
            <w:pPr>
              <w:spacing w:after="0"/>
              <w:rPr>
                <w:sz w:val="20"/>
                <w:szCs w:val="20"/>
                <w:color w:val="auto"/>
              </w:rPr>
            </w:pPr>
          </w:p>
        </w:tc>
      </w:tr>
      <w:tr>
        <w:trPr>
          <w:trHeight w:val="243"/>
        </w:trPr>
        <w:tc>
          <w:tcPr>
            <w:tcW w:w="43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Services and other</w:t>
            </w:r>
          </w:p>
        </w:tc>
        <w:tc>
          <w:tcPr>
            <w:tcW w:w="31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249,409</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239,312</w:t>
            </w:r>
          </w:p>
        </w:tc>
        <w:tc>
          <w:tcPr>
            <w:tcW w:w="300" w:type="dxa"/>
            <w:vAlign w:val="bottom"/>
            <w:tcBorders>
              <w:bottom w:val="single" w:sz="8" w:color="CFF0FC"/>
            </w:tcBorders>
            <w:shd w:val="clear" w:color="auto" w:fill="CFF0FC"/>
          </w:tcPr>
          <w:p>
            <w:pPr>
              <w:spacing w:after="0"/>
              <w:rPr>
                <w:sz w:val="21"/>
                <w:szCs w:val="21"/>
                <w:color w:val="auto"/>
              </w:rPr>
            </w:pPr>
          </w:p>
        </w:tc>
      </w:tr>
      <w:tr>
        <w:trPr>
          <w:trHeight w:val="236"/>
        </w:trPr>
        <w:tc>
          <w:tcPr>
            <w:tcW w:w="43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net sales</w:t>
            </w:r>
          </w:p>
        </w:tc>
        <w:tc>
          <w:tcPr>
            <w:tcW w:w="3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1,529,140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1,555,908</w:t>
            </w:r>
          </w:p>
        </w:tc>
        <w:tc>
          <w:tcPr>
            <w:tcW w:w="300" w:type="dxa"/>
            <w:vAlign w:val="bottom"/>
          </w:tcPr>
          <w:p>
            <w:pPr>
              <w:spacing w:after="0"/>
              <w:rPr>
                <w:sz w:val="20"/>
                <w:szCs w:val="20"/>
                <w:color w:val="auto"/>
              </w:rPr>
            </w:pPr>
          </w:p>
        </w:tc>
      </w:tr>
      <w:tr>
        <w:trPr>
          <w:trHeight w:val="247"/>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1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r>
      <w:tr>
        <w:trPr>
          <w:trHeight w:val="238"/>
        </w:trPr>
        <w:tc>
          <w:tcPr>
            <w:tcW w:w="4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Products</w:t>
            </w:r>
          </w:p>
        </w:tc>
        <w:tc>
          <w:tcPr>
            <w:tcW w:w="3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792,722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805,759</w:t>
            </w:r>
          </w:p>
        </w:tc>
        <w:tc>
          <w:tcPr>
            <w:tcW w:w="300" w:type="dxa"/>
            <w:vAlign w:val="bottom"/>
          </w:tcPr>
          <w:p>
            <w:pPr>
              <w:spacing w:after="0"/>
              <w:rPr>
                <w:sz w:val="20"/>
                <w:szCs w:val="20"/>
                <w:color w:val="auto"/>
              </w:rPr>
            </w:pPr>
          </w:p>
        </w:tc>
      </w:tr>
      <w:tr>
        <w:trPr>
          <w:trHeight w:val="243"/>
        </w:trPr>
        <w:tc>
          <w:tcPr>
            <w:tcW w:w="43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Services and other</w:t>
            </w:r>
          </w:p>
        </w:tc>
        <w:tc>
          <w:tcPr>
            <w:tcW w:w="31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157,758</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145,667</w:t>
            </w:r>
          </w:p>
        </w:tc>
        <w:tc>
          <w:tcPr>
            <w:tcW w:w="300" w:type="dxa"/>
            <w:vAlign w:val="bottom"/>
            <w:tcBorders>
              <w:bottom w:val="single" w:sz="8" w:color="CFF0FC"/>
            </w:tcBorders>
            <w:shd w:val="clear" w:color="auto" w:fill="CFF0FC"/>
          </w:tcPr>
          <w:p>
            <w:pPr>
              <w:spacing w:after="0"/>
              <w:rPr>
                <w:sz w:val="21"/>
                <w:szCs w:val="21"/>
                <w:color w:val="auto"/>
              </w:rPr>
            </w:pPr>
          </w:p>
        </w:tc>
      </w:tr>
      <w:tr>
        <w:trPr>
          <w:trHeight w:val="236"/>
        </w:trPr>
        <w:tc>
          <w:tcPr>
            <w:tcW w:w="43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cost of sales</w:t>
            </w:r>
          </w:p>
        </w:tc>
        <w:tc>
          <w:tcPr>
            <w:tcW w:w="3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950,480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951,426</w:t>
            </w:r>
          </w:p>
        </w:tc>
        <w:tc>
          <w:tcPr>
            <w:tcW w:w="300" w:type="dxa"/>
            <w:vAlign w:val="bottom"/>
          </w:tcPr>
          <w:p>
            <w:pPr>
              <w:spacing w:after="0"/>
              <w:rPr>
                <w:sz w:val="20"/>
                <w:szCs w:val="20"/>
                <w:color w:val="auto"/>
              </w:rPr>
            </w:pPr>
          </w:p>
        </w:tc>
      </w:tr>
      <w:tr>
        <w:trPr>
          <w:trHeight w:val="240"/>
        </w:trPr>
        <w:tc>
          <w:tcPr>
            <w:tcW w:w="43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Gross profit</w:t>
            </w:r>
          </w:p>
        </w:tc>
        <w:tc>
          <w:tcPr>
            <w:tcW w:w="3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578,660</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604,482</w:t>
            </w:r>
          </w:p>
        </w:tc>
        <w:tc>
          <w:tcPr>
            <w:tcW w:w="300" w:type="dxa"/>
            <w:vAlign w:val="bottom"/>
            <w:shd w:val="clear" w:color="auto" w:fill="CFF0FC"/>
          </w:tcPr>
          <w:p>
            <w:pPr>
              <w:spacing w:after="0"/>
              <w:rPr>
                <w:sz w:val="20"/>
                <w:szCs w:val="20"/>
                <w:color w:val="auto"/>
              </w:rPr>
            </w:pPr>
          </w:p>
        </w:tc>
      </w:tr>
      <w:tr>
        <w:trPr>
          <w:trHeight w:val="238"/>
        </w:trPr>
        <w:tc>
          <w:tcPr>
            <w:tcW w:w="43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14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595,442</w:t>
            </w:r>
          </w:p>
        </w:tc>
        <w:tc>
          <w:tcPr>
            <w:tcW w:w="1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576,865</w:t>
            </w:r>
          </w:p>
        </w:tc>
        <w:tc>
          <w:tcPr>
            <w:tcW w:w="300" w:type="dxa"/>
            <w:vAlign w:val="bottom"/>
            <w:tcBorders>
              <w:bottom w:val="single" w:sz="8" w:color="CFF0FC"/>
            </w:tcBorders>
          </w:tcPr>
          <w:p>
            <w:pPr>
              <w:spacing w:after="0"/>
              <w:rPr>
                <w:sz w:val="20"/>
                <w:szCs w:val="20"/>
                <w:color w:val="auto"/>
              </w:rPr>
            </w:pPr>
          </w:p>
        </w:tc>
      </w:tr>
      <w:tr>
        <w:trPr>
          <w:trHeight w:val="240"/>
        </w:trPr>
        <w:tc>
          <w:tcPr>
            <w:tcW w:w="43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(loss) income</w:t>
            </w:r>
          </w:p>
        </w:tc>
        <w:tc>
          <w:tcPr>
            <w:tcW w:w="3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(16,782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27,617</w:t>
            </w:r>
          </w:p>
        </w:tc>
        <w:tc>
          <w:tcPr>
            <w:tcW w:w="300" w:type="dxa"/>
            <w:vAlign w:val="bottom"/>
            <w:shd w:val="clear" w:color="auto" w:fill="CFF0FC"/>
          </w:tcPr>
          <w:p>
            <w:pPr>
              <w:spacing w:after="0"/>
              <w:rPr>
                <w:sz w:val="20"/>
                <w:szCs w:val="20"/>
                <w:color w:val="auto"/>
              </w:rPr>
            </w:pPr>
          </w:p>
        </w:tc>
      </w:tr>
      <w:tr>
        <w:trPr>
          <w:trHeight w:val="238"/>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(418 )</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(1,177 )</w:t>
            </w:r>
          </w:p>
        </w:tc>
      </w:tr>
      <w:tr>
        <w:trPr>
          <w:trHeight w:val="247"/>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1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36,817</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37,202</w:t>
            </w:r>
          </w:p>
        </w:tc>
        <w:tc>
          <w:tcPr>
            <w:tcW w:w="300" w:type="dxa"/>
            <w:vAlign w:val="bottom"/>
            <w:shd w:val="clear" w:color="auto" w:fill="CFF0FC"/>
          </w:tcPr>
          <w:p>
            <w:pPr>
              <w:spacing w:after="0"/>
              <w:rPr>
                <w:sz w:val="21"/>
                <w:szCs w:val="21"/>
                <w:color w:val="auto"/>
              </w:rPr>
            </w:pPr>
          </w:p>
        </w:tc>
      </w:tr>
      <w:tr>
        <w:trPr>
          <w:trHeight w:val="238"/>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partial extinguishment of debt</w:t>
            </w:r>
          </w:p>
        </w:tc>
        <w:tc>
          <w:tcPr>
            <w:tcW w:w="3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2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300" w:type="dxa"/>
            <w:vAlign w:val="bottom"/>
          </w:tcPr>
          <w:p>
            <w:pPr>
              <w:spacing w:after="0"/>
              <w:rPr>
                <w:sz w:val="20"/>
                <w:szCs w:val="20"/>
                <w:color w:val="auto"/>
              </w:rPr>
            </w:pPr>
          </w:p>
        </w:tc>
      </w:tr>
      <w:tr>
        <w:trPr>
          <w:trHeight w:val="243"/>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non-operating loss (income)</w:t>
            </w:r>
          </w:p>
        </w:tc>
        <w:tc>
          <w:tcPr>
            <w:tcW w:w="31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(2,819 )</w:t>
            </w:r>
          </w:p>
        </w:tc>
      </w:tr>
      <w:tr>
        <w:trPr>
          <w:trHeight w:val="209"/>
        </w:trPr>
        <w:tc>
          <w:tcPr>
            <w:tcW w:w="438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Loss before income taxes and income</w:t>
            </w:r>
          </w:p>
        </w:tc>
        <w:tc>
          <w:tcPr>
            <w:tcW w:w="3140" w:type="dxa"/>
            <w:vAlign w:val="bottom"/>
            <w:tcBorders>
              <w:top w:val="single" w:sz="8" w:color="CFF0FC"/>
            </w:tcBorders>
          </w:tcPr>
          <w:p>
            <w:pPr>
              <w:spacing w:after="0"/>
              <w:rPr>
                <w:sz w:val="18"/>
                <w:szCs w:val="18"/>
                <w:color w:val="auto"/>
              </w:rPr>
            </w:pPr>
          </w:p>
        </w:tc>
        <w:tc>
          <w:tcPr>
            <w:tcW w:w="6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6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r>
      <w:tr>
        <w:trPr>
          <w:trHeight w:val="241"/>
        </w:trPr>
        <w:tc>
          <w:tcPr>
            <w:tcW w:w="43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from equity method investees</w:t>
            </w:r>
          </w:p>
        </w:tc>
        <w:tc>
          <w:tcPr>
            <w:tcW w:w="3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(55,846 )</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(6,030 )</w:t>
            </w:r>
          </w:p>
        </w:tc>
      </w:tr>
      <w:tr>
        <w:trPr>
          <w:trHeight w:val="249"/>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1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(4,477 )</w:t>
            </w:r>
          </w:p>
        </w:tc>
        <w:tc>
          <w:tcPr>
            <w:tcW w:w="1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(1,008 )</w:t>
            </w:r>
          </w:p>
        </w:tc>
      </w:tr>
      <w:tr>
        <w:trPr>
          <w:trHeight w:val="238"/>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equity method investees</w:t>
            </w:r>
          </w:p>
        </w:tc>
        <w:tc>
          <w:tcPr>
            <w:tcW w:w="3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(4,886 )</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(3,130 )</w:t>
            </w:r>
          </w:p>
        </w:tc>
      </w:tr>
      <w:tr>
        <w:trPr>
          <w:trHeight w:val="209"/>
        </w:trPr>
        <w:tc>
          <w:tcPr>
            <w:tcW w:w="43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loss attributable to Class A and B-1</w:t>
            </w:r>
          </w:p>
        </w:tc>
        <w:tc>
          <w:tcPr>
            <w:tcW w:w="3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r>
      <w:tr>
        <w:trPr>
          <w:trHeight w:val="248"/>
        </w:trPr>
        <w:tc>
          <w:tcPr>
            <w:tcW w:w="438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common stockholders</w:t>
            </w:r>
          </w:p>
        </w:tc>
        <w:tc>
          <w:tcPr>
            <w:tcW w:w="35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(46,483 )</w:t>
            </w:r>
          </w:p>
        </w:tc>
        <w:tc>
          <w:tcPr>
            <w:tcW w:w="1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(1,892 )</w:t>
            </w:r>
          </w:p>
        </w:tc>
      </w:tr>
      <w:tr>
        <w:trPr>
          <w:trHeight w:val="391"/>
        </w:trPr>
        <w:tc>
          <w:tcPr>
            <w:tcW w:w="43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40" w:type="dxa"/>
            <w:vAlign w:val="bottom"/>
            <w:gridSpan w:val="7"/>
          </w:tcPr>
          <w:p>
            <w:pPr>
              <w:jc w:val="right"/>
              <w:ind w:right="13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131"/>
        </w:trPr>
        <w:tc>
          <w:tcPr>
            <w:tcW w:w="438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gridSpan w:val="4"/>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May 4,</w:t>
            </w:r>
          </w:p>
        </w:tc>
        <w:tc>
          <w:tcPr>
            <w:tcW w:w="2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432"/>
              <w:spacing w:after="0" w:line="131" w:lineRule="exact"/>
              <w:rPr>
                <w:sz w:val="20"/>
                <w:szCs w:val="20"/>
                <w:color w:val="auto"/>
              </w:rPr>
            </w:pPr>
            <w:r>
              <w:rPr>
                <w:rFonts w:ascii="Times New Roman" w:cs="Times New Roman" w:eastAsia="Times New Roman" w:hAnsi="Times New Roman"/>
                <w:sz w:val="14"/>
                <w:szCs w:val="14"/>
                <w:b w:val="1"/>
                <w:bCs w:val="1"/>
                <w:color w:val="auto"/>
              </w:rPr>
              <w:t>April 29,</w:t>
            </w:r>
          </w:p>
        </w:tc>
        <w:tc>
          <w:tcPr>
            <w:tcW w:w="300" w:type="dxa"/>
            <w:vAlign w:val="bottom"/>
          </w:tcPr>
          <w:p>
            <w:pPr>
              <w:spacing w:after="0"/>
              <w:rPr>
                <w:sz w:val="11"/>
                <w:szCs w:val="11"/>
                <w:color w:val="auto"/>
              </w:rPr>
            </w:pPr>
          </w:p>
        </w:tc>
      </w:tr>
      <w:tr>
        <w:trPr>
          <w:trHeight w:val="187"/>
        </w:trPr>
        <w:tc>
          <w:tcPr>
            <w:tcW w:w="43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6"/>
                <w:szCs w:val="16"/>
                <w:color w:val="auto"/>
              </w:rPr>
            </w:pPr>
          </w:p>
        </w:tc>
      </w:tr>
      <w:tr>
        <w:trPr>
          <w:trHeight w:val="236"/>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r>
      <w:tr>
        <w:trPr>
          <w:trHeight w:val="238"/>
        </w:trPr>
        <w:tc>
          <w:tcPr>
            <w:tcW w:w="4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Products</w:t>
            </w:r>
          </w:p>
        </w:tc>
        <w:tc>
          <w:tcPr>
            <w:tcW w:w="3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83.7 %</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84.6 %</w:t>
            </w:r>
          </w:p>
        </w:tc>
      </w:tr>
      <w:tr>
        <w:trPr>
          <w:trHeight w:val="243"/>
        </w:trPr>
        <w:tc>
          <w:tcPr>
            <w:tcW w:w="43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Services and other</w:t>
            </w:r>
          </w:p>
        </w:tc>
        <w:tc>
          <w:tcPr>
            <w:tcW w:w="31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300" w:type="dxa"/>
            <w:vAlign w:val="bottom"/>
            <w:tcBorders>
              <w:bottom w:val="single" w:sz="8" w:color="CFF0FC"/>
            </w:tcBorders>
            <w:shd w:val="clear" w:color="auto" w:fill="CFF0FC"/>
          </w:tcPr>
          <w:p>
            <w:pPr>
              <w:spacing w:after="0"/>
              <w:rPr>
                <w:sz w:val="21"/>
                <w:szCs w:val="21"/>
                <w:color w:val="auto"/>
              </w:rPr>
            </w:pPr>
          </w:p>
        </w:tc>
      </w:tr>
      <w:tr>
        <w:trPr>
          <w:trHeight w:val="236"/>
        </w:trPr>
        <w:tc>
          <w:tcPr>
            <w:tcW w:w="4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net sales</w:t>
            </w:r>
          </w:p>
        </w:tc>
        <w:tc>
          <w:tcPr>
            <w:tcW w:w="3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tcPr>
          <w:p>
            <w:pPr>
              <w:spacing w:after="0"/>
              <w:rPr>
                <w:sz w:val="20"/>
                <w:szCs w:val="20"/>
                <w:color w:val="auto"/>
              </w:rPr>
            </w:pPr>
          </w:p>
        </w:tc>
      </w:tr>
      <w:tr>
        <w:trPr>
          <w:trHeight w:val="247"/>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1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r>
      <w:tr>
        <w:trPr>
          <w:trHeight w:val="238"/>
        </w:trPr>
        <w:tc>
          <w:tcPr>
            <w:tcW w:w="4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Products</w:t>
            </w:r>
          </w:p>
        </w:tc>
        <w:tc>
          <w:tcPr>
            <w:tcW w:w="3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300" w:type="dxa"/>
            <w:vAlign w:val="bottom"/>
          </w:tcPr>
          <w:p>
            <w:pPr>
              <w:spacing w:after="0"/>
              <w:rPr>
                <w:sz w:val="20"/>
                <w:szCs w:val="20"/>
                <w:color w:val="auto"/>
              </w:rPr>
            </w:pPr>
          </w:p>
        </w:tc>
      </w:tr>
      <w:tr>
        <w:trPr>
          <w:trHeight w:val="243"/>
        </w:trPr>
        <w:tc>
          <w:tcPr>
            <w:tcW w:w="43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Services and other</w:t>
            </w:r>
          </w:p>
        </w:tc>
        <w:tc>
          <w:tcPr>
            <w:tcW w:w="31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300" w:type="dxa"/>
            <w:vAlign w:val="bottom"/>
            <w:tcBorders>
              <w:bottom w:val="single" w:sz="8" w:color="CFF0FC"/>
            </w:tcBorders>
            <w:shd w:val="clear" w:color="auto" w:fill="CFF0FC"/>
          </w:tcPr>
          <w:p>
            <w:pPr>
              <w:spacing w:after="0"/>
              <w:rPr>
                <w:sz w:val="21"/>
                <w:szCs w:val="21"/>
                <w:color w:val="auto"/>
              </w:rPr>
            </w:pPr>
          </w:p>
        </w:tc>
      </w:tr>
      <w:tr>
        <w:trPr>
          <w:trHeight w:val="236"/>
        </w:trPr>
        <w:tc>
          <w:tcPr>
            <w:tcW w:w="4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cost of sales</w:t>
            </w:r>
          </w:p>
        </w:tc>
        <w:tc>
          <w:tcPr>
            <w:tcW w:w="314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300" w:type="dxa"/>
            <w:vAlign w:val="bottom"/>
          </w:tcPr>
          <w:p>
            <w:pPr>
              <w:spacing w:after="0"/>
              <w:rPr>
                <w:sz w:val="20"/>
                <w:szCs w:val="20"/>
                <w:color w:val="auto"/>
              </w:rPr>
            </w:pPr>
          </w:p>
        </w:tc>
      </w:tr>
      <w:tr>
        <w:trPr>
          <w:trHeight w:val="240"/>
        </w:trPr>
        <w:tc>
          <w:tcPr>
            <w:tcW w:w="43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Gross profit</w:t>
            </w:r>
          </w:p>
        </w:tc>
        <w:tc>
          <w:tcPr>
            <w:tcW w:w="3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300" w:type="dxa"/>
            <w:vAlign w:val="bottom"/>
            <w:shd w:val="clear" w:color="auto" w:fill="CFF0FC"/>
          </w:tcPr>
          <w:p>
            <w:pPr>
              <w:spacing w:after="0"/>
              <w:rPr>
                <w:sz w:val="20"/>
                <w:szCs w:val="20"/>
                <w:color w:val="auto"/>
              </w:rPr>
            </w:pPr>
          </w:p>
        </w:tc>
      </w:tr>
      <w:tr>
        <w:trPr>
          <w:trHeight w:val="238"/>
        </w:trPr>
        <w:tc>
          <w:tcPr>
            <w:tcW w:w="43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140" w:type="dxa"/>
            <w:vAlign w:val="bottom"/>
            <w:tcBorders>
              <w:bottom w:val="single" w:sz="8" w:color="CFF0FC"/>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300" w:type="dxa"/>
            <w:vAlign w:val="bottom"/>
            <w:tcBorders>
              <w:bottom w:val="single" w:sz="8" w:color="CFF0FC"/>
            </w:tcBorders>
          </w:tcPr>
          <w:p>
            <w:pPr>
              <w:spacing w:after="0"/>
              <w:rPr>
                <w:sz w:val="20"/>
                <w:szCs w:val="20"/>
                <w:color w:val="auto"/>
              </w:rPr>
            </w:pPr>
          </w:p>
        </w:tc>
      </w:tr>
      <w:tr>
        <w:trPr>
          <w:trHeight w:val="240"/>
        </w:trPr>
        <w:tc>
          <w:tcPr>
            <w:tcW w:w="43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(loss) income</w:t>
            </w:r>
          </w:p>
        </w:tc>
        <w:tc>
          <w:tcPr>
            <w:tcW w:w="3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shd w:val="clear" w:color="auto" w:fill="CFF0FC"/>
          </w:tcPr>
          <w:p>
            <w:pPr>
              <w:spacing w:after="0"/>
              <w:rPr>
                <w:sz w:val="20"/>
                <w:szCs w:val="20"/>
                <w:color w:val="auto"/>
              </w:rPr>
            </w:pPr>
          </w:p>
        </w:tc>
      </w:tr>
      <w:tr>
        <w:trPr>
          <w:trHeight w:val="238"/>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(0.1 )</w:t>
            </w:r>
          </w:p>
        </w:tc>
      </w:tr>
      <w:tr>
        <w:trPr>
          <w:trHeight w:val="247"/>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1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shd w:val="clear" w:color="auto" w:fill="CFF0FC"/>
          </w:tcPr>
          <w:p>
            <w:pPr>
              <w:spacing w:after="0"/>
              <w:rPr>
                <w:sz w:val="21"/>
                <w:szCs w:val="21"/>
                <w:color w:val="auto"/>
              </w:rPr>
            </w:pPr>
          </w:p>
        </w:tc>
      </w:tr>
      <w:tr>
        <w:trPr>
          <w:trHeight w:val="238"/>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partial extinguishment of debt</w:t>
            </w:r>
          </w:p>
        </w:tc>
        <w:tc>
          <w:tcPr>
            <w:tcW w:w="3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2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300" w:type="dxa"/>
            <w:vAlign w:val="bottom"/>
          </w:tcPr>
          <w:p>
            <w:pPr>
              <w:spacing w:after="0"/>
              <w:rPr>
                <w:sz w:val="20"/>
                <w:szCs w:val="20"/>
                <w:color w:val="auto"/>
              </w:rPr>
            </w:pPr>
          </w:p>
        </w:tc>
      </w:tr>
      <w:tr>
        <w:trPr>
          <w:trHeight w:val="243"/>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non-operating loss (income)</w:t>
            </w:r>
          </w:p>
        </w:tc>
        <w:tc>
          <w:tcPr>
            <w:tcW w:w="31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(0.1 )</w:t>
            </w:r>
          </w:p>
        </w:tc>
      </w:tr>
      <w:tr>
        <w:trPr>
          <w:trHeight w:val="209"/>
        </w:trPr>
        <w:tc>
          <w:tcPr>
            <w:tcW w:w="438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Loss before income taxes and income</w:t>
            </w:r>
          </w:p>
        </w:tc>
        <w:tc>
          <w:tcPr>
            <w:tcW w:w="3140" w:type="dxa"/>
            <w:vAlign w:val="bottom"/>
            <w:tcBorders>
              <w:top w:val="single" w:sz="8" w:color="CFF0FC"/>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r>
      <w:tr>
        <w:trPr>
          <w:trHeight w:val="241"/>
        </w:trPr>
        <w:tc>
          <w:tcPr>
            <w:tcW w:w="43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from equity method investees</w:t>
            </w:r>
          </w:p>
        </w:tc>
        <w:tc>
          <w:tcPr>
            <w:tcW w:w="3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(0.4 )</w:t>
            </w:r>
          </w:p>
        </w:tc>
      </w:tr>
      <w:tr>
        <w:trPr>
          <w:trHeight w:val="249"/>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1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(0.1 )</w:t>
            </w:r>
          </w:p>
        </w:tc>
      </w:tr>
      <w:tr>
        <w:trPr>
          <w:trHeight w:val="238"/>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equity method investees</w:t>
            </w:r>
          </w:p>
        </w:tc>
        <w:tc>
          <w:tcPr>
            <w:tcW w:w="3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(0.2 )</w:t>
            </w:r>
          </w:p>
        </w:tc>
      </w:tr>
      <w:tr>
        <w:trPr>
          <w:trHeight w:val="209"/>
        </w:trPr>
        <w:tc>
          <w:tcPr>
            <w:tcW w:w="43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loss attributable to Class A and B-1</w:t>
            </w:r>
          </w:p>
        </w:tc>
        <w:tc>
          <w:tcPr>
            <w:tcW w:w="3140" w:type="dxa"/>
            <w:vAlign w:val="bottom"/>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r>
      <w:tr>
        <w:trPr>
          <w:trHeight w:val="248"/>
        </w:trPr>
        <w:tc>
          <w:tcPr>
            <w:tcW w:w="438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common stockholders</w:t>
            </w:r>
          </w:p>
        </w:tc>
        <w:tc>
          <w:tcPr>
            <w:tcW w:w="31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(3.0 )%</w:t>
            </w:r>
          </w:p>
        </w:tc>
        <w:tc>
          <w:tcPr>
            <w:tcW w:w="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(0.1 )%</w:t>
            </w:r>
          </w:p>
        </w:tc>
      </w:tr>
      <w:tr>
        <w:trPr>
          <w:trHeight w:val="647"/>
        </w:trPr>
        <w:tc>
          <w:tcPr>
            <w:tcW w:w="4380" w:type="dxa"/>
            <w:vAlign w:val="bottom"/>
          </w:tcPr>
          <w:p>
            <w:pPr>
              <w:spacing w:after="0"/>
              <w:rPr>
                <w:sz w:val="24"/>
                <w:szCs w:val="24"/>
                <w:color w:val="auto"/>
              </w:rPr>
            </w:pPr>
          </w:p>
        </w:tc>
        <w:tc>
          <w:tcPr>
            <w:tcW w:w="3140" w:type="dxa"/>
            <w:vAlign w:val="bottom"/>
          </w:tcPr>
          <w:p>
            <w:pPr>
              <w:jc w:val="right"/>
              <w:ind w:right="1710"/>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762"/>
        </w:trPr>
        <w:tc>
          <w:tcPr>
            <w:tcW w:w="438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5793105</wp:posOffset>
            </wp:positionH>
            <wp:positionV relativeFrom="paragraph">
              <wp:posOffset>-7423150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-7423150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5793105</wp:posOffset>
            </wp:positionH>
            <wp:positionV relativeFrom="paragraph">
              <wp:posOffset>-6797675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-6797675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5793105</wp:posOffset>
            </wp:positionH>
            <wp:positionV relativeFrom="paragraph">
              <wp:posOffset>-6318250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-6318250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5793105</wp:posOffset>
            </wp:positionH>
            <wp:positionV relativeFrom="paragraph">
              <wp:posOffset>-5539105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-5539105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5793105</wp:posOffset>
            </wp:positionH>
            <wp:positionV relativeFrom="paragraph">
              <wp:posOffset>-3698240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-3698240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5793105</wp:posOffset>
            </wp:positionH>
            <wp:positionV relativeFrom="paragraph">
              <wp:posOffset>-3073400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-3073400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5793105</wp:posOffset>
            </wp:positionH>
            <wp:positionV relativeFrom="paragraph">
              <wp:posOffset>-2593975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-2593975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5793105</wp:posOffset>
            </wp:positionH>
            <wp:positionV relativeFrom="paragraph">
              <wp:posOffset>-1814830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-1814830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12" w:right="339" w:bottom="816"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580" w:type="dxa"/>
            <w:vAlign w:val="bottom"/>
            <w:gridSpan w:val="6"/>
          </w:tcPr>
          <w:p>
            <w:pPr>
              <w:jc w:val="right"/>
              <w:ind w:right="12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131"/>
        </w:trPr>
        <w:tc>
          <w:tcPr>
            <w:tcW w:w="7700" w:type="dxa"/>
            <w:vAlign w:val="bottom"/>
          </w:tcPr>
          <w:p>
            <w:pPr>
              <w:spacing w:after="0"/>
              <w:rPr>
                <w:sz w:val="11"/>
                <w:szCs w:val="11"/>
                <w:color w:val="auto"/>
              </w:rPr>
            </w:pPr>
          </w:p>
        </w:tc>
        <w:tc>
          <w:tcPr>
            <w:tcW w:w="1020" w:type="dxa"/>
            <w:vAlign w:val="bottom"/>
            <w:tcBorders>
              <w:top w:val="single" w:sz="8" w:color="auto"/>
            </w:tcBorders>
          </w:tcPr>
          <w:p>
            <w:pPr>
              <w:jc w:val="center"/>
              <w:ind w:left="482"/>
              <w:spacing w:after="0" w:line="131" w:lineRule="exact"/>
              <w:rPr>
                <w:sz w:val="20"/>
                <w:szCs w:val="20"/>
                <w:color w:val="auto"/>
              </w:rPr>
            </w:pPr>
            <w:r>
              <w:rPr>
                <w:rFonts w:ascii="Times New Roman" w:cs="Times New Roman" w:eastAsia="Times New Roman" w:hAnsi="Times New Roman"/>
                <w:sz w:val="14"/>
                <w:szCs w:val="14"/>
                <w:b w:val="1"/>
                <w:bCs w:val="1"/>
                <w:color w:val="auto"/>
              </w:rPr>
              <w:t>May 4,</w:t>
            </w:r>
          </w:p>
        </w:tc>
        <w:tc>
          <w:tcPr>
            <w:tcW w:w="5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right"/>
              <w:ind w:right="437"/>
              <w:spacing w:after="0" w:line="131" w:lineRule="exact"/>
              <w:rPr>
                <w:sz w:val="20"/>
                <w:szCs w:val="20"/>
                <w:color w:val="auto"/>
              </w:rPr>
            </w:pPr>
            <w:r>
              <w:rPr>
                <w:rFonts w:ascii="Times New Roman" w:cs="Times New Roman" w:eastAsia="Times New Roman" w:hAnsi="Times New Roman"/>
                <w:sz w:val="14"/>
                <w:szCs w:val="14"/>
                <w:b w:val="1"/>
                <w:bCs w:val="1"/>
                <w:color w:val="auto"/>
              </w:rPr>
              <w:t>April 29,</w:t>
            </w:r>
          </w:p>
        </w:tc>
        <w:tc>
          <w:tcPr>
            <w:tcW w:w="160" w:type="dxa"/>
            <w:vAlign w:val="bottom"/>
            <w:gridSpan w:val="2"/>
          </w:tcPr>
          <w:p>
            <w:pPr>
              <w:spacing w:after="0"/>
              <w:rPr>
                <w:sz w:val="11"/>
                <w:szCs w:val="11"/>
                <w:color w:val="auto"/>
              </w:rPr>
            </w:pPr>
          </w:p>
        </w:tc>
      </w:tr>
      <w:tr>
        <w:trPr>
          <w:trHeight w:val="187"/>
        </w:trPr>
        <w:tc>
          <w:tcPr>
            <w:tcW w:w="7700" w:type="dxa"/>
            <w:vAlign w:val="bottom"/>
          </w:tcPr>
          <w:p>
            <w:pPr>
              <w:spacing w:after="0"/>
              <w:rPr>
                <w:sz w:val="16"/>
                <w:szCs w:val="16"/>
                <w:color w:val="auto"/>
              </w:rPr>
            </w:pPr>
          </w:p>
        </w:tc>
        <w:tc>
          <w:tcPr>
            <w:tcW w:w="1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Operational Data:</w:t>
            </w:r>
          </w:p>
        </w:tc>
        <w:tc>
          <w:tcPr>
            <w:tcW w:w="10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Comparable sales change</w:t>
            </w:r>
          </w:p>
        </w:tc>
        <w:tc>
          <w:tcPr>
            <w:tcW w:w="102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-1.2 %</w:t>
            </w:r>
          </w:p>
        </w:tc>
        <w:tc>
          <w:tcPr>
            <w:tcW w:w="30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pet care centers at end of period</w:t>
            </w:r>
          </w:p>
        </w:tc>
        <w:tc>
          <w:tcPr>
            <w:tcW w:w="102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(in thousands)</w:t>
            </w:r>
          </w:p>
        </w:tc>
        <w:tc>
          <w:tcPr>
            <w:tcW w:w="1020" w:type="dxa"/>
            <w:vAlign w:val="bottom"/>
          </w:tcPr>
          <w:p>
            <w:pPr>
              <w:jc w:val="right"/>
              <w:ind w:right="82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75,644</w:t>
            </w:r>
          </w:p>
        </w:tc>
        <w:tc>
          <w:tcPr>
            <w:tcW w:w="3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111,026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350" w:lineRule="exact"/>
        <w:rPr>
          <w:sz w:val="20"/>
          <w:szCs w:val="20"/>
          <w:color w:val="auto"/>
        </w:rPr>
      </w:pPr>
    </w:p>
    <w:p>
      <w:pPr>
        <w:ind w:right="2260" w:firstLine="2161"/>
        <w:spacing w:after="0" w:line="411" w:lineRule="auto"/>
        <w:rPr>
          <w:sz w:val="20"/>
          <w:szCs w:val="20"/>
          <w:color w:val="auto"/>
        </w:rPr>
      </w:pPr>
      <w:r>
        <w:rPr>
          <w:rFonts w:ascii="Times New Roman" w:cs="Times New Roman" w:eastAsia="Times New Roman" w:hAnsi="Times New Roman"/>
          <w:sz w:val="18"/>
          <w:szCs w:val="18"/>
          <w:b w:val="1"/>
          <w:bCs w:val="1"/>
          <w:color w:val="auto"/>
        </w:rPr>
        <w:t xml:space="preserve">Thirteen Weeks Ended May 4, 2024 Compared with Thirteen Weeks Ended April 29, 2023 </w:t>
      </w:r>
      <w:r>
        <w:rPr>
          <w:rFonts w:ascii="Times New Roman" w:cs="Times New Roman" w:eastAsia="Times New Roman" w:hAnsi="Times New Roman"/>
          <w:sz w:val="18"/>
          <w:szCs w:val="18"/>
          <w:b w:val="1"/>
          <w:bCs w:val="1"/>
          <w:i w:val="1"/>
          <w:iCs w:val="1"/>
          <w:color w:val="auto"/>
        </w:rPr>
        <w:t>Net Sales and Comparable Sales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131"/>
        </w:trPr>
        <w:tc>
          <w:tcPr>
            <w:tcW w:w="4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80" w:type="dxa"/>
            <w:vAlign w:val="bottom"/>
          </w:tcPr>
          <w:p>
            <w:pPr>
              <w:jc w:val="right"/>
              <w:ind w:right="516"/>
              <w:spacing w:after="0" w:line="131" w:lineRule="exact"/>
              <w:rPr>
                <w:sz w:val="20"/>
                <w:szCs w:val="20"/>
                <w:color w:val="auto"/>
              </w:rPr>
            </w:pPr>
            <w:r>
              <w:rPr>
                <w:rFonts w:ascii="Times New Roman" w:cs="Times New Roman" w:eastAsia="Times New Roman" w:hAnsi="Times New Roman"/>
                <w:sz w:val="14"/>
                <w:szCs w:val="14"/>
                <w:b w:val="1"/>
                <w:bCs w:val="1"/>
                <w:color w:val="auto"/>
              </w:rPr>
              <w:t>May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60" w:type="dxa"/>
            <w:vAlign w:val="bottom"/>
            <w:gridSpan w:val="2"/>
          </w:tcPr>
          <w:p>
            <w:pPr>
              <w:ind w:left="240"/>
              <w:spacing w:after="0" w:line="131" w:lineRule="exact"/>
              <w:rPr>
                <w:sz w:val="20"/>
                <w:szCs w:val="20"/>
                <w:color w:val="auto"/>
              </w:rPr>
            </w:pPr>
            <w:r>
              <w:rPr>
                <w:rFonts w:ascii="Times New Roman" w:cs="Times New Roman" w:eastAsia="Times New Roman" w:hAnsi="Times New Roman"/>
                <w:sz w:val="14"/>
                <w:szCs w:val="14"/>
                <w:b w:val="1"/>
                <w:bCs w:val="1"/>
                <w:color w:val="auto"/>
              </w:rPr>
              <w:t>April 29,</w:t>
            </w:r>
          </w:p>
        </w:tc>
        <w:tc>
          <w:tcPr>
            <w:tcW w:w="240" w:type="dxa"/>
            <w:vAlign w:val="bottom"/>
          </w:tcPr>
          <w:p>
            <w:pPr>
              <w:spacing w:after="0"/>
              <w:rPr>
                <w:sz w:val="11"/>
                <w:szCs w:val="11"/>
                <w:color w:val="auto"/>
              </w:rPr>
            </w:pPr>
          </w:p>
        </w:tc>
        <w:tc>
          <w:tcPr>
            <w:tcW w:w="1000" w:type="dxa"/>
            <w:vAlign w:val="bottom"/>
          </w:tcPr>
          <w:p>
            <w:pPr>
              <w:jc w:val="right"/>
              <w:ind w:right="516"/>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1"/>
                <w:szCs w:val="11"/>
                <w:color w:val="auto"/>
              </w:rPr>
            </w:pPr>
          </w:p>
        </w:tc>
        <w:tc>
          <w:tcPr>
            <w:tcW w:w="840" w:type="dxa"/>
            <w:vAlign w:val="bottom"/>
          </w:tcPr>
          <w:p>
            <w:pPr>
              <w:jc w:val="right"/>
              <w:ind w:right="276"/>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1"/>
                <w:szCs w:val="11"/>
                <w:color w:val="auto"/>
              </w:rPr>
            </w:pPr>
          </w:p>
        </w:tc>
      </w:tr>
      <w:tr>
        <w:trPr>
          <w:trHeight w:val="187"/>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6"/>
                <w:szCs w:val="16"/>
                <w:color w:val="auto"/>
              </w:rPr>
            </w:pPr>
          </w:p>
        </w:tc>
      </w:tr>
      <w:tr>
        <w:trPr>
          <w:trHeight w:val="25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Consumables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763,974</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763,051</w:t>
            </w:r>
          </w:p>
        </w:tc>
        <w:tc>
          <w:tcPr>
            <w:tcW w:w="3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32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0.1 %</w:t>
            </w:r>
          </w:p>
        </w:tc>
      </w:tr>
      <w:tr>
        <w:trPr>
          <w:trHeight w:val="24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Supplies and companion animals</w:t>
            </w: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515,757</w:t>
            </w: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553,545</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(37,788 )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(6.8 %)</w:t>
            </w:r>
          </w:p>
        </w:tc>
      </w:tr>
      <w:tr>
        <w:trPr>
          <w:trHeight w:val="256"/>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Services and other</w:t>
            </w: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249,409</w:t>
            </w:r>
          </w:p>
        </w:tc>
        <w:tc>
          <w:tcPr>
            <w:tcW w:w="3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239,312</w:t>
            </w:r>
          </w:p>
        </w:tc>
        <w:tc>
          <w:tcPr>
            <w:tcW w:w="3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10,097</w:t>
            </w:r>
          </w:p>
        </w:tc>
        <w:tc>
          <w:tcPr>
            <w:tcW w:w="320" w:type="dxa"/>
            <w:vAlign w:val="bottom"/>
          </w:tcPr>
          <w:p>
            <w:pPr>
              <w:spacing w:after="0"/>
              <w:rPr>
                <w:sz w:val="22"/>
                <w:szCs w:val="22"/>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4.2 %</w:t>
            </w:r>
          </w:p>
        </w:tc>
      </w:tr>
      <w:tr>
        <w:trPr>
          <w:trHeight w:val="236"/>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1,529,140</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1,555,908</w:t>
            </w:r>
          </w:p>
        </w:tc>
        <w:tc>
          <w:tcPr>
            <w:tcW w:w="3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(26,768 )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0"/>
        </w:trPr>
        <w:tc>
          <w:tcPr>
            <w:tcW w:w="47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-667385</wp:posOffset>
            </wp:positionV>
            <wp:extent cx="7132320"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-341630</wp:posOffset>
            </wp:positionV>
            <wp:extent cx="7132320" cy="1625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right="200" w:firstLine="509"/>
        <w:spacing w:after="0" w:line="265" w:lineRule="auto"/>
        <w:rPr>
          <w:sz w:val="20"/>
          <w:szCs w:val="20"/>
          <w:color w:val="auto"/>
        </w:rPr>
      </w:pPr>
      <w:r>
        <w:rPr>
          <w:rFonts w:ascii="Times New Roman" w:cs="Times New Roman" w:eastAsia="Times New Roman" w:hAnsi="Times New Roman"/>
          <w:sz w:val="18"/>
          <w:szCs w:val="18"/>
          <w:color w:val="auto"/>
        </w:rPr>
        <w:t>Net sales decreased $26.8 million, or 1.7%, to $1.53 billion in the thirteen weeks ended May 4, 2024 compared to net sales of $1.56 billion in the thirteen weeks ended April 29, 2023. We continue to experience momentum in consumables and services, although we have also experienced a decrease in supplies and companion animals sales driven by softening in discretionary spend associated with the current inflationary macroeconomic environment.</w:t>
      </w:r>
    </w:p>
    <w:p>
      <w:pPr>
        <w:spacing w:after="0" w:line="69" w:lineRule="exact"/>
        <w:rPr>
          <w:sz w:val="20"/>
          <w:szCs w:val="20"/>
          <w:color w:val="auto"/>
        </w:rPr>
      </w:pPr>
    </w:p>
    <w:p>
      <w:pPr>
        <w:ind w:right="140" w:firstLine="509"/>
        <w:spacing w:after="0" w:line="265" w:lineRule="auto"/>
        <w:rPr>
          <w:sz w:val="20"/>
          <w:szCs w:val="20"/>
          <w:color w:val="auto"/>
        </w:rPr>
      </w:pPr>
      <w:r>
        <w:rPr>
          <w:rFonts w:ascii="Times New Roman" w:cs="Times New Roman" w:eastAsia="Times New Roman" w:hAnsi="Times New Roman"/>
          <w:sz w:val="18"/>
          <w:szCs w:val="18"/>
          <w:color w:val="auto"/>
        </w:rPr>
        <w:t>The comparison of consumables sales between the periods reflects the impact of prior year inflation, coupled with pricing actions taken in the third quarter of fiscal 2023.The decrease in supplies and companion animals sales is due to a decrease in spending on certain non-essential items. The increase in services and other was driven by ongoing strength in our veterinary hospitals, mobile clinics, and grooming businesses.</w:t>
      </w:r>
    </w:p>
    <w:p>
      <w:pPr>
        <w:spacing w:after="0" w:line="69" w:lineRule="exact"/>
        <w:rPr>
          <w:sz w:val="20"/>
          <w:szCs w:val="20"/>
          <w:color w:val="auto"/>
        </w:rPr>
      </w:pPr>
    </w:p>
    <w:p>
      <w:pPr>
        <w:ind w:right="380" w:firstLine="509"/>
        <w:spacing w:after="0" w:line="281" w:lineRule="auto"/>
        <w:rPr>
          <w:sz w:val="20"/>
          <w:szCs w:val="20"/>
          <w:color w:val="auto"/>
        </w:rPr>
      </w:pPr>
      <w:r>
        <w:rPr>
          <w:rFonts w:ascii="Times New Roman" w:cs="Times New Roman" w:eastAsia="Times New Roman" w:hAnsi="Times New Roman"/>
          <w:sz w:val="18"/>
          <w:szCs w:val="18"/>
          <w:color w:val="auto"/>
        </w:rPr>
        <w:t>The increase in services and other sales was primarily driven by a 10.5% increase in service-related sales during the thirteen weeks ended May 4, 2024, reflecting expansion and maturity of our veterinary hospital footprint and growth in our veterinary and grooming business.</w:t>
      </w:r>
    </w:p>
    <w:p>
      <w:pPr>
        <w:spacing w:after="0" w:line="55" w:lineRule="exact"/>
        <w:rPr>
          <w:sz w:val="20"/>
          <w:szCs w:val="20"/>
          <w:color w:val="auto"/>
        </w:rPr>
      </w:pPr>
    </w:p>
    <w:p>
      <w:pPr>
        <w:ind w:right="180" w:firstLine="509"/>
        <w:spacing w:after="0" w:line="281" w:lineRule="auto"/>
        <w:rPr>
          <w:sz w:val="20"/>
          <w:szCs w:val="20"/>
          <w:color w:val="auto"/>
        </w:rPr>
      </w:pPr>
      <w:r>
        <w:rPr>
          <w:rFonts w:ascii="Times New Roman" w:cs="Times New Roman" w:eastAsia="Times New Roman" w:hAnsi="Times New Roman"/>
          <w:sz w:val="18"/>
          <w:szCs w:val="18"/>
          <w:color w:val="auto"/>
        </w:rPr>
        <w:t>We are unable to quantify certain factors impacting sales described above due to the fact that such factors are based on input measures or qualitative information that do not lend themselves to quantification.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2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Gross profit decreased $25.8 million, or 4.3%, to $578.7 million in the thirteen weeks ended May 4, 2024 compared to gross profit of $604.5 million for the thirteen weeks ended April 29, 2023. As a percentage of sales, our gross profit rate was 37.8% for the thirteen weeks ended May 4, 2024 compared with 38.9% for the thirteen weeks ended April 29, 2023. The decrease in gross profit rate between the periods was primarily due to the mix impact of higher consumables and services sales and softer supplies sales during the thirteen weeks ended May 4, 2024. Sales channel impacts driven by strength in our services business also contributed to the decrease in gross profit rate during the thirteen weeks ended May 4, 2024 as compared to the prior year period. We are unable to quantify the factors impacting gross profit rate described above due to the fact that such factors are based on input measures or qualitative information that do not lend themselves to quantification.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(“SG&amp;A”) Expenses</w:t>
      </w:r>
    </w:p>
    <w:p>
      <w:pPr>
        <w:spacing w:after="0" w:line="121" w:lineRule="exact"/>
        <w:rPr>
          <w:sz w:val="20"/>
          <w:szCs w:val="20"/>
          <w:color w:val="auto"/>
        </w:rPr>
      </w:pPr>
    </w:p>
    <w:p>
      <w:pPr>
        <w:ind w:right="280" w:firstLine="509"/>
        <w:spacing w:after="0" w:line="260" w:lineRule="auto"/>
        <w:rPr>
          <w:sz w:val="20"/>
          <w:szCs w:val="20"/>
          <w:color w:val="auto"/>
        </w:rPr>
      </w:pPr>
      <w:r>
        <w:rPr>
          <w:rFonts w:ascii="Times New Roman" w:cs="Times New Roman" w:eastAsia="Times New Roman" w:hAnsi="Times New Roman"/>
          <w:sz w:val="18"/>
          <w:szCs w:val="18"/>
          <w:color w:val="auto"/>
        </w:rPr>
        <w:t>SG&amp;A expenses increased $18.6 million, or 3.2%, to $595.4 million for the thirteen weeks ended May 4, 2024 compared to $576.9 million for the thirteen weeks ended April 29, 2023. As a percentage of net sales, SG&amp;A expenses were 38.9% for the thirteen weeks ended May 4, 2024 compared with 37.1% for the thirteen weeks ended April 29, 2023. The increase in SG&amp;A expenses period-over-period included higher payroll and fringe benefits, severance-related charges, store occupancy costs, and depreciation expense.</w:t>
      </w:r>
    </w:p>
    <w:p>
      <w:pPr>
        <w:spacing w:after="0" w:line="18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099"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Interest expense decreased $0.4 million, or 1.0%, to $36.8 million in the thirteen weeks ended May 4, 2024 compared with $37.2 million in the thirteen weeks ended April 29, 2023. The decrease was primarily driven by pre-tax gains recognized in interest expense related to the Company's cash flow hedges during the thirteen weeks ended May 4, 2024. For more information on derivative instruments, refer to Note 5,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to the Notes to Consolidated Financial Statements included in Part I, Item 1 of this Form 10-Q.</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Partial Extinguishment of Debt</w:t>
      </w:r>
    </w:p>
    <w:p>
      <w:pPr>
        <w:spacing w:after="0" w:line="229" w:lineRule="exact"/>
        <w:rPr>
          <w:sz w:val="20"/>
          <w:szCs w:val="20"/>
          <w:color w:val="auto"/>
        </w:rPr>
      </w:pPr>
    </w:p>
    <w:p>
      <w:pPr>
        <w:jc w:val="both"/>
        <w:ind w:right="260" w:firstLine="509"/>
        <w:spacing w:after="0" w:line="265" w:lineRule="auto"/>
        <w:rPr>
          <w:sz w:val="20"/>
          <w:szCs w:val="20"/>
          <w:color w:val="auto"/>
        </w:rPr>
      </w:pPr>
      <w:r>
        <w:rPr>
          <w:rFonts w:ascii="Times New Roman" w:cs="Times New Roman" w:eastAsia="Times New Roman" w:hAnsi="Times New Roman"/>
          <w:sz w:val="18"/>
          <w:szCs w:val="18"/>
          <w:color w:val="auto"/>
        </w:rPr>
        <w:t>There was no loss on debt extinguishment and modification for the thirteen weeks ended May 4, 2024. During the thirteen weeks ended April 29, 2023, the Company recognized $0.4 million of losses on partial extinguishment of debt. For more information regarding these activities, refer to Note 4, “</w:t>
      </w:r>
      <w:r>
        <w:rPr>
          <w:rFonts w:ascii="Times New Roman" w:cs="Times New Roman" w:eastAsia="Times New Roman" w:hAnsi="Times New Roman"/>
          <w:sz w:val="18"/>
          <w:szCs w:val="18"/>
          <w:i w:val="1"/>
          <w:iCs w:val="1"/>
          <w:color w:val="auto"/>
        </w:rPr>
        <w:t>Senior Secured Credit Facilities</w:t>
      </w:r>
      <w:r>
        <w:rPr>
          <w:rFonts w:ascii="Times New Roman" w:cs="Times New Roman" w:eastAsia="Times New Roman" w:hAnsi="Times New Roman"/>
          <w:sz w:val="18"/>
          <w:szCs w:val="18"/>
          <w:color w:val="auto"/>
        </w:rPr>
        <w:t>,” to the Notes to Consolidated Financial Statements included in Part I, Item 1 of this Form 10-Q.</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Non-Operating Loss (Income)</w:t>
      </w:r>
    </w:p>
    <w:p>
      <w:pPr>
        <w:spacing w:after="0" w:line="229" w:lineRule="exact"/>
        <w:rPr>
          <w:sz w:val="20"/>
          <w:szCs w:val="20"/>
          <w:color w:val="auto"/>
        </w:rPr>
      </w:pPr>
    </w:p>
    <w:p>
      <w:pPr>
        <w:ind w:firstLine="554"/>
        <w:spacing w:after="0" w:line="265" w:lineRule="auto"/>
        <w:rPr>
          <w:sz w:val="20"/>
          <w:szCs w:val="20"/>
          <w:color w:val="auto"/>
        </w:rPr>
      </w:pPr>
      <w:r>
        <w:rPr>
          <w:rFonts w:ascii="Times New Roman" w:cs="Times New Roman" w:eastAsia="Times New Roman" w:hAnsi="Times New Roman"/>
          <w:sz w:val="18"/>
          <w:szCs w:val="18"/>
          <w:color w:val="auto"/>
        </w:rPr>
        <w:t xml:space="preserve">Other non-operating loss was $2.7 million and other non-operating income was $2.8 million for the thirteen weeks ended May 4, 2024 and April 29, 2023, respectively. For more information regarding this activity, refer to Note 6,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to the Notes to Consolidated Financial Statements included in Part I, Item 1 of this Form 10-Q.</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121"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Our effective tax rate was 9.1% resulting in income tax benefit of $4.5 million for the thirteen weeks ended May 4, 2024, compared to an effective tax rate of 34.8% resulting in income tax benefit of $1.0 million for the thirteen weeks ended April 29, 2023. The decrease in effective tax rate for the thirteen weeks ended May 4, 2024 is primarily driven by a shortfall in tax deductions resulting from the exercise and vesting of equity-based compensation along with a change in pre-tax earnings.</w:t>
      </w: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 to GAAP Measures</w:t>
      </w:r>
    </w:p>
    <w:p>
      <w:pPr>
        <w:spacing w:after="0" w:line="121" w:lineRule="exact"/>
        <w:rPr>
          <w:sz w:val="20"/>
          <w:szCs w:val="20"/>
          <w:color w:val="auto"/>
        </w:rPr>
      </w:pPr>
    </w:p>
    <w:p>
      <w:pPr>
        <w:ind w:right="200" w:firstLine="509"/>
        <w:spacing w:after="0" w:line="260" w:lineRule="auto"/>
        <w:rPr>
          <w:sz w:val="20"/>
          <w:szCs w:val="20"/>
          <w:color w:val="auto"/>
        </w:rPr>
      </w:pPr>
      <w:r>
        <w:rPr>
          <w:rFonts w:ascii="Times New Roman" w:cs="Times New Roman" w:eastAsia="Times New Roman" w:hAnsi="Times New Roman"/>
          <w:sz w:val="18"/>
          <w:szCs w:val="18"/>
          <w:color w:val="auto"/>
        </w:rPr>
        <w:t>The following information provides definitions and reconciliations of certain non-GAAP financial measures to the most directly comparable financial measures calculated and presented in accordance with GAAP. Such non-GAAP financial measures are not calculated in accordance with GAAP and should not be considered superior to, as a substitute for or alternative to, and should be considered in conjunction with, the most comparable GAAP measures. The non-GAAP financial measures presented may differ from similarly-titled measures used by other companies.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present Adjusted EBITDA, a non-GAAP financial measure, because we believe it enhances an investor’s understanding of our financial and operational performance by excluding certain material non-cash items, unusual or non-recurring items that we do not expect to continue in the future, and certain other adjustments we believe are or are not reflective of our ongoing operations and performance. Adjusted EBITDA enables operating performance to be reviewed across reporting periods on a consistent basis. We use Adjusted EBITDA as one of the principal measures to evaluate and monitor our operating financial performance and to compare our performance to others in our industry. We also use Adjusted EBITDA in connection with establishing discretionary annual incentive compensation targets, to make budgeting decisions, to make strategic decisions regarding the allocation of capital, and to report our quarterly results as defined in our debt agreements, although under such agreements the measure is calculated differently and is used for different purposes.</w:t>
      </w:r>
    </w:p>
    <w:p>
      <w:pPr>
        <w:spacing w:after="0" w:line="81" w:lineRule="exact"/>
        <w:rPr>
          <w:sz w:val="20"/>
          <w:szCs w:val="20"/>
          <w:color w:val="auto"/>
        </w:rPr>
      </w:pPr>
    </w:p>
    <w:p>
      <w:pPr>
        <w:ind w:right="260" w:firstLine="509"/>
        <w:spacing w:after="0" w:line="260" w:lineRule="auto"/>
        <w:rPr>
          <w:sz w:val="20"/>
          <w:szCs w:val="20"/>
          <w:color w:val="auto"/>
        </w:rPr>
      </w:pPr>
      <w:r>
        <w:rPr>
          <w:rFonts w:ascii="Times New Roman" w:cs="Times New Roman" w:eastAsia="Times New Roman" w:hAnsi="Times New Roman"/>
          <w:sz w:val="18"/>
          <w:szCs w:val="18"/>
          <w:color w:val="auto"/>
        </w:rPr>
        <w:t>Adjusted EBITDA is not a substitute for net loss, the most comparable GAAP measure, and is subject to a number of limitations as a financial measure, so it should be used in conjunction with GAAP financial measures and not in isolation. There can be no assurances that we will not modify the presentation of Adjusted EBITDA in the future. In addition, other companies in our industry may define Adjusted EBITDA differently, limiting its usefulness as a comparative measure. Refer to Part II, Item 7, “Management’s Discussion and Analysis of Financial Condition</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2" w:right="359" w:bottom="1440" w:gutter="0" w:footer="0" w:header="0"/>
        </w:sectPr>
      </w:pPr>
    </w:p>
    <w:bookmarkStart w:id="20" w:name="page21"/>
    <w:bookmarkEnd w:id="20"/>
    <w:p>
      <w:pPr>
        <w:ind w:right="240"/>
        <w:spacing w:after="0" w:line="281" w:lineRule="auto"/>
        <w:rPr>
          <w:sz w:val="20"/>
          <w:szCs w:val="20"/>
          <w:color w:val="auto"/>
        </w:rPr>
      </w:pPr>
      <w:r>
        <w:rPr>
          <w:rFonts w:ascii="Times New Roman" w:cs="Times New Roman" w:eastAsia="Times New Roman" w:hAnsi="Times New Roman"/>
          <w:sz w:val="18"/>
          <w:szCs w:val="18"/>
          <w:color w:val="auto"/>
        </w:rPr>
        <w:t>and Results of Operations—Reconciliation of Non-GAAP Financial Measures to GAAP Measures” included in the 2023 Form 10-K for more information regarding how we define Adjusted EBITDA.</w:t>
      </w:r>
    </w:p>
    <w:p>
      <w:pPr>
        <w:spacing w:after="0" w:line="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reflects the calculation of Adjusted EBITDA and Adjusted EBITDA Margin for the periods presented:</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300" w:type="dxa"/>
            <w:vAlign w:val="bottom"/>
            <w:gridSpan w:val="6"/>
          </w:tcPr>
          <w:p>
            <w:pPr>
              <w:jc w:val="right"/>
              <w:ind w:right="12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131"/>
        </w:trPr>
        <w:tc>
          <w:tcPr>
            <w:tcW w:w="77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gridSpan w:val="2"/>
          </w:tcPr>
          <w:p>
            <w:pPr>
              <w:jc w:val="right"/>
              <w:ind w:right="880"/>
              <w:spacing w:after="0" w:line="131" w:lineRule="exact"/>
              <w:rPr>
                <w:sz w:val="20"/>
                <w:szCs w:val="20"/>
                <w:color w:val="auto"/>
              </w:rPr>
            </w:pPr>
            <w:r>
              <w:rPr>
                <w:rFonts w:ascii="Times New Roman" w:cs="Times New Roman" w:eastAsia="Times New Roman" w:hAnsi="Times New Roman"/>
                <w:sz w:val="14"/>
                <w:szCs w:val="14"/>
                <w:b w:val="1"/>
                <w:bCs w:val="1"/>
                <w:color w:val="auto"/>
              </w:rPr>
              <w:t>May 4,</w:t>
            </w:r>
          </w:p>
        </w:tc>
        <w:tc>
          <w:tcPr>
            <w:tcW w:w="30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right"/>
              <w:ind w:right="432"/>
              <w:spacing w:after="0" w:line="131" w:lineRule="exact"/>
              <w:rPr>
                <w:sz w:val="20"/>
                <w:szCs w:val="20"/>
                <w:color w:val="auto"/>
              </w:rPr>
            </w:pPr>
            <w:r>
              <w:rPr>
                <w:rFonts w:ascii="Times New Roman" w:cs="Times New Roman" w:eastAsia="Times New Roman" w:hAnsi="Times New Roman"/>
                <w:sz w:val="14"/>
                <w:szCs w:val="14"/>
                <w:b w:val="1"/>
                <w:bCs w:val="1"/>
                <w:color w:val="auto"/>
              </w:rPr>
              <w:t>April 29,</w:t>
            </w:r>
          </w:p>
        </w:tc>
        <w:tc>
          <w:tcPr>
            <w:tcW w:w="200" w:type="dxa"/>
            <w:vAlign w:val="bottom"/>
            <w:gridSpan w:val="2"/>
          </w:tcPr>
          <w:p>
            <w:pPr>
              <w:spacing w:after="0"/>
              <w:rPr>
                <w:sz w:val="11"/>
                <w:szCs w:val="11"/>
                <w:color w:val="auto"/>
              </w:rPr>
            </w:pPr>
          </w:p>
        </w:tc>
      </w:tr>
      <w:tr>
        <w:trPr>
          <w:trHeight w:val="187"/>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4"/>
        </w:trPr>
        <w:tc>
          <w:tcPr>
            <w:tcW w:w="7700" w:type="dxa"/>
            <w:vAlign w:val="bottom"/>
            <w:shd w:val="clear" w:color="auto" w:fill="CFF0FC"/>
          </w:tcPr>
          <w:p>
            <w:pPr>
              <w:ind w:left="200"/>
              <w:spacing w:after="0" w:line="204" w:lineRule="exact"/>
              <w:rPr>
                <w:sz w:val="20"/>
                <w:szCs w:val="20"/>
                <w:color w:val="auto"/>
              </w:rPr>
            </w:pPr>
            <w:r>
              <w:rPr>
                <w:rFonts w:ascii="Times New Roman" w:cs="Times New Roman" w:eastAsia="Times New Roman" w:hAnsi="Times New Roman"/>
                <w:sz w:val="18"/>
                <w:szCs w:val="18"/>
                <w:color w:val="auto"/>
              </w:rPr>
              <w:t>Net loss attributable to Class A and B-1</w:t>
            </w: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r>
      <w:tr>
        <w:trPr>
          <w:trHeight w:val="248"/>
        </w:trPr>
        <w:tc>
          <w:tcPr>
            <w:tcW w:w="77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common stockholders</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(46,483 )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(1,892 )</w:t>
            </w:r>
          </w:p>
        </w:tc>
        <w:tc>
          <w:tcPr>
            <w:tcW w:w="100" w:type="dxa"/>
            <w:vAlign w:val="bottom"/>
          </w:tcPr>
          <w:p>
            <w:pPr>
              <w:spacing w:after="0"/>
              <w:rPr>
                <w:sz w:val="21"/>
                <w:szCs w:val="21"/>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36,399</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benefit</w:t>
            </w:r>
          </w:p>
        </w:tc>
        <w:tc>
          <w:tcPr>
            <w:tcW w:w="34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(4,477 )</w:t>
            </w:r>
          </w:p>
        </w:tc>
        <w:tc>
          <w:tcPr>
            <w:tcW w:w="3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(1,008 )</w:t>
            </w:r>
          </w:p>
        </w:tc>
        <w:tc>
          <w:tcPr>
            <w:tcW w:w="100" w:type="dxa"/>
            <w:vAlign w:val="bottom"/>
          </w:tcPr>
          <w:p>
            <w:pPr>
              <w:spacing w:after="0"/>
              <w:rPr>
                <w:sz w:val="21"/>
                <w:szCs w:val="21"/>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49,587</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49,255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from equity method investees</w:t>
            </w:r>
          </w:p>
        </w:tc>
        <w:tc>
          <w:tcPr>
            <w:tcW w:w="34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(4,886 )</w:t>
            </w:r>
          </w:p>
        </w:tc>
        <w:tc>
          <w:tcPr>
            <w:tcW w:w="3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(3,130 )</w:t>
            </w:r>
          </w:p>
        </w:tc>
        <w:tc>
          <w:tcPr>
            <w:tcW w:w="100" w:type="dxa"/>
            <w:vAlign w:val="bottom"/>
          </w:tcPr>
          <w:p>
            <w:pPr>
              <w:spacing w:after="0"/>
              <w:rPr>
                <w:sz w:val="21"/>
                <w:szCs w:val="21"/>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on partial extinguishment of debt</w:t>
            </w:r>
          </w:p>
        </w:tc>
        <w:tc>
          <w:tcPr>
            <w:tcW w:w="340" w:type="dxa"/>
            <w:vAlign w:val="bottom"/>
          </w:tcPr>
          <w:p>
            <w:pPr>
              <w:spacing w:after="0"/>
              <w:rPr>
                <w:sz w:val="20"/>
                <w:szCs w:val="20"/>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Asset impairments and write offs</w:t>
            </w: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Equity-based compensation</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17,434</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non-operating loss (income)</w:t>
            </w: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(2,819 )</w:t>
            </w:r>
          </w:p>
        </w:tc>
        <w:tc>
          <w:tcPr>
            <w:tcW w:w="100" w:type="dxa"/>
            <w:vAlign w:val="bottom"/>
          </w:tcPr>
          <w:p>
            <w:pPr>
              <w:spacing w:after="0"/>
              <w:rPr>
                <w:sz w:val="21"/>
                <w:szCs w:val="21"/>
                <w:color w:val="auto"/>
              </w:rPr>
            </w:pPr>
          </w:p>
        </w:tc>
      </w:tr>
      <w:tr>
        <w:trPr>
          <w:trHeight w:val="234"/>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Mexico joint venture EBITDA (1)</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10,496</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1"/>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Acquisition and divestiture-related costs (2)</w:t>
            </w: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costs (3)</w:t>
            </w: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7,682</w:t>
            </w:r>
          </w:p>
        </w:tc>
        <w:tc>
          <w:tcPr>
            <w:tcW w:w="3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6"/>
        </w:trPr>
        <w:tc>
          <w:tcPr>
            <w:tcW w:w="77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75,644</w:t>
            </w:r>
          </w:p>
        </w:tc>
        <w:tc>
          <w:tcPr>
            <w:tcW w:w="3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111,026</w:t>
            </w:r>
          </w:p>
        </w:tc>
        <w:tc>
          <w:tcPr>
            <w:tcW w:w="100" w:type="dxa"/>
            <w:vAlign w:val="bottom"/>
            <w:tcBorders>
              <w:bottom w:val="single" w:sz="8" w:color="CFF0FC"/>
            </w:tcBorders>
            <w:shd w:val="clear" w:color="auto" w:fill="CFF0FC"/>
          </w:tcPr>
          <w:p>
            <w:pPr>
              <w:spacing w:after="0"/>
              <w:rPr>
                <w:sz w:val="24"/>
                <w:szCs w:val="24"/>
                <w:color w:val="auto"/>
              </w:rPr>
            </w:pPr>
          </w:p>
        </w:tc>
        <w:tc>
          <w:tcPr>
            <w:tcW w:w="100" w:type="dxa"/>
            <w:vAlign w:val="bottom"/>
          </w:tcPr>
          <w:p>
            <w:pPr>
              <w:spacing w:after="0"/>
              <w:rPr>
                <w:sz w:val="24"/>
                <w:szCs w:val="24"/>
                <w:color w:val="auto"/>
              </w:rPr>
            </w:pPr>
          </w:p>
        </w:tc>
      </w:tr>
      <w:tr>
        <w:trPr>
          <w:trHeight w:val="21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1,529,140</w:t>
            </w:r>
          </w:p>
        </w:tc>
        <w:tc>
          <w:tcPr>
            <w:tcW w:w="3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1,555,908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margin (4)</w:t>
            </w:r>
          </w:p>
        </w:tc>
        <w:tc>
          <w:tcPr>
            <w:tcW w:w="340" w:type="dxa"/>
            <w:vAlign w:val="bottom"/>
          </w:tcPr>
          <w:p>
            <w:pPr>
              <w:spacing w:after="0"/>
              <w:rPr>
                <w:sz w:val="20"/>
                <w:szCs w:val="20"/>
                <w:color w:val="auto"/>
              </w:rPr>
            </w:pP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(3.0 )%</w:t>
            </w:r>
          </w:p>
        </w:tc>
        <w:tc>
          <w:tcPr>
            <w:tcW w:w="300" w:type="dxa"/>
            <w:vAlign w:val="bottom"/>
          </w:tcPr>
          <w:p>
            <w:pPr>
              <w:spacing w:after="0"/>
              <w:rPr>
                <w:sz w:val="20"/>
                <w:szCs w:val="20"/>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33"/>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Adjusted EBITDA Margin</w:t>
            </w:r>
          </w:p>
        </w:tc>
        <w:tc>
          <w:tcPr>
            <w:tcW w:w="340" w:type="dxa"/>
            <w:vAlign w:val="bottom"/>
          </w:tcPr>
          <w:p>
            <w:pPr>
              <w:spacing w:after="0"/>
              <w:rPr>
                <w:sz w:val="20"/>
                <w:szCs w:val="20"/>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4.9 %</w:t>
            </w:r>
          </w:p>
        </w:tc>
        <w:tc>
          <w:tcPr>
            <w:tcW w:w="300" w:type="dxa"/>
            <w:vAlign w:val="bottom"/>
          </w:tcPr>
          <w:p>
            <w:pPr>
              <w:spacing w:after="0"/>
              <w:rPr>
                <w:sz w:val="20"/>
                <w:szCs w:val="20"/>
                <w:color w:val="auto"/>
              </w:rPr>
            </w:pPr>
          </w:p>
        </w:tc>
        <w:tc>
          <w:tcPr>
            <w:tcW w:w="14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7.1 %</w:t>
            </w:r>
          </w:p>
        </w:tc>
      </w:tr>
      <w:tr>
        <w:trPr>
          <w:trHeight w:val="186"/>
        </w:trPr>
        <w:tc>
          <w:tcPr>
            <w:tcW w:w="77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1543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-591185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-574040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-591185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-574040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0" w:lineRule="exact"/>
        <w:rPr>
          <w:sz w:val="20"/>
          <w:szCs w:val="20"/>
          <w:color w:val="auto"/>
        </w:rPr>
      </w:pPr>
    </w:p>
    <w:p>
      <w:pPr>
        <w:ind w:left="1020" w:right="240" w:hanging="504"/>
        <w:spacing w:after="0" w:line="235" w:lineRule="auto"/>
        <w:tabs>
          <w:tab w:leader="none" w:pos="1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Mexico joint venture EBITDA represents 50% of the entity’s operating results for the periods presented, as adjusted to reflect the results on a basis comparable to our Adjusted EBITDA. In the financial statements, this joint venture is accounted for as an equity method investment and reported net of depreciation and income taxes. Because such a presentation would not reflect the adjustments made in our calculation of Adjusted EBITDA, we include our 50% interest in our Mexico joint venture on an Adjusted EBITDA basis to ensure consistency. The table below presents a reconciliation of Mexico joint venture net income to Mexico joint venture EBITDA:</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7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5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131"/>
        </w:trPr>
        <w:tc>
          <w:tcPr>
            <w:tcW w:w="20" w:type="dxa"/>
            <w:vAlign w:val="bottom"/>
          </w:tcPr>
          <w:p>
            <w:pPr>
              <w:spacing w:after="0"/>
              <w:rPr>
                <w:sz w:val="11"/>
                <w:szCs w:val="11"/>
                <w:color w:val="auto"/>
              </w:rPr>
            </w:pPr>
          </w:p>
        </w:tc>
        <w:tc>
          <w:tcPr>
            <w:tcW w:w="7680" w:type="dxa"/>
            <w:vAlign w:val="bottom"/>
          </w:tcPr>
          <w:p>
            <w:pPr>
              <w:spacing w:after="0"/>
              <w:rPr>
                <w:sz w:val="11"/>
                <w:szCs w:val="11"/>
                <w:color w:val="auto"/>
              </w:rPr>
            </w:pPr>
          </w:p>
        </w:tc>
        <w:tc>
          <w:tcPr>
            <w:tcW w:w="1020" w:type="dxa"/>
            <w:vAlign w:val="bottom"/>
            <w:tcBorders>
              <w:top w:val="single" w:sz="8" w:color="auto"/>
            </w:tcBorders>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May 4,</w:t>
            </w:r>
          </w:p>
        </w:tc>
        <w:tc>
          <w:tcPr>
            <w:tcW w:w="5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right"/>
              <w:ind w:right="434"/>
              <w:spacing w:after="0" w:line="131" w:lineRule="exact"/>
              <w:rPr>
                <w:sz w:val="20"/>
                <w:szCs w:val="20"/>
                <w:color w:val="auto"/>
              </w:rPr>
            </w:pPr>
            <w:r>
              <w:rPr>
                <w:rFonts w:ascii="Times New Roman" w:cs="Times New Roman" w:eastAsia="Times New Roman" w:hAnsi="Times New Roman"/>
                <w:sz w:val="14"/>
                <w:szCs w:val="14"/>
                <w:b w:val="1"/>
                <w:bCs w:val="1"/>
                <w:color w:val="auto"/>
              </w:rPr>
              <w:t>April 29,</w:t>
            </w:r>
          </w:p>
        </w:tc>
        <w:tc>
          <w:tcPr>
            <w:tcW w:w="100" w:type="dxa"/>
            <w:vAlign w:val="bottom"/>
          </w:tcPr>
          <w:p>
            <w:pPr>
              <w:spacing w:after="0"/>
              <w:rPr>
                <w:sz w:val="11"/>
                <w:szCs w:val="11"/>
                <w:color w:val="auto"/>
              </w:rPr>
            </w:pPr>
          </w:p>
        </w:tc>
      </w:tr>
      <w:tr>
        <w:trPr>
          <w:trHeight w:val="187"/>
        </w:trPr>
        <w:tc>
          <w:tcPr>
            <w:tcW w:w="20" w:type="dxa"/>
            <w:vAlign w:val="bottom"/>
          </w:tcPr>
          <w:p>
            <w:pPr>
              <w:spacing w:after="0"/>
              <w:rPr>
                <w:sz w:val="16"/>
                <w:szCs w:val="16"/>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20" w:type="dxa"/>
            <w:vAlign w:val="bottom"/>
          </w:tcPr>
          <w:p>
            <w:pPr>
              <w:spacing w:after="0"/>
              <w:rPr>
                <w:sz w:val="20"/>
                <w:szCs w:val="20"/>
                <w:color w:val="auto"/>
              </w:rPr>
            </w:pPr>
          </w:p>
        </w:tc>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shd w:val="clear" w:color="auto" w:fill="CFF0FC"/>
          </w:tcPr>
          <w:p>
            <w:pPr>
              <w:jc w:val="right"/>
              <w:ind w:right="817"/>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9,555</w:t>
            </w:r>
          </w:p>
        </w:tc>
        <w:tc>
          <w:tcPr>
            <w:tcW w:w="6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6,259</w:t>
            </w:r>
          </w:p>
        </w:tc>
        <w:tc>
          <w:tcPr>
            <w:tcW w:w="100" w:type="dxa"/>
            <w:vAlign w:val="bottom"/>
            <w:shd w:val="clear" w:color="auto" w:fill="CFF0FC"/>
          </w:tcPr>
          <w:p>
            <w:pPr>
              <w:spacing w:after="0"/>
              <w:rPr>
                <w:sz w:val="20"/>
                <w:szCs w:val="20"/>
                <w:color w:val="auto"/>
              </w:rPr>
            </w:pPr>
          </w:p>
        </w:tc>
      </w:tr>
      <w:tr>
        <w:trPr>
          <w:trHeight w:val="238"/>
        </w:trPr>
        <w:tc>
          <w:tcPr>
            <w:tcW w:w="20" w:type="dxa"/>
            <w:vAlign w:val="bottom"/>
          </w:tcPr>
          <w:p>
            <w:pPr>
              <w:spacing w:after="0"/>
              <w:rPr>
                <w:sz w:val="20"/>
                <w:szCs w:val="20"/>
                <w:color w:val="auto"/>
              </w:rPr>
            </w:pPr>
          </w:p>
        </w:tc>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10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6,948</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5,708</w:t>
            </w:r>
          </w:p>
        </w:tc>
        <w:tc>
          <w:tcPr>
            <w:tcW w:w="100" w:type="dxa"/>
            <w:vAlign w:val="bottom"/>
          </w:tcPr>
          <w:p>
            <w:pPr>
              <w:spacing w:after="0"/>
              <w:rPr>
                <w:sz w:val="20"/>
                <w:szCs w:val="20"/>
                <w:color w:val="auto"/>
              </w:rPr>
            </w:pPr>
          </w:p>
        </w:tc>
      </w:tr>
      <w:tr>
        <w:trPr>
          <w:trHeight w:val="247"/>
        </w:trPr>
        <w:tc>
          <w:tcPr>
            <w:tcW w:w="20" w:type="dxa"/>
            <w:vAlign w:val="bottom"/>
          </w:tcPr>
          <w:p>
            <w:pPr>
              <w:spacing w:after="0"/>
              <w:rPr>
                <w:sz w:val="21"/>
                <w:szCs w:val="21"/>
                <w:color w:val="auto"/>
              </w:rPr>
            </w:pPr>
          </w:p>
        </w:tc>
        <w:tc>
          <w:tcPr>
            <w:tcW w:w="7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102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3,456</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4,074</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loss</w:t>
            </w:r>
          </w:p>
        </w:tc>
        <w:tc>
          <w:tcPr>
            <w:tcW w:w="10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76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02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3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1020" w:type="dxa"/>
            <w:vAlign w:val="bottom"/>
            <w:tcBorders>
              <w:bottom w:val="single" w:sz="8" w:color="auto"/>
            </w:tcBorders>
          </w:tcPr>
          <w:p>
            <w:pPr>
              <w:jc w:val="right"/>
              <w:ind w:right="817"/>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20,991</w:t>
            </w:r>
          </w:p>
        </w:tc>
        <w:tc>
          <w:tcPr>
            <w:tcW w:w="30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17,468</w:t>
            </w:r>
          </w:p>
        </w:tc>
        <w:tc>
          <w:tcPr>
            <w:tcW w:w="100" w:type="dxa"/>
            <w:vAlign w:val="bottom"/>
          </w:tcPr>
          <w:p>
            <w:pPr>
              <w:spacing w:after="0"/>
              <w:rPr>
                <w:sz w:val="20"/>
                <w:szCs w:val="20"/>
                <w:color w:val="auto"/>
              </w:rPr>
            </w:pPr>
          </w:p>
        </w:tc>
      </w:tr>
      <w:tr>
        <w:trPr>
          <w:trHeight w:val="276"/>
        </w:trPr>
        <w:tc>
          <w:tcPr>
            <w:tcW w:w="20" w:type="dxa"/>
            <w:vAlign w:val="bottom"/>
          </w:tcPr>
          <w:p>
            <w:pPr>
              <w:spacing w:after="0"/>
              <w:rPr>
                <w:sz w:val="24"/>
                <w:szCs w:val="24"/>
                <w:color w:val="auto"/>
              </w:rPr>
            </w:pPr>
          </w:p>
        </w:tc>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50% of EBITDA</w:t>
            </w:r>
          </w:p>
        </w:tc>
        <w:tc>
          <w:tcPr>
            <w:tcW w:w="1020" w:type="dxa"/>
            <w:vAlign w:val="bottom"/>
            <w:shd w:val="clear" w:color="auto" w:fill="CFF0FC"/>
          </w:tcPr>
          <w:p>
            <w:pPr>
              <w:jc w:val="right"/>
              <w:ind w:right="817"/>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10,496</w:t>
            </w:r>
          </w:p>
        </w:tc>
        <w:tc>
          <w:tcPr>
            <w:tcW w:w="6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8,734</w:t>
            </w:r>
          </w:p>
        </w:tc>
        <w:tc>
          <w:tcPr>
            <w:tcW w:w="100" w:type="dxa"/>
            <w:vAlign w:val="bottom"/>
            <w:shd w:val="clear" w:color="auto" w:fill="CFF0FC"/>
          </w:tcPr>
          <w:p>
            <w:pPr>
              <w:spacing w:after="0"/>
              <w:rPr>
                <w:sz w:val="24"/>
                <w:szCs w:val="24"/>
                <w:color w:val="auto"/>
              </w:rPr>
            </w:pPr>
          </w:p>
        </w:tc>
      </w:tr>
      <w:tr>
        <w:trPr>
          <w:trHeight w:val="171"/>
        </w:trPr>
        <w:tc>
          <w:tcPr>
            <w:tcW w:w="20" w:type="dxa"/>
            <w:vAlign w:val="bottom"/>
          </w:tcPr>
          <w:p>
            <w:pPr>
              <w:spacing w:after="0"/>
              <w:rPr>
                <w:sz w:val="14"/>
                <w:szCs w:val="14"/>
                <w:color w:val="auto"/>
              </w:rPr>
            </w:pPr>
          </w:p>
        </w:tc>
        <w:tc>
          <w:tcPr>
            <w:tcW w:w="76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300" w:type="dxa"/>
            <w:vAlign w:val="bottom"/>
            <w:tcBorders>
              <w:top w:val="single" w:sz="8" w:color="CFF0FC"/>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-468630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-468630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-143510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-126365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-143510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-126365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 w:lineRule="exact"/>
        <w:rPr>
          <w:sz w:val="20"/>
          <w:szCs w:val="20"/>
          <w:color w:val="auto"/>
        </w:rPr>
      </w:pPr>
    </w:p>
    <w:p>
      <w:pPr>
        <w:ind w:left="1020" w:right="200" w:hanging="504"/>
        <w:spacing w:after="0" w:line="258" w:lineRule="auto"/>
        <w:tabs>
          <w:tab w:leader="none" w:pos="10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 and divestiture-related costs include direct costs resulting from acquiring, integrating, or divesting businesses. These include third-party professional and legal fees, losses on sales of divestitures, and other integration-related costs that would not have otherwise been incurred as part of the Company's operations.</w:t>
      </w:r>
    </w:p>
    <w:p>
      <w:pPr>
        <w:spacing w:after="0" w:line="58" w:lineRule="exact"/>
        <w:rPr>
          <w:rFonts w:ascii="Times New Roman" w:cs="Times New Roman" w:eastAsia="Times New Roman" w:hAnsi="Times New Roman"/>
          <w:sz w:val="14"/>
          <w:szCs w:val="14"/>
          <w:color w:val="auto"/>
        </w:rPr>
      </w:pPr>
    </w:p>
    <w:p>
      <w:pPr>
        <w:ind w:left="1020" w:right="240" w:hanging="504"/>
        <w:spacing w:after="0" w:line="258" w:lineRule="auto"/>
        <w:tabs>
          <w:tab w:leader="none" w:pos="10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costs include, as incurred: restructuring costs and restructuring-related severance costs; legal reserves associated with significant, non-ordinary course legal or regulatory matters; and costs related to certain significant strategic transactions.</w:t>
      </w:r>
    </w:p>
    <w:p>
      <w:pPr>
        <w:spacing w:after="0" w:line="58" w:lineRule="exact"/>
        <w:rPr>
          <w:rFonts w:ascii="Times New Roman" w:cs="Times New Roman" w:eastAsia="Times New Roman" w:hAnsi="Times New Roman"/>
          <w:sz w:val="14"/>
          <w:szCs w:val="14"/>
          <w:color w:val="auto"/>
        </w:rPr>
      </w:pPr>
    </w:p>
    <w:p>
      <w:pPr>
        <w:ind w:left="1020" w:right="220" w:hanging="504"/>
        <w:spacing w:after="0" w:line="258" w:lineRule="auto"/>
        <w:tabs>
          <w:tab w:leader="none" w:pos="10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define net margin as net loss attributable to Class A and B-1 common stockholders divided by net sales and Adjusted EBITDA margin as Adjusted EBITDA divided by net sales.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121" w:lineRule="exact"/>
        <w:rPr>
          <w:sz w:val="20"/>
          <w:szCs w:val="20"/>
          <w:color w:val="auto"/>
        </w:rPr>
      </w:pPr>
    </w:p>
    <w:p>
      <w:pPr>
        <w:ind w:right="300" w:firstLine="509"/>
        <w:spacing w:after="0" w:line="265" w:lineRule="auto"/>
        <w:rPr>
          <w:sz w:val="20"/>
          <w:szCs w:val="20"/>
          <w:color w:val="auto"/>
        </w:rPr>
      </w:pPr>
      <w:r>
        <w:rPr>
          <w:rFonts w:ascii="Times New Roman" w:cs="Times New Roman" w:eastAsia="Times New Roman" w:hAnsi="Times New Roman"/>
          <w:sz w:val="18"/>
          <w:szCs w:val="18"/>
          <w:color w:val="auto"/>
        </w:rPr>
        <w:t>Free Cash Flow is a non-GAAP financial measure that is calculated as net cash provided by operating activities less cash paid for fixed assets. Management believes that Free Cash Flow, which measures our ability to generate additional cash from our business operations, is an important financial measure for use in evaluating the Company’s financial performance.</w:t>
      </w:r>
    </w:p>
    <w:p>
      <w:pPr>
        <w:spacing w:after="0" w:line="17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200" w:right="239" w:bottom="1440" w:gutter="0" w:footer="0" w:header="0"/>
        </w:sectPr>
      </w:pPr>
    </w:p>
    <w:bookmarkStart w:id="21" w:name="page22"/>
    <w:bookmarkEnd w:id="21"/>
    <w:p>
      <w:pPr>
        <w:ind w:left="520"/>
        <w:spacing w:after="0"/>
        <w:rPr>
          <w:sz w:val="20"/>
          <w:szCs w:val="20"/>
          <w:color w:val="auto"/>
        </w:rPr>
      </w:pPr>
      <w:r>
        <w:rPr>
          <w:rFonts w:ascii="Times New Roman" w:cs="Times New Roman" w:eastAsia="Times New Roman" w:hAnsi="Times New Roman"/>
          <w:sz w:val="18"/>
          <w:szCs w:val="18"/>
          <w:color w:val="auto"/>
        </w:rPr>
        <w:t>The table below reflects the calculation of Free Cash Flow for the periods presented:</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520" w:type="dxa"/>
            <w:vAlign w:val="bottom"/>
            <w:gridSpan w:val="5"/>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131"/>
        </w:trPr>
        <w:tc>
          <w:tcPr>
            <w:tcW w:w="7700" w:type="dxa"/>
            <w:vAlign w:val="bottom"/>
          </w:tcPr>
          <w:p>
            <w:pPr>
              <w:spacing w:after="0"/>
              <w:rPr>
                <w:sz w:val="11"/>
                <w:szCs w:val="11"/>
                <w:color w:val="auto"/>
              </w:rPr>
            </w:pPr>
          </w:p>
        </w:tc>
        <w:tc>
          <w:tcPr>
            <w:tcW w:w="1020" w:type="dxa"/>
            <w:vAlign w:val="bottom"/>
            <w:tcBorders>
              <w:top w:val="single" w:sz="8" w:color="auto"/>
            </w:tcBorders>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May 4,</w:t>
            </w:r>
          </w:p>
        </w:tc>
        <w:tc>
          <w:tcPr>
            <w:tcW w:w="5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right"/>
              <w:ind w:right="437"/>
              <w:spacing w:after="0" w:line="131" w:lineRule="exact"/>
              <w:rPr>
                <w:sz w:val="20"/>
                <w:szCs w:val="20"/>
                <w:color w:val="auto"/>
              </w:rPr>
            </w:pPr>
            <w:r>
              <w:rPr>
                <w:rFonts w:ascii="Times New Roman" w:cs="Times New Roman" w:eastAsia="Times New Roman" w:hAnsi="Times New Roman"/>
                <w:sz w:val="14"/>
                <w:szCs w:val="14"/>
                <w:b w:val="1"/>
                <w:bCs w:val="1"/>
                <w:color w:val="auto"/>
              </w:rPr>
              <w:t>April 29,</w:t>
            </w:r>
          </w:p>
        </w:tc>
        <w:tc>
          <w:tcPr>
            <w:tcW w:w="100" w:type="dxa"/>
            <w:vAlign w:val="bottom"/>
          </w:tcPr>
          <w:p>
            <w:pPr>
              <w:spacing w:after="0"/>
              <w:rPr>
                <w:sz w:val="11"/>
                <w:szCs w:val="11"/>
                <w:color w:val="auto"/>
              </w:rPr>
            </w:pPr>
          </w:p>
        </w:tc>
      </w:tr>
      <w:tr>
        <w:trPr>
          <w:trHeight w:val="187"/>
        </w:trPr>
        <w:tc>
          <w:tcPr>
            <w:tcW w:w="770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169"/>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1020" w:type="dxa"/>
            <w:vAlign w:val="bottom"/>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(8,414 )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37,651</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fixed assets</w:t>
            </w:r>
          </w:p>
        </w:tc>
        <w:tc>
          <w:tcPr>
            <w:tcW w:w="10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3"/>
              </w:rPr>
              <w:t>(32,641 )</w:t>
            </w:r>
          </w:p>
        </w:tc>
        <w:tc>
          <w:tcPr>
            <w:tcW w:w="30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(62,050 )</w:t>
            </w:r>
          </w:p>
        </w:tc>
      </w:tr>
      <w:tr>
        <w:trPr>
          <w:trHeight w:val="20"/>
        </w:trPr>
        <w:tc>
          <w:tcPr>
            <w:tcW w:w="77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Free Cash Flow</w:t>
            </w:r>
          </w:p>
        </w:tc>
        <w:tc>
          <w:tcPr>
            <w:tcW w:w="1020" w:type="dxa"/>
            <w:vAlign w:val="bottom"/>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3"/>
              </w:rPr>
              <w:t>(41,055 )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(24,399 )</w:t>
            </w:r>
          </w:p>
        </w:tc>
      </w:tr>
      <w:tr>
        <w:trPr>
          <w:trHeight w:val="20"/>
        </w:trPr>
        <w:tc>
          <w:tcPr>
            <w:tcW w:w="770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-24765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-7620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primary sources of liquidity are funds generated by operating activities and available capacity for borrowings on our $581 million secured asset-based revolving credit facility (the “ABL Revolving Credit Facility”). Our ability to fund our operations, to make planned capital investments, to make scheduled debt payments and to repay or refinance indebtedness depends on our future operating performance and cash flows, which are subject to prevailing economic conditions and financial, business, and other factors, some of which are beyond our control. Our liquidity as of May 4, 2024 was $617.3 million, inclusive of cash and cash equivalents of $89.7 million and $527.6 million of availability on the ABL Revolving Credit Facility.</w:t>
      </w:r>
    </w:p>
    <w:p>
      <w:pPr>
        <w:spacing w:after="0" w:line="74"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We are a party to contractual obligations involving commitments to make payments to third parties. These obligations impact our short-term and long-term liquidity and capital resource needs. We believe that our current resources, together with anticipated cash flows from operations and borrowing capacity under the ABL Revolving Credit Facility will be sufficient to finance our operations, meet our current cash requirements, and fund anticipated capital investments for at least the next 12 months. We may, however, seek additional financing to fund future growth or refinance our existing indebtedness through the debt capital markets, but we cannot be assured that such financing will be available on favorable terms, or at all.</w:t>
      </w:r>
    </w:p>
    <w:p>
      <w:pPr>
        <w:sectPr>
          <w:pgSz w:w="11900" w:h="16838" w:orient="portrait"/>
          <w:cols w:equalWidth="0" w:num="1">
            <w:col w:w="11240"/>
          </w:cols>
          <w:pgMar w:left="320" w:top="1308" w:right="339" w:bottom="1440" w:gutter="0" w:footer="0" w:header="0"/>
        </w:sect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our consolidated cash flows:</w:t>
      </w: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 cash (used in) provided by:</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Investing activities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25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restricted cash</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b w:val="1"/>
          <w:bCs w:val="1"/>
          <w:color w:val="auto"/>
        </w:rPr>
        <w:t>Thirteen weeks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34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gridSpan w:val="2"/>
          </w:tcPr>
          <w:p>
            <w:pPr>
              <w:jc w:val="center"/>
              <w:ind w:right="640"/>
              <w:spacing w:after="0" w:line="131" w:lineRule="exact"/>
              <w:rPr>
                <w:sz w:val="20"/>
                <w:szCs w:val="20"/>
                <w:color w:val="auto"/>
              </w:rPr>
            </w:pPr>
            <w:r>
              <w:rPr>
                <w:rFonts w:ascii="Times New Roman" w:cs="Times New Roman" w:eastAsia="Times New Roman" w:hAnsi="Times New Roman"/>
                <w:sz w:val="14"/>
                <w:szCs w:val="14"/>
                <w:b w:val="1"/>
                <w:bCs w:val="1"/>
                <w:color w:val="auto"/>
              </w:rPr>
              <w:t>May 4,</w:t>
            </w:r>
          </w:p>
        </w:tc>
        <w:tc>
          <w:tcPr>
            <w:tcW w:w="30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right"/>
              <w:ind w:right="436"/>
              <w:spacing w:after="0" w:line="131" w:lineRule="exact"/>
              <w:rPr>
                <w:sz w:val="20"/>
                <w:szCs w:val="20"/>
                <w:color w:val="auto"/>
              </w:rPr>
            </w:pPr>
            <w:r>
              <w:rPr>
                <w:rFonts w:ascii="Times New Roman" w:cs="Times New Roman" w:eastAsia="Times New Roman" w:hAnsi="Times New Roman"/>
                <w:sz w:val="14"/>
                <w:szCs w:val="14"/>
                <w:b w:val="1"/>
                <w:bCs w:val="1"/>
                <w:color w:val="auto"/>
              </w:rPr>
              <w:t>April 29,</w:t>
            </w:r>
          </w:p>
        </w:tc>
        <w:tc>
          <w:tcPr>
            <w:tcW w:w="60" w:type="dxa"/>
            <w:vAlign w:val="bottom"/>
          </w:tcPr>
          <w:p>
            <w:pPr>
              <w:spacing w:after="0"/>
              <w:rPr>
                <w:sz w:val="11"/>
                <w:szCs w:val="11"/>
                <w:color w:val="auto"/>
              </w:rPr>
            </w:pPr>
          </w:p>
        </w:tc>
      </w:tr>
      <w:tr>
        <w:trPr>
          <w:trHeight w:val="187"/>
        </w:trPr>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6"/>
                <w:szCs w:val="16"/>
                <w:color w:val="auto"/>
              </w:rPr>
            </w:pPr>
          </w:p>
        </w:tc>
      </w:tr>
      <w:tr>
        <w:trPr>
          <w:trHeight w:val="465"/>
        </w:trPr>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(8,414 )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37,651</w:t>
            </w:r>
          </w:p>
        </w:tc>
        <w:tc>
          <w:tcPr>
            <w:tcW w:w="60" w:type="dxa"/>
            <w:vAlign w:val="bottom"/>
          </w:tcPr>
          <w:p>
            <w:pPr>
              <w:spacing w:after="0"/>
              <w:rPr>
                <w:sz w:val="24"/>
                <w:szCs w:val="24"/>
                <w:color w:val="auto"/>
              </w:rPr>
            </w:pPr>
          </w:p>
        </w:tc>
      </w:tr>
      <w:tr>
        <w:trPr>
          <w:trHeight w:val="243"/>
        </w:trPr>
        <w:tc>
          <w:tcPr>
            <w:tcW w:w="34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(31,743 )</w:t>
            </w:r>
          </w:p>
        </w:tc>
        <w:tc>
          <w:tcPr>
            <w:tcW w:w="30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(62,775 )</w:t>
            </w:r>
          </w:p>
        </w:tc>
      </w:tr>
      <w:tr>
        <w:trPr>
          <w:trHeight w:val="249"/>
        </w:trPr>
        <w:tc>
          <w:tcPr>
            <w:tcW w:w="34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(5,628 )</w:t>
            </w:r>
          </w:p>
        </w:tc>
        <w:tc>
          <w:tcPr>
            <w:tcW w:w="30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(37,082 )</w:t>
            </w:r>
          </w:p>
        </w:tc>
      </w:tr>
      <w:tr>
        <w:trPr>
          <w:trHeight w:val="20"/>
        </w:trPr>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1"/>
        </w:trPr>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(45,785 )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(62,206 )</w:t>
            </w:r>
          </w:p>
        </w:tc>
      </w:tr>
      <w:tr>
        <w:trPr>
          <w:trHeight w:val="20"/>
        </w:trPr>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56" w:lineRule="exact"/>
        <w:rPr>
          <w:sz w:val="20"/>
          <w:szCs w:val="20"/>
          <w:color w:val="auto"/>
        </w:rPr>
      </w:pPr>
    </w:p>
    <w:p>
      <w:pPr>
        <w:sectPr>
          <w:pgSz w:w="11900" w:h="16838" w:orient="portrait"/>
          <w:cols w:equalWidth="0" w:num="2">
            <w:col w:w="6980" w:space="720"/>
            <w:col w:w="3540"/>
          </w:cols>
          <w:pgMar w:left="320" w:top="1308" w:right="339" w:bottom="1440" w:gutter="0" w:footer="0" w:header="0"/>
          <w:type w:val="continuous"/>
        </w:sect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primary source of operating cash is sales of products and services to customers, which are substantially all on a cash basis, and therefore provide us with a significant source of liquidity. Our primary uses of cash in operating activities include: purchases of inventory; freight and warehousing costs; employee-related expenditures; occupancy-related costs for our pet care centers, distribution centers and corporate support centers; credit card fees; interest under our debt agreements; and marketing expenses. Net cash (used in) provided by operating activities is impacted by our net loss adjusted for certain non-cash items, including: depreciation, amortization, impairments and write-offs; amortization of debt discounts and issuance costs; deferred income taxes; equity-based compensation; impairments of goodwill and intangible assets; other non-operating loss (income); and the effect of changes in operating assets and liabilities.</w:t>
      </w:r>
    </w:p>
    <w:p>
      <w:pPr>
        <w:spacing w:after="0" w:line="187" w:lineRule="exact"/>
        <w:rPr>
          <w:sz w:val="20"/>
          <w:szCs w:val="20"/>
          <w:color w:val="auto"/>
        </w:rPr>
      </w:pPr>
    </w:p>
    <w:p>
      <w:pPr>
        <w:ind w:right="240" w:firstLine="509"/>
        <w:spacing w:after="0" w:line="265" w:lineRule="auto"/>
        <w:rPr>
          <w:sz w:val="20"/>
          <w:szCs w:val="20"/>
          <w:color w:val="auto"/>
        </w:rPr>
      </w:pPr>
      <w:r>
        <w:rPr>
          <w:rFonts w:ascii="Times New Roman" w:cs="Times New Roman" w:eastAsia="Times New Roman" w:hAnsi="Times New Roman"/>
          <w:sz w:val="18"/>
          <w:szCs w:val="18"/>
          <w:color w:val="auto"/>
        </w:rPr>
        <w:t>Net cash used in operating activities was $8.4 million in the thirteen weeks ended May 4, 2024 compared with net cash provided by operating activities of $37.7 million in the thirteen weeks ended April 29, 2023. The decrease in operating cash flow was driven by lower sales, an increase in cash paid for inventory and higher payroll and</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type w:val="continuous"/>
        </w:sectPr>
      </w:pPr>
    </w:p>
    <w:bookmarkStart w:id="22" w:name="page23"/>
    <w:bookmarkEnd w:id="22"/>
    <w:p>
      <w:pPr>
        <w:ind w:right="220"/>
        <w:spacing w:after="0" w:line="281" w:lineRule="auto"/>
        <w:rPr>
          <w:sz w:val="20"/>
          <w:szCs w:val="20"/>
          <w:color w:val="auto"/>
        </w:rPr>
      </w:pPr>
      <w:r>
        <w:rPr>
          <w:rFonts w:ascii="Times New Roman" w:cs="Times New Roman" w:eastAsia="Times New Roman" w:hAnsi="Times New Roman"/>
          <w:sz w:val="18"/>
          <w:szCs w:val="18"/>
          <w:color w:val="auto"/>
        </w:rPr>
        <w:t>fringe benefits. This was partially offset by a decrease in cash paid for operating leases, effective management of accounts payable, and fewer payouts of prior year accrued incentive bonuses.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48" w:lineRule="exact"/>
        <w:rPr>
          <w:sz w:val="20"/>
          <w:szCs w:val="20"/>
          <w:color w:val="auto"/>
        </w:rPr>
      </w:pPr>
    </w:p>
    <w:p>
      <w:pPr>
        <w:ind w:right="80" w:firstLine="469"/>
        <w:spacing w:after="0" w:line="265" w:lineRule="auto"/>
        <w:rPr>
          <w:sz w:val="20"/>
          <w:szCs w:val="20"/>
          <w:color w:val="auto"/>
        </w:rPr>
      </w:pPr>
      <w:r>
        <w:rPr>
          <w:rFonts w:ascii="Times New Roman" w:cs="Times New Roman" w:eastAsia="Times New Roman" w:hAnsi="Times New Roman"/>
          <w:sz w:val="18"/>
          <w:szCs w:val="18"/>
          <w:color w:val="auto"/>
        </w:rPr>
        <w:t>Cash used in investing activities consists of capital expenditures, which in the thirteen weeks ended May 4, 2024 and the thirteen weeks ended April 29, 2023 supported the continued build-out of our veterinary hospitals. Net cash used in investing activities was $31.7 million and $62.8 million for the thirteen weeks ended May 4, 2024 and April 29, 2023, respectively.</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right="360" w:firstLine="509"/>
        <w:spacing w:after="0" w:line="281" w:lineRule="auto"/>
        <w:rPr>
          <w:sz w:val="20"/>
          <w:szCs w:val="20"/>
          <w:color w:val="auto"/>
        </w:rPr>
      </w:pPr>
      <w:r>
        <w:rPr>
          <w:rFonts w:ascii="Times New Roman" w:cs="Times New Roman" w:eastAsia="Times New Roman" w:hAnsi="Times New Roman"/>
          <w:sz w:val="18"/>
          <w:szCs w:val="18"/>
          <w:color w:val="auto"/>
        </w:rPr>
        <w:t>Net cash used in financing activities was $5.6 million for the thirteen weeks ended May 4, 2024, compared with $37.1 million used in financing activities in the thirteen weeks ended April 29, 2023.</w:t>
      </w:r>
    </w:p>
    <w:p>
      <w:pPr>
        <w:spacing w:after="0" w:line="163" w:lineRule="exact"/>
        <w:rPr>
          <w:sz w:val="20"/>
          <w:szCs w:val="20"/>
          <w:color w:val="auto"/>
        </w:rPr>
      </w:pPr>
    </w:p>
    <w:p>
      <w:pPr>
        <w:ind w:right="360" w:firstLine="509"/>
        <w:spacing w:after="0" w:line="281" w:lineRule="auto"/>
        <w:rPr>
          <w:sz w:val="20"/>
          <w:szCs w:val="20"/>
          <w:color w:val="auto"/>
        </w:rPr>
      </w:pPr>
      <w:r>
        <w:rPr>
          <w:rFonts w:ascii="Times New Roman" w:cs="Times New Roman" w:eastAsia="Times New Roman" w:hAnsi="Times New Roman"/>
          <w:sz w:val="18"/>
          <w:szCs w:val="18"/>
          <w:color w:val="auto"/>
        </w:rPr>
        <w:t>Financing cash flows in the thirteen weeks ended May 4, 2024 primarily consisted of borrowings and repayments on the ABL Revolving Credit Facility.</w:t>
      </w:r>
    </w:p>
    <w:p>
      <w:pPr>
        <w:spacing w:after="0" w:line="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Financing cash flows in the thirteen weeks ended April 29, 2023 primarily consisted of the $35.0 million principal repayment on the term loan.</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Senior Secured Credit Facilities</w:t>
      </w:r>
    </w:p>
    <w:p>
      <w:pPr>
        <w:spacing w:after="0" w:line="229"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On March 4, 2021, the Company completed a refinancing transaction by entering into a $1,700 million secured term loan facility maturing on March 4, 2028 (the “First Lien Term Loan”) and the ABL Revolving Credit Facility, maturing on March 4, 2026 with availability of up to $500.0 million, subject to a borrowing base.</w:t>
      </w:r>
    </w:p>
    <w:p>
      <w:pPr>
        <w:spacing w:after="0" w:line="177" w:lineRule="exact"/>
        <w:rPr>
          <w:sz w:val="20"/>
          <w:szCs w:val="20"/>
          <w:color w:val="auto"/>
        </w:rPr>
      </w:pPr>
    </w:p>
    <w:p>
      <w:pPr>
        <w:ind w:right="40" w:firstLine="554"/>
        <w:spacing w:after="0" w:line="258" w:lineRule="auto"/>
        <w:rPr>
          <w:sz w:val="20"/>
          <w:szCs w:val="20"/>
          <w:color w:val="auto"/>
        </w:rPr>
      </w:pPr>
      <w:r>
        <w:rPr>
          <w:rFonts w:ascii="Times New Roman" w:cs="Times New Roman" w:eastAsia="Times New Roman" w:hAnsi="Times New Roman"/>
          <w:sz w:val="18"/>
          <w:szCs w:val="18"/>
          <w:color w:val="auto"/>
        </w:rPr>
        <w:t>In March 2024, the Company amended the ABL Revolving Credit Facility, which now consists of two tranches, to increase its total availability from $500.0 million to $581.0 million and extend the maturity on a portion of this availability. The first tranche has availability of up to $35.0 million, subject to a borrowing base, maturing on March 4, 2026. The second tranche has availability of up to $546.0 million, subject to a borrowing base, maturing on March 29, 2029. Interest on the ABL Revolving Credit Facility is now based on, at the Company's option, either the base rate subject to a 1% floor, or Term SOFR subject to a floor of 0%, plus an applicable margin. All other key terms of the ABL Revolving Credit Facility remained unchanged.</w:t>
      </w:r>
    </w:p>
    <w:p>
      <w:pPr>
        <w:spacing w:after="0" w:line="18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Interest on the First Lien Term Loan is based on, at the Company’s option, either a base rate or Adjusted Term SOFR, subject to a 0.75% floor, payable upon maturity of the SOFR contract, in either case plus the applicable rate. The base rate is the greater of the bank prime rate, federal funds effective rate plus 0.5% or Adjusted Term SOFR plus 1.0%. The applicable rate is 2.25% per annum for a base rate loan or 3.25% per annum for an Adjusted Term SOFR loan. Principal and interest payments commenced on June 30, 2021. Principal payments are typically $4.25 million quarterly. During the thirteen weeks ended April 29, 2023, the Company repaid $35.0 million in principal of the First Lien Term Loan using existing cash on hand. The repayments were applied to remaining principal payments in order of scheduled payment date.</w:t>
      </w:r>
    </w:p>
    <w:p>
      <w:pPr>
        <w:spacing w:after="0" w:line="103" w:lineRule="exact"/>
        <w:rPr>
          <w:sz w:val="20"/>
          <w:szCs w:val="20"/>
          <w:color w:val="auto"/>
        </w:rPr>
      </w:pPr>
    </w:p>
    <w:p>
      <w:pPr>
        <w:ind w:right="580" w:firstLine="509"/>
        <w:spacing w:after="0" w:line="283" w:lineRule="auto"/>
        <w:rPr>
          <w:sz w:val="20"/>
          <w:szCs w:val="20"/>
          <w:color w:val="auto"/>
        </w:rPr>
      </w:pPr>
      <w:r>
        <w:rPr>
          <w:rFonts w:ascii="Times New Roman" w:cs="Times New Roman" w:eastAsia="Times New Roman" w:hAnsi="Times New Roman"/>
          <w:sz w:val="18"/>
          <w:szCs w:val="18"/>
          <w:color w:val="auto"/>
        </w:rPr>
        <w:t>For more information regarding this indebtedness, refer to Note 4, “</w:t>
      </w:r>
      <w:r>
        <w:rPr>
          <w:rFonts w:ascii="Times New Roman" w:cs="Times New Roman" w:eastAsia="Times New Roman" w:hAnsi="Times New Roman"/>
          <w:sz w:val="18"/>
          <w:szCs w:val="18"/>
          <w:i w:val="1"/>
          <w:iCs w:val="1"/>
          <w:color w:val="auto"/>
        </w:rPr>
        <w:t>Senior Secured Credit Facilities</w:t>
      </w:r>
      <w:r>
        <w:rPr>
          <w:rFonts w:ascii="Times New Roman" w:cs="Times New Roman" w:eastAsia="Times New Roman" w:hAnsi="Times New Roman"/>
          <w:sz w:val="18"/>
          <w:szCs w:val="18"/>
          <w:color w:val="auto"/>
        </w:rPr>
        <w:t>,” to the Notes to Consolidated Financial Statements included in Part I, Item 1 of this Form 10-Q.</w:t>
      </w:r>
    </w:p>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229" w:lineRule="exact"/>
        <w:rPr>
          <w:sz w:val="20"/>
          <w:szCs w:val="20"/>
          <w:color w:val="auto"/>
        </w:rPr>
      </w:pPr>
    </w:p>
    <w:p>
      <w:pPr>
        <w:ind w:right="160" w:firstLine="509"/>
        <w:spacing w:after="0" w:line="265" w:lineRule="auto"/>
        <w:rPr>
          <w:sz w:val="20"/>
          <w:szCs w:val="20"/>
          <w:color w:val="auto"/>
        </w:rPr>
      </w:pPr>
      <w:r>
        <w:rPr>
          <w:rFonts w:ascii="Times New Roman" w:cs="Times New Roman" w:eastAsia="Times New Roman" w:hAnsi="Times New Roman"/>
          <w:sz w:val="18"/>
          <w:szCs w:val="18"/>
          <w:color w:val="auto"/>
        </w:rPr>
        <w:t>In November 2022, the Company entered into a series of interest rate cap agreements to limit the maximum interest on a portion of the Company’s variable-rate debt and decrease its exposure to interest rate variability relating to three-month Term SOFR. The interest rate caps became effective December 30, 2022 and expire on December 31, 2024.</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8" w:right="359" w:bottom="1440" w:gutter="0" w:footer="0" w:header="0"/>
        </w:sectPr>
      </w:pPr>
    </w:p>
    <w:bookmarkStart w:id="23" w:name="page24"/>
    <w:bookmarkEnd w:id="23"/>
    <w:p>
      <w:pPr>
        <w:ind w:right="80" w:firstLine="509"/>
        <w:spacing w:after="0" w:line="265" w:lineRule="auto"/>
        <w:rPr>
          <w:sz w:val="20"/>
          <w:szCs w:val="20"/>
          <w:color w:val="auto"/>
        </w:rPr>
      </w:pPr>
      <w:r>
        <w:rPr>
          <w:rFonts w:ascii="Times New Roman" w:cs="Times New Roman" w:eastAsia="Times New Roman" w:hAnsi="Times New Roman"/>
          <w:sz w:val="18"/>
          <w:szCs w:val="18"/>
          <w:color w:val="auto"/>
        </w:rPr>
        <w:t>In March 2023, the Company entered into an interest rate collar agreement to limit the maximum interest on a portion of the Company’s variable-rate debt and decrease its exposure to interest rate variability relating to three-month Term SOFR. The interest rate collar became effective March 31, 2023 and expires on March 31, 2026.</w:t>
      </w:r>
    </w:p>
    <w:p>
      <w:pPr>
        <w:spacing w:after="0" w:line="96" w:lineRule="exact"/>
        <w:rPr>
          <w:sz w:val="20"/>
          <w:szCs w:val="20"/>
          <w:color w:val="auto"/>
        </w:rPr>
      </w:pPr>
    </w:p>
    <w:p>
      <w:pPr>
        <w:jc w:val="both"/>
        <w:ind w:right="80" w:firstLine="509"/>
        <w:spacing w:after="0" w:line="265" w:lineRule="auto"/>
        <w:rPr>
          <w:sz w:val="20"/>
          <w:szCs w:val="20"/>
          <w:color w:val="auto"/>
        </w:rPr>
      </w:pPr>
      <w:r>
        <w:rPr>
          <w:rFonts w:ascii="Times New Roman" w:cs="Times New Roman" w:eastAsia="Times New Roman" w:hAnsi="Times New Roman"/>
          <w:sz w:val="18"/>
          <w:szCs w:val="18"/>
          <w:color w:val="auto"/>
        </w:rPr>
        <w:t>In June 2023, the Company entered into an interest rate collar agreement to limit the maximum interest on a portion of the Company’s variable-rate debt and decrease its exposure to interest rate variability relating to three-month Term SOFR. The interest rate collar became effective September 30, 2023 and expires on December 31, 2026.</w:t>
      </w:r>
    </w:p>
    <w:p>
      <w:pPr>
        <w:spacing w:after="0" w:line="177" w:lineRule="exact"/>
        <w:rPr>
          <w:sz w:val="20"/>
          <w:szCs w:val="20"/>
          <w:color w:val="auto"/>
        </w:rPr>
      </w:pPr>
    </w:p>
    <w:p>
      <w:pPr>
        <w:ind w:right="540" w:firstLine="509"/>
        <w:spacing w:after="0" w:line="265" w:lineRule="auto"/>
        <w:rPr>
          <w:sz w:val="20"/>
          <w:szCs w:val="20"/>
          <w:color w:val="auto"/>
        </w:rPr>
      </w:pPr>
      <w:r>
        <w:rPr>
          <w:rFonts w:ascii="Times New Roman" w:cs="Times New Roman" w:eastAsia="Times New Roman" w:hAnsi="Times New Roman"/>
          <w:sz w:val="18"/>
          <w:szCs w:val="18"/>
          <w:color w:val="auto"/>
        </w:rPr>
        <w:t>In December 2023, the Company entered into an interest rate collar agreement to limit the maximum interest on a portion of the Company’s variable-rate debt and decrease its exposure to interest rate variability relating to three-month Term SOFR. The interest rate collar becomes effective December 31, 2024 and expires on December 31, 2026.</w:t>
      </w:r>
    </w:p>
    <w:p>
      <w:pPr>
        <w:spacing w:after="0" w:line="177" w:lineRule="exact"/>
        <w:rPr>
          <w:sz w:val="20"/>
          <w:szCs w:val="20"/>
          <w:color w:val="auto"/>
        </w:rPr>
      </w:pPr>
    </w:p>
    <w:p>
      <w:pPr>
        <w:ind w:right="60" w:firstLine="509"/>
        <w:spacing w:after="0" w:line="265" w:lineRule="auto"/>
        <w:rPr>
          <w:sz w:val="20"/>
          <w:szCs w:val="20"/>
          <w:color w:val="auto"/>
        </w:rPr>
      </w:pPr>
      <w:r>
        <w:rPr>
          <w:rFonts w:ascii="Times New Roman" w:cs="Times New Roman" w:eastAsia="Times New Roman" w:hAnsi="Times New Roman"/>
          <w:sz w:val="18"/>
          <w:szCs w:val="18"/>
          <w:color w:val="auto"/>
        </w:rPr>
        <w:t>In March 2024, the Company entered into two interest rate collar agreements to limit the maximum interest on a portion of the Company’s variable-rate debt and decrease its exposure to interest rate variability relating to three-month Term SOFR. The interest rate collars become effective on December 31, 2024 and expire on December 31, 2026.</w:t>
      </w:r>
    </w:p>
    <w:p>
      <w:pPr>
        <w:spacing w:after="0" w:line="108" w:lineRule="exact"/>
        <w:rPr>
          <w:sz w:val="20"/>
          <w:szCs w:val="20"/>
          <w:color w:val="auto"/>
        </w:rPr>
      </w:pPr>
    </w:p>
    <w:p>
      <w:pPr>
        <w:ind w:firstLine="509"/>
        <w:spacing w:after="0" w:line="283" w:lineRule="auto"/>
        <w:rPr>
          <w:sz w:val="20"/>
          <w:szCs w:val="20"/>
          <w:color w:val="auto"/>
        </w:rPr>
      </w:pPr>
      <w:r>
        <w:rPr>
          <w:rFonts w:ascii="Times New Roman" w:cs="Times New Roman" w:eastAsia="Times New Roman" w:hAnsi="Times New Roman"/>
          <w:sz w:val="18"/>
          <w:szCs w:val="18"/>
          <w:color w:val="auto"/>
        </w:rPr>
        <w:t xml:space="preserve">For more information regarding derivative instruments, refer to Note 5,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xml:space="preserve"> to the Notes to Consolidated Financial Statements included in Part I, Item 1 of this Form 10-Q.</w:t>
      </w: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conformity with accounting principles generally accepted in the United States (“GAAP”) requires us to make assumptions and estimates about future results and apply judgments that affect the reported amounts of assets, liabilities, net sales, expenses and related disclosures. We base our estimates and judgments on historical experience, current trends and other factors that we believe to be relevant at the time our consolidated financial statements are prepared. On an ongoing basis, we review the accounting policies, assumptions, estimates and judgments to ensure that our financial statements are presented fairly and in accordance with GAAP. However, because future events and their effects cannot be determined with certainty, actual results could differ from our assumptions and estimates, and such differences could be material.</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Trade Name Intangible Assets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We evaluate goodwill annually in our fourth quarter or whenever events or changes in circumstances indicate that the carrying value may not be recoverable. We have identified one reporting unit and selected our fourth fiscal quarter to perform our annual goodwill impairment testing. Goodwill impairment guidance provides entities the option to perform a qualitative assessment to determine whether further impairment testing is necessary. The qualitative assessment requires significant judgments about economic conditions, including the entity’s operating environment, its industry and other market conditions, entity-specific events related to financial performance or loss of key personnel, and other events that could impact the reporting unit. If management concludes, based on assessment of relevant events, facts, and circumstances, that it is more likely than not that a reporting unit’s fair value is greater than its carrying value, no further impairment testing is required.</w:t>
      </w:r>
    </w:p>
    <w:p>
      <w:pPr>
        <w:spacing w:after="0" w:line="187" w:lineRule="exact"/>
        <w:rPr>
          <w:sz w:val="20"/>
          <w:szCs w:val="20"/>
          <w:color w:val="auto"/>
        </w:rPr>
      </w:pPr>
    </w:p>
    <w:p>
      <w:pPr>
        <w:ind w:right="60" w:firstLine="509"/>
        <w:spacing w:after="0" w:line="270" w:lineRule="auto"/>
        <w:rPr>
          <w:sz w:val="20"/>
          <w:szCs w:val="20"/>
          <w:color w:val="auto"/>
        </w:rPr>
      </w:pPr>
      <w:r>
        <w:rPr>
          <w:rFonts w:ascii="Times New Roman" w:cs="Times New Roman" w:eastAsia="Times New Roman" w:hAnsi="Times New Roman"/>
          <w:sz w:val="17"/>
          <w:szCs w:val="17"/>
          <w:color w:val="auto"/>
        </w:rPr>
        <w:t>If management’s assessment of qualitative factors indicates that it is more likely than not that the fair value of a reporting unit is less than its carrying value, then a quantitative assessment is performed. We also have the option to bypass the qualitative assessment described above and proceed directly to the quantitative assessment, where we compare the fair value of the reporting unit to its carrying value. If the fair value of the reporting unit exceeds the carrying value of our net assets assigned to that unit, goodwill is not considered impaired, and we are not required to perform further testing. If the carrying value of net assets assigned to the reporting unit exceeds the fair value of the reporting unit, then we would record an impairment loss equal to the difference. If a quantitative assessment is performed, the evaluation includes management estimates of cash flow projections based on internal future projections and/or use of a market approach by reviewing transactional and financial data of publicly traded companies. The assumptions used in the impairment analysis are inherently subject to uncertainty and small changes in these assumptions could have a significant impact on the concluded value. The Company's market capitalization is also considered as part of the analysis, in order to further validate the reasonableness of the fair values concluded</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0" w:right="359" w:bottom="1440" w:gutter="0" w:footer="0" w:header="0"/>
        </w:sectPr>
      </w:pPr>
    </w:p>
    <w:bookmarkStart w:id="24" w:name="page25"/>
    <w:bookmarkEnd w:id="24"/>
    <w:p>
      <w:pPr>
        <w:ind w:right="140"/>
        <w:spacing w:after="0" w:line="281" w:lineRule="auto"/>
        <w:rPr>
          <w:sz w:val="20"/>
          <w:szCs w:val="20"/>
          <w:color w:val="auto"/>
        </w:rPr>
      </w:pPr>
      <w:r>
        <w:rPr>
          <w:rFonts w:ascii="Times New Roman" w:cs="Times New Roman" w:eastAsia="Times New Roman" w:hAnsi="Times New Roman"/>
          <w:sz w:val="18"/>
          <w:szCs w:val="18"/>
          <w:color w:val="auto"/>
        </w:rPr>
        <w:t>for the reporting unit. Factors that may trigger an interim impairment test may include, but are not limited to, current economic and market conditions or a significant decline in the Company's share price and market capitalization compared to net book value.</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Indefinite-lived trade name</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consider the Petco trade name to be an indefinite-lived intangible asset, as we currently anticipate that this trade name will contribute cash flows to us indefinitely. We perform our annual impairment test during the fourth quarter of each year or whenever events or changes in circumstances indicate the carrying value may not be recoverable. Management has the option to first perform a qualitative assessment of its trade name asset to determine whether it is necessary to perform a quantitative impairment test. We also have the option to bypass the qualitative assessment described above and proceed directly to quantitative assessment.</w:t>
      </w:r>
    </w:p>
    <w:p>
      <w:pPr>
        <w:spacing w:after="0" w:line="18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Factors that may trigger an interim impairment test may include, but are not limited to, a significant decline in the Company's share price and market capitalization compared to net book value, or changes in the pattern of utilization of the intangible asset. Significant assumptions used in the determination of fair value of the trade name generally include prospective financial information, growth rates, discount rates and comparable multiples from publicly traded companies in similar industries. An impairment charge is recorded for the amount by which the carrying amount of the trade name exceeds its fair value.</w:t>
      </w:r>
    </w:p>
    <w:p>
      <w:pPr>
        <w:spacing w:after="0" w:line="74" w:lineRule="exact"/>
        <w:rPr>
          <w:sz w:val="20"/>
          <w:szCs w:val="20"/>
          <w:color w:val="auto"/>
        </w:rPr>
      </w:pPr>
    </w:p>
    <w:p>
      <w:pPr>
        <w:ind w:right="180" w:firstLine="509"/>
        <w:spacing w:after="0" w:line="281"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as compared to the critical accounting policies and estimates described in the 2023 Form 10-K.</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ind w:right="160" w:firstLine="509"/>
        <w:spacing w:after="0" w:line="315" w:lineRule="auto"/>
        <w:rPr>
          <w:sz w:val="20"/>
          <w:szCs w:val="20"/>
          <w:color w:val="auto"/>
        </w:rPr>
      </w:pPr>
      <w:r>
        <w:rPr>
          <w:rFonts w:ascii="Times New Roman" w:cs="Times New Roman" w:eastAsia="Times New Roman" w:hAnsi="Times New Roman"/>
          <w:sz w:val="18"/>
          <w:szCs w:val="18"/>
          <w:color w:val="auto"/>
        </w:rPr>
        <w:t>Refer to Note 1,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the Notes to Consolidated Financial Statements included in Part I, Item 1 of this Form 10-Q for information regarding recently issued accounting pronouncements.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160" w:firstLine="509"/>
        <w:spacing w:after="0" w:line="265" w:lineRule="auto"/>
        <w:rPr>
          <w:sz w:val="20"/>
          <w:szCs w:val="20"/>
          <w:color w:val="auto"/>
        </w:rPr>
      </w:pPr>
      <w:r>
        <w:rPr>
          <w:rFonts w:ascii="Times New Roman" w:cs="Times New Roman" w:eastAsia="Times New Roman" w:hAnsi="Times New Roman"/>
          <w:sz w:val="18"/>
          <w:szCs w:val="18"/>
          <w:color w:val="auto"/>
        </w:rPr>
        <w:t>We are subject to market risks arising from transactions in the normal course of our business. These risks are primarily associated with interest rate fluctuations, as well as changes in our credit standing, based on the capital and credit markets, which are not predictable. We do not currently hold any instruments for trading purposes.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 xml:space="preserve">We are subject to interest rate risk in connection with the First Lien Term Loan and the ABL Revolving Credit Facility. As of May 4, 2024, we had $1,595.3 million outstanding under the First Lien Term Loan and no amounts outstanding under the ABL Revolving Credit Facility. The First Lien Term Loan and the ABL Revolving Credit Facility each bear interest at variable rates. An increase of 100 basis points in the variable rates on the First Lien Term Loan and the ABL Revolving Credit Facility as of May 4, 2024 would have increased gross annual cash interest in the aggregate by approximately $16.2 million. Additionally, we entered into cash flow hedges to limit the maximum interest rate on a portion of our variable-rate debt and limit our exposure to interest rate variability, refer to Note 5,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xml:space="preserve"> to the Notes to Consolidated Financial Statements included in Part I, Item 1 of this Form 10-Q.</w:t>
      </w:r>
    </w:p>
    <w:p>
      <w:pPr>
        <w:spacing w:after="0" w:line="187"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We cannot predict market fluctuations in interest rates and their impact on our debt, nor can there be any assurance that long-term fixed-rate debt will be available at favorable rates, if at all. Consequently, future results may differ materially from estimated results due to adverse changes in interest rates or debt availability.</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ind w:right="200" w:firstLine="509"/>
        <w:spacing w:after="0" w:line="265" w:lineRule="auto"/>
        <w:rPr>
          <w:sz w:val="20"/>
          <w:szCs w:val="20"/>
          <w:color w:val="auto"/>
        </w:rPr>
      </w:pPr>
      <w:r>
        <w:rPr>
          <w:rFonts w:ascii="Times New Roman" w:cs="Times New Roman" w:eastAsia="Times New Roman" w:hAnsi="Times New Roman"/>
          <w:sz w:val="18"/>
          <w:szCs w:val="18"/>
          <w:color w:val="auto"/>
        </w:rPr>
        <w:t>As of May 4, 2024, our cash and cash equivalents were maintained at major financial institutions in the United States, and our current deposits are likely in excess of insured limits. We believe these institutions have sufficient assets and liquidity to conduct their operations in the ordinary course of business with little or no credit risk to us.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25" w:name="page26"/>
    <w:bookmarkEnd w:id="25"/>
    <w:p>
      <w:pPr>
        <w:ind w:right="60" w:firstLine="509"/>
        <w:spacing w:after="0" w:line="281" w:lineRule="auto"/>
        <w:rPr>
          <w:sz w:val="20"/>
          <w:szCs w:val="20"/>
          <w:color w:val="auto"/>
        </w:rPr>
      </w:pPr>
      <w:r>
        <w:rPr>
          <w:rFonts w:ascii="Times New Roman" w:cs="Times New Roman" w:eastAsia="Times New Roman" w:hAnsi="Times New Roman"/>
          <w:sz w:val="18"/>
          <w:szCs w:val="18"/>
          <w:color w:val="auto"/>
        </w:rPr>
        <w:t>Substantially all of our business is currently conducted in U.S. dollars. We do not believe that an immediate 10% increase or decrease in the relative value of the U.S. dollar as compared to other currencies would have a material effect on our operating results.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Evaluation of Disclosure Controls and Procedures</w:t>
      </w:r>
    </w:p>
    <w:p>
      <w:pPr>
        <w:spacing w:after="0" w:line="229" w:lineRule="exact"/>
        <w:rPr>
          <w:sz w:val="20"/>
          <w:szCs w:val="20"/>
          <w:color w:val="auto"/>
        </w:rPr>
      </w:pPr>
    </w:p>
    <w:p>
      <w:pPr>
        <w:jc w:val="both"/>
        <w:ind w:right="300" w:firstLine="469"/>
        <w:spacing w:after="0" w:line="260"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that we file or submit under the Securities Exchange Act of 1934, as amended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financial disclosure.</w:t>
      </w:r>
    </w:p>
    <w:p>
      <w:pPr>
        <w:spacing w:after="0" w:line="182" w:lineRule="exact"/>
        <w:rPr>
          <w:sz w:val="20"/>
          <w:szCs w:val="20"/>
          <w:color w:val="auto"/>
        </w:rPr>
      </w:pPr>
    </w:p>
    <w:p>
      <w:pPr>
        <w:jc w:val="both"/>
        <w:ind w:right="100" w:firstLine="469"/>
        <w:spacing w:after="0" w:line="260" w:lineRule="auto"/>
        <w:rPr>
          <w:sz w:val="20"/>
          <w:szCs w:val="20"/>
          <w:color w:val="auto"/>
        </w:rPr>
      </w:pPr>
      <w:r>
        <w:rPr>
          <w:rFonts w:ascii="Times New Roman" w:cs="Times New Roman" w:eastAsia="Times New Roman" w:hAnsi="Times New Roman"/>
          <w:sz w:val="18"/>
          <w:szCs w:val="18"/>
          <w:color w:val="auto"/>
        </w:rPr>
        <w:t>As of the end of the period covered by this Form 10-Q, our management, under the supervision and with the participation of our principal executive officer and principal financial officer, evaluated the effectiveness of our disclosure controls and procedures pursuant to Exchange Act Rules 13a-15(e) and 15d-15(e). Based upon this evaluation, our principal executive officer and principal financial officer concluded that our disclosure controls and procedures were effective at a reasonable assurance level as of May 4, 2024.</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520" w:firstLine="469"/>
        <w:spacing w:after="0" w:line="281"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that occurred during the quarter ended May 4, 2024, which has materially affected, or is reasonably likely to materially affect,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Effectiveness of Controls</w:t>
      </w:r>
    </w:p>
    <w:p>
      <w:pPr>
        <w:spacing w:after="0" w:line="229" w:lineRule="exact"/>
        <w:rPr>
          <w:sz w:val="20"/>
          <w:szCs w:val="20"/>
          <w:color w:val="auto"/>
        </w:rPr>
      </w:pPr>
    </w:p>
    <w:p>
      <w:pPr>
        <w:ind w:firstLine="469"/>
        <w:spacing w:after="0" w:line="258" w:lineRule="auto"/>
        <w:rPr>
          <w:sz w:val="20"/>
          <w:szCs w:val="20"/>
          <w:color w:val="auto"/>
        </w:rPr>
      </w:pPr>
      <w:r>
        <w:rPr>
          <w:rFonts w:ascii="Times New Roman" w:cs="Times New Roman" w:eastAsia="Times New Roman" w:hAnsi="Times New Roman"/>
          <w:sz w:val="18"/>
          <w:szCs w:val="18"/>
          <w:color w:val="auto"/>
        </w:rPr>
        <w:t>Our disclosure controls and procedures are designed to provide reasonable assurance of achieving their objectives. Management does not expect, however, that our disclosure controls and procedures will prevent or detect all error and fraud. Any control system, no matter how well designed and operated, is based 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0" w:right="35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9" w:lineRule="exact"/>
        <w:rPr>
          <w:sz w:val="20"/>
          <w:szCs w:val="20"/>
          <w:color w:val="auto"/>
        </w:rPr>
      </w:pPr>
    </w:p>
    <w:p>
      <w:pPr>
        <w:ind w:firstLine="562"/>
        <w:spacing w:after="0" w:line="283" w:lineRule="auto"/>
        <w:rPr>
          <w:sz w:val="20"/>
          <w:szCs w:val="20"/>
          <w:color w:val="auto"/>
        </w:rPr>
      </w:pPr>
      <w:r>
        <w:rPr>
          <w:rFonts w:ascii="Times New Roman" w:cs="Times New Roman" w:eastAsia="Times New Roman" w:hAnsi="Times New Roman"/>
          <w:sz w:val="18"/>
          <w:szCs w:val="18"/>
          <w:color w:val="auto"/>
        </w:rPr>
        <w:t>See Note 8,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the Notes to Consolidated Financial Statements included in Part I, Item 1 of this Form 10-Q for a description of legal proceedings, which is incorporated herein by reference.</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200" w:firstLine="562"/>
        <w:spacing w:after="0" w:line="256" w:lineRule="auto"/>
        <w:rPr>
          <w:sz w:val="20"/>
          <w:szCs w:val="20"/>
          <w:color w:val="auto"/>
        </w:rPr>
      </w:pPr>
      <w:r>
        <w:rPr>
          <w:rFonts w:ascii="Times New Roman" w:cs="Times New Roman" w:eastAsia="Times New Roman" w:hAnsi="Times New Roman"/>
          <w:sz w:val="18"/>
          <w:szCs w:val="18"/>
          <w:color w:val="auto"/>
        </w:rPr>
        <w:t>Reference is made to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included in the 2023 Form 10-K for information concerning risk factors. Except as set forth below, there have been no material changes with respect to the risk factors disclosed in the 2023 Form 10-K. The risk factor set forth below updates, and should be read together with, the risk factors in our 2023 Form 10-K. You should carefully consider such factors, which could materially and adversely affect our business, financial condition, and/or results of operations. The risks described in this Form 10-Q and the 2023 Form 10-K are not the only risks we face. Additional risks and uncertainties not currently known to us or that we currently deem to be immaterial also may materially and adversely affect our business, financial condition, and/or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and Regulatory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online payment methods and our Petco Pay promotional financing program.</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currently accept payments using a variety of methods, including, but not limited to, credit cards, debit cards, PayPal, Apple Pay, Google Pay, Samsung Pay, Klarna, and gift cards. As we offer new payment options to consumers, we may be subject to additional regulations, compliance requirements, fraud, and other risks. For certain payment methods, we pay interchange and other fees, which may increase over time and raise our operating costs and lower profitability. As a merchant that accepts debit and credit cards for payment, we are subject to PCI DSS, which contains compliance guidelines and standards with regard to our security surrounding the physical administrative and technical storage, processing, and transmission of individual cardholder data. By accepting debit cards for payment, we are also subject to compliance with American National Standards Institute data encryption standards and payment network security operating guidelines.</w:t>
      </w:r>
    </w:p>
    <w:p>
      <w:pPr>
        <w:spacing w:after="0" w:line="187"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Failure to be PCI compliant or to meet other payment card standards may result in the imposition of financial penalties or the allocation by the card brands of the costs of fraudulent charges to us. Additionally, the Fair and Accurate Credit Transactions Act requires systems that print payment card receipts to employ personal account number truncation so that the customer’s full account number is not viewable on the slip.</w:t>
      </w:r>
    </w:p>
    <w:p>
      <w:pPr>
        <w:spacing w:after="0" w:line="17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our business changes, we may be subject to different rules under existing standards, which may require new assessments that involve costs above what we currently pay for compliance. In the future, as we offer new payment options to consumers, including by way of integrating emerging mobile and other payment methods, we may be subject to additional regulations, compliance requirements, licenses, and fraud. If we fail to comply with the rules or requirements of any provider of a payment method we accept, if the volume of fraud in our transactions limits or terminates our rights to use payment methods we currently accept, or if a data breach occurs relating to our payment systems, we may, among other things, be subject to fines, legal proceedings, or higher transaction fees and may lose, or face restrictions placed upon, our ability to accept credit card payments from consumers or facilitate other types of online payments. If any of these events were to occur, our business, financial condition, and results of operations could be materially and adversely affected.</w:t>
      </w:r>
    </w:p>
    <w:p>
      <w:pPr>
        <w:spacing w:after="0" w:line="189"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We also occasionally receive orders placed with fraudulent data. Although we have measures in place to detect, reduce, and mitigate the occurrence of such fraudulent activity, those measures are not always effective, and we have incurred, and could in the future incur, financial losses, losses of customers, and reputational harm for such fraudulent transactions, which could harm our business, financial condition, and results of operations.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color w:val="auto"/>
        </w:rPr>
        <w:t>None of our directors or Section 16 officers adopted or terminated a Rule 10b5-1 trading arrangement (as defined in Item 408(a) of Regulation S-K) or a non-Rule 10b5-1 trading arrangement (as defined in Item 408(c) of Regulation S-K) during the quarterly period covered by this Form 10-Q.</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list of exhibits filed as part of this Quarterly Report on Form 10-Q:</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940" w:type="dxa"/>
            <w:vAlign w:val="bottom"/>
            <w:gridSpan w:val="1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9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23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940" w:type="dxa"/>
            <w:vAlign w:val="bottom"/>
            <w:tcBorders>
              <w:bottom w:val="single" w:sz="8" w:color="auto"/>
            </w:tcBorders>
            <w:gridSpan w:val="1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11"/>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42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Form of Retention Bonus Agreement (2024 Officer Form)</w:t>
            </w:r>
          </w:p>
        </w:tc>
        <w:tc>
          <w:tcPr>
            <w:tcW w:w="594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546"/>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99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Form of Performance Stock Unit Award Grant Notice and Standard terms and Conditions under the Petco Health and Wellness Company,</w:t>
            </w:r>
          </w:p>
        </w:tc>
        <w:tc>
          <w:tcPr>
            <w:tcW w:w="1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1"/>
          </w:tcPr>
          <w:p>
            <w:pPr>
              <w:spacing w:after="0" w:line="195" w:lineRule="exact"/>
              <w:rPr>
                <w:sz w:val="20"/>
                <w:szCs w:val="20"/>
                <w:color w:val="auto"/>
              </w:rPr>
            </w:pPr>
            <w:r>
              <w:rPr>
                <w:rFonts w:ascii="Times New Roman" w:cs="Times New Roman" w:eastAsia="Times New Roman" w:hAnsi="Times New Roman"/>
                <w:sz w:val="18"/>
                <w:szCs w:val="18"/>
                <w:color w:val="0000FF"/>
              </w:rPr>
              <w:t>Inc. 2021 Equity Incentive Plan (2024 Executive Form)</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1012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Form of Restricted Stock Unit Award Grant Notice and Standard Terms and Conditions under the Petco Health and Wellness Company, Inc.</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00" w:type="dxa"/>
            <w:vAlign w:val="bottom"/>
            <w:tcBorders>
              <w:bottom w:val="single" w:sz="8" w:color="0000FF"/>
            </w:tcBorders>
            <w:gridSpan w:val="5"/>
          </w:tcPr>
          <w:p>
            <w:pPr>
              <w:spacing w:after="0" w:line="195" w:lineRule="exact"/>
              <w:rPr>
                <w:sz w:val="20"/>
                <w:szCs w:val="20"/>
                <w:color w:val="auto"/>
              </w:rPr>
            </w:pPr>
            <w:r>
              <w:rPr>
                <w:rFonts w:ascii="Times New Roman" w:cs="Times New Roman" w:eastAsia="Times New Roman" w:hAnsi="Times New Roman"/>
                <w:sz w:val="18"/>
                <w:szCs w:val="18"/>
                <w:color w:val="0000FF"/>
                <w:w w:val="99"/>
              </w:rPr>
              <w:t>2021 Equity Incentive Plan (Interim CEO Form)</w:t>
            </w:r>
          </w:p>
        </w:tc>
        <w:tc>
          <w:tcPr>
            <w:tcW w:w="20" w:type="dxa"/>
            <w:vAlign w:val="bottom"/>
            <w:tcBorders>
              <w:bottom w:val="single" w:sz="8" w:color="0000EE"/>
            </w:tcBorders>
          </w:tcPr>
          <w:p>
            <w:pPr>
              <w:spacing w:after="0"/>
              <w:rPr>
                <w:sz w:val="17"/>
                <w:szCs w:val="17"/>
                <w:color w:val="auto"/>
              </w:rPr>
            </w:pPr>
          </w:p>
        </w:tc>
        <w:tc>
          <w:tcPr>
            <w:tcW w:w="66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438"/>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99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Form of Nonqualified Grant Notice and Standard Terms and Conditions under the Petco Health and Wellness Company, Inc. 2021 Equity</w:t>
            </w:r>
          </w:p>
        </w:tc>
        <w:tc>
          <w:tcPr>
            <w:tcW w:w="2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1"/>
          </w:tcPr>
          <w:p>
            <w:pPr>
              <w:spacing w:after="0" w:line="195" w:lineRule="exact"/>
              <w:rPr>
                <w:sz w:val="20"/>
                <w:szCs w:val="20"/>
                <w:color w:val="auto"/>
              </w:rPr>
            </w:pPr>
            <w:r>
              <w:rPr>
                <w:rFonts w:ascii="Times New Roman" w:cs="Times New Roman" w:eastAsia="Times New Roman" w:hAnsi="Times New Roman"/>
                <w:sz w:val="18"/>
                <w:szCs w:val="18"/>
                <w:color w:val="0000FF"/>
              </w:rPr>
              <w:t>Incentive Plan (Interim CEO Form)</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4"/>
                <w:szCs w:val="24"/>
                <w:color w:val="auto"/>
              </w:rPr>
            </w:pPr>
          </w:p>
        </w:tc>
        <w:tc>
          <w:tcPr>
            <w:tcW w:w="1012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Form of Restricted Stock Unit Award Grant Notice and Standard Terms and Conditions under the Petco Health and Wellness Company, Inc.</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80" w:type="dxa"/>
            <w:vAlign w:val="bottom"/>
            <w:tcBorders>
              <w:bottom w:val="single" w:sz="8" w:color="0000FF"/>
            </w:tcBorders>
            <w:gridSpan w:val="3"/>
          </w:tcPr>
          <w:p>
            <w:pPr>
              <w:spacing w:after="0" w:line="195" w:lineRule="exact"/>
              <w:rPr>
                <w:sz w:val="20"/>
                <w:szCs w:val="20"/>
                <w:color w:val="auto"/>
              </w:rPr>
            </w:pPr>
            <w:r>
              <w:rPr>
                <w:rFonts w:ascii="Times New Roman" w:cs="Times New Roman" w:eastAsia="Times New Roman" w:hAnsi="Times New Roman"/>
                <w:sz w:val="18"/>
                <w:szCs w:val="18"/>
                <w:color w:val="0000FF"/>
                <w:w w:val="99"/>
              </w:rPr>
              <w:t>2021 Equity Incentive Plan (Executive Form)</w:t>
            </w:r>
          </w:p>
        </w:tc>
        <w:tc>
          <w:tcPr>
            <w:tcW w:w="20" w:type="dxa"/>
            <w:vAlign w:val="bottom"/>
            <w:tcBorders>
              <w:bottom w:val="single" w:sz="8" w:color="0000EE"/>
            </w:tcBorders>
          </w:tcPr>
          <w:p>
            <w:pPr>
              <w:spacing w:after="0"/>
              <w:rPr>
                <w:sz w:val="17"/>
                <w:szCs w:val="17"/>
                <w:color w:val="auto"/>
              </w:rPr>
            </w:pPr>
          </w:p>
        </w:tc>
        <w:tc>
          <w:tcPr>
            <w:tcW w:w="684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438"/>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4"/>
                <w:szCs w:val="24"/>
                <w:color w:val="auto"/>
              </w:rPr>
            </w:pPr>
          </w:p>
        </w:tc>
        <w:tc>
          <w:tcPr>
            <w:tcW w:w="1012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Form of Restricted Stock Unit Award Grant Notice and Standard Terms and Conditions under the Petco Health and Wellness Company, Inc.</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1"/>
          </w:tcPr>
          <w:p>
            <w:pPr>
              <w:spacing w:after="0" w:line="195" w:lineRule="exact"/>
              <w:rPr>
                <w:sz w:val="20"/>
                <w:szCs w:val="20"/>
                <w:color w:val="auto"/>
              </w:rPr>
            </w:pPr>
            <w:r>
              <w:rPr>
                <w:rFonts w:ascii="Times New Roman" w:cs="Times New Roman" w:eastAsia="Times New Roman" w:hAnsi="Times New Roman"/>
                <w:sz w:val="18"/>
                <w:szCs w:val="18"/>
                <w:color w:val="0000FF"/>
              </w:rPr>
              <w:t>2021 Equity Incentive Plan (CHRO Special RSU Form)</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1740" w:type="dxa"/>
            <w:vAlign w:val="bottom"/>
            <w:tcBorders>
              <w:right w:val="single" w:sz="8" w:color="0000EE"/>
            </w:tcBorders>
            <w:gridSpan w:val="7"/>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4"/>
                <w:szCs w:val="24"/>
                <w:color w:val="auto"/>
              </w:rPr>
            </w:pPr>
          </w:p>
        </w:tc>
        <w:tc>
          <w:tcPr>
            <w:tcW w:w="99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Separation Agreement and General Release of Claims by and between Petco Health and Wellness Company, Inc., Scooby LP, and Darren</w:t>
            </w:r>
          </w:p>
        </w:tc>
        <w:tc>
          <w:tcPr>
            <w:tcW w:w="2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1"/>
          </w:tcPr>
          <w:p>
            <w:pPr>
              <w:spacing w:after="0" w:line="195" w:lineRule="exact"/>
              <w:rPr>
                <w:sz w:val="20"/>
                <w:szCs w:val="20"/>
                <w:color w:val="auto"/>
              </w:rPr>
            </w:pPr>
            <w:r>
              <w:rPr>
                <w:rFonts w:ascii="Times New Roman" w:cs="Times New Roman" w:eastAsia="Times New Roman" w:hAnsi="Times New Roman"/>
                <w:sz w:val="18"/>
                <w:szCs w:val="18"/>
                <w:color w:val="0000FF"/>
              </w:rPr>
              <w:t>McDonald dated April 12, 2024</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250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4"/>
                <w:szCs w:val="24"/>
                <w:color w:val="auto"/>
              </w:rPr>
            </w:pPr>
          </w:p>
        </w:tc>
        <w:tc>
          <w:tcPr>
            <w:tcW w:w="966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Employment Letter, dated March 12, 2024, between Petco Health and Wellness Company, Inc. and R. Michael Mohan, effective as of</w:t>
              </w:r>
            </w:hyperlink>
          </w:p>
        </w:tc>
        <w:tc>
          <w:tcPr>
            <w:tcW w:w="4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1"/>
          </w:tcPr>
          <w:p>
            <w:pPr>
              <w:spacing w:after="0" w:line="195"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March 13, 2024 (incorporated by reference to Exhibit 10.1 of the Company's Current Report on Form 8-K, filed on March 13, 2024)</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800" w:type="dxa"/>
            <w:vAlign w:val="bottom"/>
            <w:gridSpan w:val="10"/>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6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4"/>
                <w:szCs w:val="24"/>
                <w:color w:val="auto"/>
              </w:rPr>
            </w:pPr>
          </w:p>
        </w:tc>
        <w:tc>
          <w:tcPr>
            <w:tcW w:w="1010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Separation and Consulting Agreement and General Release of Claims by and between Petco Animal Supplies Stores, Inc., Petco Health and</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60" w:type="dxa"/>
            <w:vAlign w:val="bottom"/>
            <w:tcBorders>
              <w:bottom w:val="single" w:sz="8" w:color="0000FF"/>
            </w:tcBorders>
            <w:gridSpan w:val="15"/>
          </w:tcPr>
          <w:p>
            <w:pPr>
              <w:spacing w:after="0" w:line="195" w:lineRule="exact"/>
              <w:rPr>
                <w:rFonts w:ascii="Times New Roman" w:cs="Times New Roman" w:eastAsia="Times New Roman" w:hAnsi="Times New Roman"/>
                <w:sz w:val="18"/>
                <w:szCs w:val="18"/>
                <w:color w:val="0000FF"/>
                <w:w w:val="99"/>
              </w:rPr>
            </w:pPr>
            <w:hyperlink r:id="rId158">
              <w:r>
                <w:rPr>
                  <w:rFonts w:ascii="Times New Roman" w:cs="Times New Roman" w:eastAsia="Times New Roman" w:hAnsi="Times New Roman"/>
                  <w:sz w:val="18"/>
                  <w:szCs w:val="18"/>
                  <w:color w:val="0000FF"/>
                  <w:w w:val="99"/>
                </w:rPr>
                <w:t>Wellness Company, Inc., Scooby LP and Ronald V. Coughlin Jr., dated March 12, 2024 (incorporated by reference to Exhibit 10.2 of the</w:t>
              </w:r>
            </w:hyperlink>
          </w:p>
        </w:tc>
        <w:tc>
          <w:tcPr>
            <w:tcW w:w="2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1"/>
          </w:tcPr>
          <w:p>
            <w:pPr>
              <w:spacing w:after="0" w:line="195"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Company's Current Report on Form 8-K, filed on March 13, 2024)</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800" w:type="dxa"/>
            <w:vAlign w:val="bottom"/>
            <w:gridSpan w:val="10"/>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760" w:type="dxa"/>
            <w:vAlign w:val="bottom"/>
            <w:gridSpan w:val="2"/>
          </w:tcPr>
          <w:p>
            <w:pPr>
              <w:spacing w:after="0" w:line="20" w:lineRule="exact"/>
              <w:rPr>
                <w:sz w:val="1"/>
                <w:szCs w:val="1"/>
                <w:color w:val="auto"/>
              </w:rPr>
            </w:pPr>
          </w:p>
        </w:tc>
        <w:tc>
          <w:tcPr>
            <w:tcW w:w="50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96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5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80" w:type="dxa"/>
            <w:vAlign w:val="bottom"/>
            <w:tcBorders>
              <w:bottom w:val="single" w:sz="8" w:color="0000FF"/>
            </w:tcBorders>
            <w:gridSpan w:val="11"/>
          </w:tcPr>
          <w:p>
            <w:pPr>
              <w:spacing w:after="0" w:line="195"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52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695"/>
        </w:trPr>
        <w:tc>
          <w:tcPr>
            <w:tcW w:w="980" w:type="dxa"/>
            <w:vAlign w:val="bottom"/>
          </w:tcPr>
          <w:p>
            <w:pPr>
              <w:spacing w:after="0"/>
              <w:rPr>
                <w:sz w:val="24"/>
                <w:szCs w:val="24"/>
                <w:color w:val="auto"/>
              </w:rPr>
            </w:pPr>
          </w:p>
        </w:tc>
        <w:tc>
          <w:tcPr>
            <w:tcW w:w="4920" w:type="dxa"/>
            <w:vAlign w:val="bottom"/>
            <w:gridSpan w:val="11"/>
          </w:tcPr>
          <w:p>
            <w:pPr>
              <w:jc w:val="right"/>
              <w:ind w:right="108"/>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28" w:name="page29"/>
    <w:bookmarkEnd w:id="28"/>
    <w:tbl>
      <w:tblPr>
        <w:tblLayout w:type="fixed"/>
        <w:tblInd w:w="12"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0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r>
      <w:tr>
        <w:trPr>
          <w:trHeight w:val="20"/>
        </w:trPr>
        <w:tc>
          <w:tcPr>
            <w:tcW w:w="1100" w:type="dxa"/>
            <w:vAlign w:val="bottom"/>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4020" w:type="dxa"/>
            <w:vAlign w:val="bottom"/>
            <w:tcBorders>
              <w:right w:val="single" w:sz="8" w:color="0000FF"/>
            </w:tcBorders>
            <w:shd w:val="clear" w:color="auto" w:fill="0000FF"/>
          </w:tcPr>
          <w:p>
            <w:pPr>
              <w:spacing w:after="0" w:line="20" w:lineRule="exact"/>
              <w:rPr>
                <w:sz w:val="1"/>
                <w:szCs w:val="1"/>
                <w:color w:val="auto"/>
              </w:rPr>
            </w:pPr>
          </w:p>
        </w:tc>
        <w:tc>
          <w:tcPr>
            <w:tcW w:w="46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000" w:type="dxa"/>
            <w:vAlign w:val="bottom"/>
            <w:gridSpan w:val="5"/>
          </w:tcPr>
          <w:p>
            <w:pPr>
              <w:spacing w:after="0" w:line="195"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4020" w:type="dxa"/>
            <w:vAlign w:val="bottom"/>
            <w:tcBorders>
              <w:right w:val="single" w:sz="8" w:color="0000EE"/>
            </w:tcBorders>
            <w:shd w:val="clear" w:color="auto" w:fill="0000FF"/>
          </w:tcPr>
          <w:p>
            <w:pPr>
              <w:spacing w:after="0" w:line="20" w:lineRule="exact"/>
              <w:rPr>
                <w:sz w:val="1"/>
                <w:szCs w:val="1"/>
                <w:color w:val="auto"/>
              </w:rPr>
            </w:pPr>
          </w:p>
        </w:tc>
        <w:tc>
          <w:tcPr>
            <w:tcW w:w="50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0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18 U.S.C. Section 1350, as adopted pursuant to Section 906 of the Sarbanes-Oxley</w:t>
            </w:r>
          </w:p>
        </w:tc>
      </w:tr>
      <w:tr>
        <w:trPr>
          <w:trHeight w:val="20"/>
        </w:trPr>
        <w:tc>
          <w:tcPr>
            <w:tcW w:w="1100" w:type="dxa"/>
            <w:vAlign w:val="bottom"/>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908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000" w:type="dxa"/>
            <w:vAlign w:val="bottom"/>
            <w:gridSpan w:val="5"/>
          </w:tcPr>
          <w:p>
            <w:pPr>
              <w:spacing w:after="0" w:line="195" w:lineRule="exact"/>
              <w:rPr>
                <w:sz w:val="20"/>
                <w:szCs w:val="20"/>
                <w:color w:val="auto"/>
              </w:rPr>
            </w:pPr>
            <w:r>
              <w:rPr>
                <w:rFonts w:ascii="Times New Roman" w:cs="Times New Roman" w:eastAsia="Times New Roman" w:hAnsi="Times New Roman"/>
                <w:sz w:val="18"/>
                <w:szCs w:val="18"/>
                <w:color w:val="0000FF"/>
              </w:rPr>
              <w:t>Act of 2002</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860" w:type="dxa"/>
            <w:vAlign w:val="bottom"/>
            <w:tcBorders>
              <w:right w:val="single" w:sz="8" w:color="0000EE"/>
            </w:tcBorders>
            <w:shd w:val="clear" w:color="auto" w:fill="0000FF"/>
          </w:tcPr>
          <w:p>
            <w:pPr>
              <w:spacing w:after="0" w:line="20" w:lineRule="exact"/>
              <w:rPr>
                <w:sz w:val="1"/>
                <w:szCs w:val="1"/>
                <w:color w:val="auto"/>
              </w:rPr>
            </w:pPr>
          </w:p>
        </w:tc>
        <w:tc>
          <w:tcPr>
            <w:tcW w:w="90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0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r>
      <w:tr>
        <w:trPr>
          <w:trHeight w:val="20"/>
        </w:trPr>
        <w:tc>
          <w:tcPr>
            <w:tcW w:w="1100" w:type="dxa"/>
            <w:vAlign w:val="bottom"/>
          </w:tcPr>
          <w:p>
            <w:pPr>
              <w:spacing w:after="0" w:line="20" w:lineRule="exact"/>
              <w:rPr>
                <w:sz w:val="1"/>
                <w:szCs w:val="1"/>
                <w:color w:val="auto"/>
              </w:rPr>
            </w:pPr>
          </w:p>
        </w:tc>
        <w:tc>
          <w:tcPr>
            <w:tcW w:w="994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000" w:type="dxa"/>
            <w:vAlign w:val="bottom"/>
            <w:gridSpan w:val="5"/>
          </w:tcPr>
          <w:p>
            <w:pPr>
              <w:spacing w:after="0" w:line="195" w:lineRule="exact"/>
              <w:rPr>
                <w:sz w:val="20"/>
                <w:szCs w:val="20"/>
                <w:color w:val="auto"/>
              </w:rPr>
            </w:pPr>
            <w:r>
              <w:rPr>
                <w:rFonts w:ascii="Times New Roman" w:cs="Times New Roman" w:eastAsia="Times New Roman" w:hAnsi="Times New Roman"/>
                <w:sz w:val="18"/>
                <w:szCs w:val="18"/>
                <w:color w:val="0000FF"/>
              </w:rPr>
              <w:t>Act of 2002</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860" w:type="dxa"/>
            <w:vAlign w:val="bottom"/>
            <w:tcBorders>
              <w:right w:val="single" w:sz="8" w:color="0000EE"/>
            </w:tcBorders>
            <w:shd w:val="clear" w:color="auto" w:fill="0000FF"/>
          </w:tcPr>
          <w:p>
            <w:pPr>
              <w:spacing w:after="0" w:line="20" w:lineRule="exact"/>
              <w:rPr>
                <w:sz w:val="1"/>
                <w:szCs w:val="1"/>
                <w:color w:val="auto"/>
              </w:rPr>
            </w:pPr>
          </w:p>
        </w:tc>
        <w:tc>
          <w:tcPr>
            <w:tcW w:w="9140" w:type="dxa"/>
            <w:vAlign w:val="bottom"/>
            <w:gridSpan w:val="4"/>
          </w:tcPr>
          <w:p>
            <w:pPr>
              <w:spacing w:after="0" w:line="20" w:lineRule="exact"/>
              <w:rPr>
                <w:sz w:val="1"/>
                <w:szCs w:val="1"/>
                <w:color w:val="auto"/>
              </w:rPr>
            </w:pPr>
          </w:p>
        </w:tc>
      </w:tr>
      <w:tr>
        <w:trPr>
          <w:trHeight w:val="461"/>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0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 tags are embedded</w:t>
            </w:r>
          </w:p>
        </w:tc>
      </w:tr>
      <w:tr>
        <w:trPr>
          <w:trHeight w:val="234"/>
        </w:trPr>
        <w:tc>
          <w:tcPr>
            <w:tcW w:w="1100" w:type="dxa"/>
            <w:vAlign w:val="bottom"/>
          </w:tcPr>
          <w:p>
            <w:pPr>
              <w:spacing w:after="0"/>
              <w:rPr>
                <w:sz w:val="20"/>
                <w:szCs w:val="20"/>
                <w:color w:val="auto"/>
              </w:rPr>
            </w:pPr>
          </w:p>
        </w:tc>
        <w:tc>
          <w:tcPr>
            <w:tcW w:w="10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45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bl>
    <w:p>
      <w:pPr>
        <w:spacing w:after="0" w:line="224" w:lineRule="exact"/>
        <w:rPr>
          <w:sz w:val="20"/>
          <w:szCs w:val="20"/>
          <w:color w:val="auto"/>
        </w:rPr>
      </w:pPr>
    </w:p>
    <w:p>
      <w:pPr>
        <w:ind w:left="1092" w:hanging="1079"/>
        <w:spacing w:after="0"/>
        <w:tabs>
          <w:tab w:leader="none" w:pos="109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345" w:lineRule="exact"/>
        <w:rPr>
          <w:rFonts w:ascii="Times New Roman" w:cs="Times New Roman" w:eastAsia="Times New Roman" w:hAnsi="Times New Roman"/>
          <w:sz w:val="18"/>
          <w:szCs w:val="18"/>
          <w:color w:val="auto"/>
        </w:rPr>
      </w:pPr>
    </w:p>
    <w:p>
      <w:pPr>
        <w:ind w:left="452" w:hanging="509"/>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and not deemed to be “filed” for purposes of Section 18 of the Securities Exchange Act of 1934, as amended, or incorporated by reference into any filing under the Securities Act of 1933, as amended, or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-329565</wp:posOffset>
            </wp:positionV>
            <wp:extent cx="190055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1900555" cy="8255"/>
                    </a:xfrm>
                    <a:prstGeom prst="rect">
                      <a:avLst/>
                    </a:prstGeom>
                    <a:noFill/>
                  </pic:spPr>
                </pic:pic>
              </a:graphicData>
            </a:graphic>
          </wp:anchor>
        </w:drawing>
      </w:r>
    </w:p>
    <w:p>
      <w:pPr>
        <w:spacing w:after="0" w:line="35" w:lineRule="exact"/>
        <w:rPr>
          <w:sz w:val="20"/>
          <w:szCs w:val="20"/>
          <w:color w:val="auto"/>
        </w:rPr>
      </w:pPr>
    </w:p>
    <w:p>
      <w:pPr>
        <w:ind w:left="452" w:hanging="452"/>
        <w:spacing w:after="0"/>
        <w:tabs>
          <w:tab w:leader="none" w:pos="45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00" w:lineRule="exact"/>
        <w:rPr>
          <w:sz w:val="20"/>
          <w:szCs w:val="20"/>
          <w:color w:val="auto"/>
        </w:rPr>
      </w:pPr>
    </w:p>
    <w:p>
      <w:pPr>
        <w:spacing w:after="0" w:line="281" w:lineRule="exact"/>
        <w:rPr>
          <w:sz w:val="20"/>
          <w:szCs w:val="20"/>
          <w:color w:val="auto"/>
        </w:rPr>
      </w:pPr>
    </w:p>
    <w:p>
      <w:pPr>
        <w:jc w:val="center"/>
        <w:ind w:right="-111"/>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483870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12"/>
          </w:cols>
          <w:pgMar w:left="328" w:top="1079" w:right="45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60" w:firstLine="509"/>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3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tc>
      </w:tr>
      <w:tr>
        <w:trPr>
          <w:trHeight w:val="472"/>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June 5, 2024</w:t>
            </w:r>
          </w:p>
        </w:tc>
        <w:tc>
          <w:tcPr>
            <w:tcW w:w="24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200" w:type="dxa"/>
            <w:vAlign w:val="bottom"/>
          </w:tcPr>
          <w:p>
            <w:pPr>
              <w:spacing w:after="0"/>
              <w:rPr>
                <w:sz w:val="24"/>
                <w:szCs w:val="24"/>
                <w:color w:val="auto"/>
              </w:rPr>
            </w:pP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LaRose</w:t>
            </w:r>
          </w:p>
        </w:tc>
      </w:tr>
      <w:tr>
        <w:trPr>
          <w:trHeight w:val="204"/>
        </w:trPr>
        <w:tc>
          <w:tcPr>
            <w:tcW w:w="34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16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Brian LaRose</w:t>
            </w:r>
          </w:p>
        </w:tc>
      </w:tr>
      <w:tr>
        <w:trPr>
          <w:trHeight w:val="216"/>
        </w:trPr>
        <w:tc>
          <w:tcPr>
            <w:tcW w:w="34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4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86"/>
        </w:trPr>
        <w:tc>
          <w:tcPr>
            <w:tcW w:w="4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580" w:type="dxa"/>
            <w:vAlign w:val="bottom"/>
            <w:gridSpan w:val="2"/>
          </w:tcPr>
          <w:p>
            <w:pPr>
              <w:ind w:left="1980"/>
              <w:spacing w:after="0"/>
              <w:rPr>
                <w:sz w:val="20"/>
                <w:szCs w:val="20"/>
                <w:color w:val="auto"/>
              </w:rPr>
            </w:pPr>
            <w:r>
              <w:rPr>
                <w:rFonts w:ascii="Times New Roman" w:cs="Times New Roman" w:eastAsia="Times New Roman" w:hAnsi="Times New Roman"/>
                <w:sz w:val="22"/>
                <w:szCs w:val="22"/>
                <w:b w:val="1"/>
                <w:bCs w:val="1"/>
                <w:color w:val="auto"/>
              </w:rPr>
              <w:t>2024 OFFICER FORM</w:t>
            </w:r>
          </w:p>
        </w:tc>
        <w:tc>
          <w:tcPr>
            <w:tcW w:w="1540" w:type="dxa"/>
            <w:vAlign w:val="bottom"/>
          </w:tcPr>
          <w:p>
            <w:pPr>
              <w:ind w:left="420"/>
              <w:spacing w:after="0"/>
              <w:rPr>
                <w:sz w:val="20"/>
                <w:szCs w:val="20"/>
                <w:color w:val="auto"/>
              </w:rPr>
            </w:pPr>
            <w:r>
              <w:rPr>
                <w:rFonts w:ascii="Times New Roman" w:cs="Times New Roman" w:eastAsia="Times New Roman" w:hAnsi="Times New Roman"/>
                <w:sz w:val="22"/>
                <w:szCs w:val="22"/>
                <w:b w:val="1"/>
                <w:bCs w:val="1"/>
                <w:color w:val="auto"/>
                <w:w w:val="96"/>
              </w:rPr>
              <w:t>Exhibit 10.1</w:t>
            </w:r>
          </w:p>
        </w:tc>
      </w:tr>
      <w:tr>
        <w:trPr>
          <w:trHeight w:val="676"/>
        </w:trPr>
        <w:tc>
          <w:tcPr>
            <w:tcW w:w="4060" w:type="dxa"/>
            <w:vAlign w:val="bottom"/>
          </w:tcPr>
          <w:p>
            <w:pPr>
              <w:spacing w:after="0"/>
              <w:rPr>
                <w:sz w:val="24"/>
                <w:szCs w:val="24"/>
                <w:color w:val="auto"/>
              </w:rPr>
            </w:pPr>
          </w:p>
        </w:tc>
        <w:tc>
          <w:tcPr>
            <w:tcW w:w="3120" w:type="dxa"/>
            <w:vAlign w:val="bottom"/>
            <w:tcBorders>
              <w:bottom w:val="single" w:sz="8" w:color="002060"/>
            </w:tcBorders>
            <w:gridSpan w:val="2"/>
          </w:tcPr>
          <w:p>
            <w:pPr>
              <w:spacing w:after="0"/>
              <w:rPr>
                <w:sz w:val="20"/>
                <w:szCs w:val="20"/>
                <w:color w:val="auto"/>
              </w:rPr>
            </w:pPr>
            <w:r>
              <w:rPr>
                <w:rFonts w:ascii="Times New Roman" w:cs="Times New Roman" w:eastAsia="Times New Roman" w:hAnsi="Times New Roman"/>
                <w:sz w:val="19"/>
                <w:szCs w:val="19"/>
                <w:b w:val="1"/>
                <w:bCs w:val="1"/>
                <w:color w:val="002060"/>
                <w:w w:val="98"/>
              </w:rPr>
              <w:t>RETENTION BONUS AGREEMENT</w:t>
            </w:r>
          </w:p>
        </w:tc>
        <w:tc>
          <w:tcPr>
            <w:tcW w:w="25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92"/>
        </w:trPr>
        <w:tc>
          <w:tcPr>
            <w:tcW w:w="5120" w:type="dxa"/>
            <w:vAlign w:val="bottom"/>
            <w:gridSpan w:val="2"/>
          </w:tcPr>
          <w:p>
            <w:pPr>
              <w:spacing w:after="0"/>
              <w:rPr>
                <w:sz w:val="20"/>
                <w:szCs w:val="20"/>
                <w:color w:val="auto"/>
              </w:rPr>
            </w:pPr>
            <w:r>
              <w:rPr>
                <w:rFonts w:ascii="Times New Roman" w:cs="Times New Roman" w:eastAsia="Times New Roman" w:hAnsi="Times New Roman"/>
                <w:sz w:val="19"/>
                <w:szCs w:val="19"/>
                <w:color w:val="002060"/>
              </w:rPr>
              <w:t>This Retention Bonus Agreement (Agreement) is effective on</w:t>
            </w:r>
          </w:p>
        </w:tc>
        <w:tc>
          <w:tcPr>
            <w:tcW w:w="2060" w:type="dxa"/>
            <w:vAlign w:val="bottom"/>
          </w:tcPr>
          <w:p>
            <w:pPr>
              <w:ind w:left="440"/>
              <w:spacing w:after="0"/>
              <w:rPr>
                <w:sz w:val="20"/>
                <w:szCs w:val="20"/>
                <w:color w:val="auto"/>
              </w:rPr>
            </w:pPr>
            <w:r>
              <w:rPr>
                <w:rFonts w:ascii="Times New Roman" w:cs="Times New Roman" w:eastAsia="Times New Roman" w:hAnsi="Times New Roman"/>
                <w:sz w:val="19"/>
                <w:szCs w:val="19"/>
                <w:color w:val="002060"/>
              </w:rPr>
              <w:t>, by and between</w:t>
            </w:r>
          </w:p>
        </w:tc>
        <w:tc>
          <w:tcPr>
            <w:tcW w:w="4060" w:type="dxa"/>
            <w:vAlign w:val="bottom"/>
            <w:gridSpan w:val="2"/>
          </w:tcPr>
          <w:p>
            <w:pPr>
              <w:ind w:left="600"/>
              <w:spacing w:after="0"/>
              <w:rPr>
                <w:sz w:val="20"/>
                <w:szCs w:val="20"/>
                <w:color w:val="auto"/>
              </w:rPr>
            </w:pPr>
            <w:r>
              <w:rPr>
                <w:rFonts w:ascii="Times New Roman" w:cs="Times New Roman" w:eastAsia="Times New Roman" w:hAnsi="Times New Roman"/>
                <w:sz w:val="19"/>
                <w:szCs w:val="19"/>
                <w:color w:val="002060"/>
              </w:rPr>
              <w:t>(hereinafter “Employee”) and Petco Animal</w:t>
            </w:r>
          </w:p>
        </w:tc>
      </w:tr>
    </w:tbl>
    <w:p>
      <w:pPr>
        <w:spacing w:after="0"/>
        <w:rPr>
          <w:sz w:val="20"/>
          <w:szCs w:val="20"/>
          <w:color w:val="auto"/>
        </w:rPr>
      </w:pPr>
      <w:r>
        <w:rPr>
          <w:rFonts w:ascii="Times New Roman" w:cs="Times New Roman" w:eastAsia="Times New Roman" w:hAnsi="Times New Roman"/>
          <w:sz w:val="19"/>
          <w:szCs w:val="19"/>
          <w:color w:val="002060"/>
        </w:rPr>
        <w:t>Supplies Stores, Inc. (hereinafter “Company”). In consideration of the mutual promises made herein, the Company and Employee agree as follows.</w:t>
      </w:r>
    </w:p>
    <w:p>
      <w:pPr>
        <w:ind w:left="380" w:hanging="372"/>
        <w:spacing w:after="0" w:line="184" w:lineRule="auto"/>
        <w:tabs>
          <w:tab w:leader="none" w:pos="380" w:val="left"/>
        </w:tabs>
        <w:numPr>
          <w:ilvl w:val="0"/>
          <w:numId w:val="8"/>
        </w:numPr>
        <w:rPr>
          <w:rFonts w:ascii="Times New Roman" w:cs="Times New Roman" w:eastAsia="Times New Roman" w:hAnsi="Times New Roman"/>
          <w:sz w:val="18"/>
          <w:szCs w:val="18"/>
          <w:color w:val="002060"/>
        </w:rPr>
      </w:pPr>
      <w:r>
        <w:rPr>
          <w:rFonts w:ascii="Times New Roman" w:cs="Times New Roman" w:eastAsia="Times New Roman" w:hAnsi="Times New Roman"/>
          <w:sz w:val="18"/>
          <w:szCs w:val="18"/>
          <w:b w:val="1"/>
          <w:bCs w:val="1"/>
          <w:color w:val="002060"/>
        </w:rPr>
        <w:t xml:space="preserve">Purpose of Retention Bonus. </w:t>
      </w:r>
      <w:r>
        <w:rPr>
          <w:rFonts w:ascii="Times New Roman" w:cs="Times New Roman" w:eastAsia="Times New Roman" w:hAnsi="Times New Roman"/>
          <w:sz w:val="18"/>
          <w:szCs w:val="18"/>
          <w:color w:val="002060"/>
        </w:rPr>
        <w:t>Employee is being offered a Retention Bonus in order to encourage Employee to remain actively employed</w:t>
      </w:r>
    </w:p>
    <w:p>
      <w:pPr>
        <w:spacing w:after="0" w:line="196" w:lineRule="exact"/>
        <w:rPr>
          <w:sz w:val="20"/>
          <w:szCs w:val="20"/>
          <w:color w:val="auto"/>
        </w:rPr>
      </w:pPr>
    </w:p>
    <w:p>
      <w:pPr>
        <w:ind w:left="380" w:right="60"/>
        <w:spacing w:after="0" w:line="246" w:lineRule="auto"/>
        <w:rPr>
          <w:sz w:val="20"/>
          <w:szCs w:val="20"/>
          <w:color w:val="auto"/>
        </w:rPr>
      </w:pPr>
      <w:r>
        <w:rPr>
          <w:rFonts w:ascii="Times New Roman" w:cs="Times New Roman" w:eastAsia="Times New Roman" w:hAnsi="Times New Roman"/>
          <w:sz w:val="19"/>
          <w:szCs w:val="19"/>
          <w:color w:val="002060"/>
        </w:rPr>
        <w:t>with the Company through . The Retention Bonus is an Incentive Bonus awarded under the Company’s 2021 Equity Incentive Plan (as amended, the “2021 Plan”). The “Retention Period” shall begin on and shall end on . This Agreement shall not modify the duration of the Employee’s employment with the Company, and the Employee remains an employee-at-will during the entire time of employment with the Company.</w:t>
      </w:r>
    </w:p>
    <w:p>
      <w:pPr>
        <w:spacing w:after="0" w:line="125" w:lineRule="exact"/>
        <w:rPr>
          <w:sz w:val="20"/>
          <w:szCs w:val="20"/>
          <w:color w:val="auto"/>
        </w:rPr>
      </w:pPr>
    </w:p>
    <w:p>
      <w:pPr>
        <w:spacing w:after="0"/>
        <w:tabs>
          <w:tab w:leader="none" w:pos="360" w:val="left"/>
          <w:tab w:leader="none" w:pos="7860" w:val="left"/>
        </w:tabs>
        <w:rPr>
          <w:sz w:val="20"/>
          <w:szCs w:val="20"/>
          <w:color w:val="auto"/>
        </w:rPr>
      </w:pPr>
      <w:r>
        <w:rPr>
          <w:rFonts w:ascii="Times New Roman" w:cs="Times New Roman" w:eastAsia="Times New Roman" w:hAnsi="Times New Roman"/>
          <w:sz w:val="19"/>
          <w:szCs w:val="19"/>
          <w:color w:val="002060"/>
        </w:rPr>
        <w:t>2.</w:t>
      </w:r>
      <w:r>
        <w:rPr>
          <w:sz w:val="20"/>
          <w:szCs w:val="20"/>
          <w:color w:val="auto"/>
        </w:rPr>
        <w:tab/>
      </w:r>
      <w:r>
        <w:rPr>
          <w:rFonts w:ascii="Times New Roman" w:cs="Times New Roman" w:eastAsia="Times New Roman" w:hAnsi="Times New Roman"/>
          <w:sz w:val="19"/>
          <w:szCs w:val="19"/>
          <w:b w:val="1"/>
          <w:bCs w:val="1"/>
          <w:color w:val="002060"/>
        </w:rPr>
        <w:t xml:space="preserve">Retention Bonus Amount. </w:t>
      </w:r>
      <w:r>
        <w:rPr>
          <w:rFonts w:ascii="Times New Roman" w:cs="Times New Roman" w:eastAsia="Times New Roman" w:hAnsi="Times New Roman"/>
          <w:sz w:val="19"/>
          <w:szCs w:val="19"/>
          <w:color w:val="002060"/>
        </w:rPr>
        <w:t>The Company shall pay to Employee a total amount of $</w:t>
      </w:r>
      <w:r>
        <w:rPr>
          <w:sz w:val="20"/>
          <w:szCs w:val="20"/>
          <w:color w:val="auto"/>
        </w:rPr>
        <w:tab/>
      </w:r>
      <w:r>
        <w:rPr>
          <w:rFonts w:ascii="Times New Roman" w:cs="Times New Roman" w:eastAsia="Times New Roman" w:hAnsi="Times New Roman"/>
          <w:sz w:val="18"/>
          <w:szCs w:val="18"/>
          <w:color w:val="002060"/>
        </w:rPr>
        <w:t>, less applicable state and federal taxes and</w:t>
      </w:r>
    </w:p>
    <w:p>
      <w:pPr>
        <w:spacing w:after="0" w:line="21" w:lineRule="exact"/>
        <w:rPr>
          <w:sz w:val="20"/>
          <w:szCs w:val="20"/>
          <w:color w:val="auto"/>
        </w:rPr>
      </w:pPr>
    </w:p>
    <w:p>
      <w:pPr>
        <w:ind w:left="380" w:right="220"/>
        <w:spacing w:after="0"/>
        <w:rPr>
          <w:sz w:val="20"/>
          <w:szCs w:val="20"/>
          <w:color w:val="auto"/>
        </w:rPr>
      </w:pPr>
      <w:r>
        <w:rPr>
          <w:rFonts w:ascii="Times New Roman" w:cs="Times New Roman" w:eastAsia="Times New Roman" w:hAnsi="Times New Roman"/>
          <w:sz w:val="19"/>
          <w:szCs w:val="19"/>
          <w:color w:val="002060"/>
        </w:rPr>
        <w:t>withholdings, as a Retention Bonus if Employee remains actively employed during the entire Retention Period and complies with all other conditions stated in this Agreement and otherwise meets all conditions precedent to earn the Retention Bonus. The Retention Bonus shall be subject to standard withholdings.</w:t>
      </w:r>
    </w:p>
    <w:p>
      <w:pPr>
        <w:spacing w:after="0" w:line="130" w:lineRule="exact"/>
        <w:rPr>
          <w:sz w:val="20"/>
          <w:szCs w:val="20"/>
          <w:color w:val="auto"/>
        </w:rPr>
      </w:pPr>
    </w:p>
    <w:p>
      <w:pPr>
        <w:ind w:left="380" w:right="740" w:hanging="372"/>
        <w:spacing w:after="0" w:line="269" w:lineRule="auto"/>
        <w:tabs>
          <w:tab w:leader="none" w:pos="380" w:val="left"/>
        </w:tabs>
        <w:numPr>
          <w:ilvl w:val="0"/>
          <w:numId w:val="9"/>
        </w:numPr>
        <w:rPr>
          <w:rFonts w:ascii="Times New Roman" w:cs="Times New Roman" w:eastAsia="Times New Roman" w:hAnsi="Times New Roman"/>
          <w:sz w:val="19"/>
          <w:szCs w:val="19"/>
          <w:color w:val="002060"/>
        </w:rPr>
      </w:pPr>
      <w:r>
        <w:rPr>
          <w:rFonts w:ascii="Times New Roman" w:cs="Times New Roman" w:eastAsia="Times New Roman" w:hAnsi="Times New Roman"/>
          <w:sz w:val="19"/>
          <w:szCs w:val="19"/>
          <w:b w:val="1"/>
          <w:bCs w:val="1"/>
          <w:color w:val="002060"/>
        </w:rPr>
        <w:t xml:space="preserve">Conditions Required To Earn Retention Bonus Payment. </w:t>
      </w:r>
      <w:r>
        <w:rPr>
          <w:rFonts w:ascii="Times New Roman" w:cs="Times New Roman" w:eastAsia="Times New Roman" w:hAnsi="Times New Roman"/>
          <w:sz w:val="19"/>
          <w:szCs w:val="19"/>
          <w:color w:val="002060"/>
        </w:rPr>
        <w:t>In addition to remaining actively employed during the Retention Period,</w:t>
      </w:r>
      <w:r>
        <w:rPr>
          <w:rFonts w:ascii="Times New Roman" w:cs="Times New Roman" w:eastAsia="Times New Roman" w:hAnsi="Times New Roman"/>
          <w:sz w:val="19"/>
          <w:szCs w:val="19"/>
          <w:b w:val="1"/>
          <w:bCs w:val="1"/>
          <w:color w:val="002060"/>
        </w:rPr>
        <w:t xml:space="preserve"> </w:t>
      </w:r>
      <w:r>
        <w:rPr>
          <w:rFonts w:ascii="Times New Roman" w:cs="Times New Roman" w:eastAsia="Times New Roman" w:hAnsi="Times New Roman"/>
          <w:sz w:val="19"/>
          <w:szCs w:val="19"/>
          <w:color w:val="002060"/>
        </w:rPr>
        <w:t>Employee also must comply with the following conditions to receive a Retention Bonus Payment:</w:t>
      </w:r>
    </w:p>
    <w:p>
      <w:pPr>
        <w:spacing w:after="0" w:line="103" w:lineRule="exact"/>
        <w:rPr>
          <w:rFonts w:ascii="Times New Roman" w:cs="Times New Roman" w:eastAsia="Times New Roman" w:hAnsi="Times New Roman"/>
          <w:sz w:val="19"/>
          <w:szCs w:val="19"/>
          <w:color w:val="002060"/>
        </w:rPr>
      </w:pPr>
    </w:p>
    <w:p>
      <w:pPr>
        <w:ind w:left="1140" w:right="80" w:hanging="383"/>
        <w:spacing w:after="0" w:line="243" w:lineRule="auto"/>
        <w:tabs>
          <w:tab w:leader="none" w:pos="1140" w:val="left"/>
        </w:tabs>
        <w:numPr>
          <w:ilvl w:val="1"/>
          <w:numId w:val="9"/>
        </w:numPr>
        <w:rPr>
          <w:rFonts w:ascii="Times New Roman" w:cs="Times New Roman" w:eastAsia="Times New Roman" w:hAnsi="Times New Roman"/>
          <w:sz w:val="19"/>
          <w:szCs w:val="19"/>
          <w:color w:val="002060"/>
        </w:rPr>
      </w:pPr>
      <w:r>
        <w:rPr>
          <w:rFonts w:ascii="Times New Roman" w:cs="Times New Roman" w:eastAsia="Times New Roman" w:hAnsi="Times New Roman"/>
          <w:sz w:val="19"/>
          <w:szCs w:val="19"/>
          <w:b w:val="1"/>
          <w:bCs w:val="1"/>
          <w:color w:val="002060"/>
        </w:rPr>
        <w:t xml:space="preserve">Resignation and Termination for Cause. </w:t>
      </w:r>
      <w:r>
        <w:rPr>
          <w:rFonts w:ascii="Times New Roman" w:cs="Times New Roman" w:eastAsia="Times New Roman" w:hAnsi="Times New Roman"/>
          <w:sz w:val="19"/>
          <w:szCs w:val="19"/>
          <w:color w:val="002060"/>
        </w:rPr>
        <w:t>Employee shall not resign Employee’s employment prior to the end of the Retention</w:t>
      </w:r>
      <w:r>
        <w:rPr>
          <w:rFonts w:ascii="Times New Roman" w:cs="Times New Roman" w:eastAsia="Times New Roman" w:hAnsi="Times New Roman"/>
          <w:sz w:val="19"/>
          <w:szCs w:val="19"/>
          <w:b w:val="1"/>
          <w:bCs w:val="1"/>
          <w:color w:val="002060"/>
        </w:rPr>
        <w:t xml:space="preserve"> </w:t>
      </w:r>
      <w:r>
        <w:rPr>
          <w:rFonts w:ascii="Times New Roman" w:cs="Times New Roman" w:eastAsia="Times New Roman" w:hAnsi="Times New Roman"/>
          <w:sz w:val="19"/>
          <w:szCs w:val="19"/>
          <w:color w:val="002060"/>
        </w:rPr>
        <w:t>Period, nor shall Employee commit any action that results in a performance problem or violation of Company policy, which leads to termination for cause. The term “cause” is defined for purposes of this Agreement to include any act of dishonesty or disloyalty, fraud, conviction of a felony or conviction of a misdemeanor involving moral turpitude, violation of a policy of the Company, and/or willful or negligent misconduct in the performance of Employee’s job duties. Employee shall retain and not be required to repay any previous Installment Payments that were already made.</w:t>
      </w:r>
    </w:p>
    <w:p>
      <w:pPr>
        <w:spacing w:after="0" w:line="129" w:lineRule="exact"/>
        <w:rPr>
          <w:rFonts w:ascii="Times New Roman" w:cs="Times New Roman" w:eastAsia="Times New Roman" w:hAnsi="Times New Roman"/>
          <w:sz w:val="19"/>
          <w:szCs w:val="19"/>
          <w:color w:val="002060"/>
        </w:rPr>
      </w:pPr>
    </w:p>
    <w:p>
      <w:pPr>
        <w:ind w:left="1140" w:right="440" w:hanging="383"/>
        <w:spacing w:after="0" w:line="269" w:lineRule="auto"/>
        <w:tabs>
          <w:tab w:leader="none" w:pos="1140" w:val="left"/>
        </w:tabs>
        <w:numPr>
          <w:ilvl w:val="1"/>
          <w:numId w:val="9"/>
        </w:numPr>
        <w:rPr>
          <w:rFonts w:ascii="Times New Roman" w:cs="Times New Roman" w:eastAsia="Times New Roman" w:hAnsi="Times New Roman"/>
          <w:sz w:val="19"/>
          <w:szCs w:val="19"/>
          <w:color w:val="002060"/>
        </w:rPr>
      </w:pPr>
      <w:r>
        <w:rPr>
          <w:rFonts w:ascii="Times New Roman" w:cs="Times New Roman" w:eastAsia="Times New Roman" w:hAnsi="Times New Roman"/>
          <w:sz w:val="19"/>
          <w:szCs w:val="19"/>
          <w:b w:val="1"/>
          <w:bCs w:val="1"/>
          <w:color w:val="002060"/>
        </w:rPr>
        <w:t xml:space="preserve">Compliance with Applicable Laws. </w:t>
      </w:r>
      <w:r>
        <w:rPr>
          <w:rFonts w:ascii="Times New Roman" w:cs="Times New Roman" w:eastAsia="Times New Roman" w:hAnsi="Times New Roman"/>
          <w:sz w:val="19"/>
          <w:szCs w:val="19"/>
          <w:color w:val="002060"/>
        </w:rPr>
        <w:t>Employee shall at all times comply with laws (whether domestic or foreign) applicable to</w:t>
      </w:r>
      <w:r>
        <w:rPr>
          <w:rFonts w:ascii="Times New Roman" w:cs="Times New Roman" w:eastAsia="Times New Roman" w:hAnsi="Times New Roman"/>
          <w:sz w:val="19"/>
          <w:szCs w:val="19"/>
          <w:b w:val="1"/>
          <w:bCs w:val="1"/>
          <w:color w:val="002060"/>
        </w:rPr>
        <w:t xml:space="preserve"> </w:t>
      </w:r>
      <w:r>
        <w:rPr>
          <w:rFonts w:ascii="Times New Roman" w:cs="Times New Roman" w:eastAsia="Times New Roman" w:hAnsi="Times New Roman"/>
          <w:sz w:val="19"/>
          <w:szCs w:val="19"/>
          <w:color w:val="002060"/>
        </w:rPr>
        <w:t>Employee’s actions on behalf of the Company; and</w:t>
      </w:r>
    </w:p>
    <w:p>
      <w:pPr>
        <w:spacing w:after="0" w:line="103" w:lineRule="exact"/>
        <w:rPr>
          <w:rFonts w:ascii="Times New Roman" w:cs="Times New Roman" w:eastAsia="Times New Roman" w:hAnsi="Times New Roman"/>
          <w:sz w:val="19"/>
          <w:szCs w:val="19"/>
          <w:color w:val="002060"/>
        </w:rPr>
      </w:pPr>
    </w:p>
    <w:p>
      <w:pPr>
        <w:ind w:left="1140" w:right="20" w:hanging="383"/>
        <w:spacing w:after="0" w:line="247" w:lineRule="auto"/>
        <w:tabs>
          <w:tab w:leader="none" w:pos="1140" w:val="left"/>
        </w:tabs>
        <w:numPr>
          <w:ilvl w:val="1"/>
          <w:numId w:val="9"/>
        </w:numPr>
        <w:rPr>
          <w:rFonts w:ascii="Times New Roman" w:cs="Times New Roman" w:eastAsia="Times New Roman" w:hAnsi="Times New Roman"/>
          <w:sz w:val="19"/>
          <w:szCs w:val="19"/>
          <w:color w:val="002060"/>
        </w:rPr>
      </w:pPr>
      <w:r>
        <w:rPr>
          <w:rFonts w:ascii="Times New Roman" w:cs="Times New Roman" w:eastAsia="Times New Roman" w:hAnsi="Times New Roman"/>
          <w:sz w:val="19"/>
          <w:szCs w:val="19"/>
          <w:b w:val="1"/>
          <w:bCs w:val="1"/>
          <w:color w:val="002060"/>
        </w:rPr>
        <w:t xml:space="preserve">Confidentiality. </w:t>
      </w:r>
      <w:r>
        <w:rPr>
          <w:rFonts w:ascii="Times New Roman" w:cs="Times New Roman" w:eastAsia="Times New Roman" w:hAnsi="Times New Roman"/>
          <w:sz w:val="19"/>
          <w:szCs w:val="19"/>
          <w:color w:val="002060"/>
        </w:rPr>
        <w:t>Employee agrees that this Agreement is confidential and agrees not to disclose any information regarding the terms</w:t>
      </w:r>
      <w:r>
        <w:rPr>
          <w:rFonts w:ascii="Times New Roman" w:cs="Times New Roman" w:eastAsia="Times New Roman" w:hAnsi="Times New Roman"/>
          <w:sz w:val="19"/>
          <w:szCs w:val="19"/>
          <w:b w:val="1"/>
          <w:bCs w:val="1"/>
          <w:color w:val="002060"/>
        </w:rPr>
        <w:t xml:space="preserve"> </w:t>
      </w:r>
      <w:r>
        <w:rPr>
          <w:rFonts w:ascii="Times New Roman" w:cs="Times New Roman" w:eastAsia="Times New Roman" w:hAnsi="Times New Roman"/>
          <w:sz w:val="19"/>
          <w:szCs w:val="19"/>
          <w:color w:val="002060"/>
        </w:rPr>
        <w:t>and conditions of this Agreement, except to his immediate family (or trusts for his or their benefit) and any tax, legal or other counsel he has consulted regarding the meaning or effect hereof or as required by law, and he will instruct each of the foregoing not to disclose the same to anyone.</w:t>
      </w:r>
    </w:p>
    <w:p>
      <w:pPr>
        <w:spacing w:after="0" w:line="179" w:lineRule="exact"/>
        <w:rPr>
          <w:rFonts w:ascii="Times New Roman" w:cs="Times New Roman" w:eastAsia="Times New Roman" w:hAnsi="Times New Roman"/>
          <w:sz w:val="19"/>
          <w:szCs w:val="19"/>
          <w:color w:val="002060"/>
        </w:rPr>
      </w:pPr>
    </w:p>
    <w:p>
      <w:pPr>
        <w:ind w:left="380" w:right="320" w:hanging="372"/>
        <w:spacing w:after="0" w:line="269" w:lineRule="auto"/>
        <w:tabs>
          <w:tab w:leader="none" w:pos="380" w:val="left"/>
        </w:tabs>
        <w:numPr>
          <w:ilvl w:val="0"/>
          <w:numId w:val="9"/>
        </w:numPr>
        <w:rPr>
          <w:rFonts w:ascii="Times New Roman" w:cs="Times New Roman" w:eastAsia="Times New Roman" w:hAnsi="Times New Roman"/>
          <w:sz w:val="19"/>
          <w:szCs w:val="19"/>
          <w:color w:val="002060"/>
        </w:rPr>
      </w:pPr>
      <w:r>
        <w:rPr>
          <w:rFonts w:ascii="Times New Roman" w:cs="Times New Roman" w:eastAsia="Times New Roman" w:hAnsi="Times New Roman"/>
          <w:sz w:val="19"/>
          <w:szCs w:val="19"/>
          <w:b w:val="1"/>
          <w:bCs w:val="1"/>
          <w:color w:val="002060"/>
        </w:rPr>
        <w:t>Payment of Retention Bonus</w:t>
      </w:r>
      <w:r>
        <w:rPr>
          <w:rFonts w:ascii="Times New Roman" w:cs="Times New Roman" w:eastAsia="Times New Roman" w:hAnsi="Times New Roman"/>
          <w:sz w:val="19"/>
          <w:szCs w:val="19"/>
          <w:color w:val="002060"/>
        </w:rPr>
        <w:t>: If Employee is employed through the Retention Period, the Retention Bonus will be paid out in accordance</w:t>
      </w:r>
      <w:r>
        <w:rPr>
          <w:rFonts w:ascii="Times New Roman" w:cs="Times New Roman" w:eastAsia="Times New Roman" w:hAnsi="Times New Roman"/>
          <w:sz w:val="19"/>
          <w:szCs w:val="19"/>
          <w:b w:val="1"/>
          <w:bCs w:val="1"/>
          <w:color w:val="002060"/>
        </w:rPr>
        <w:t xml:space="preserve"> </w:t>
      </w:r>
      <w:r>
        <w:rPr>
          <w:rFonts w:ascii="Times New Roman" w:cs="Times New Roman" w:eastAsia="Times New Roman" w:hAnsi="Times New Roman"/>
          <w:sz w:val="19"/>
          <w:szCs w:val="19"/>
          <w:color w:val="002060"/>
        </w:rPr>
        <w:t>with the following payment schedule:</w:t>
      </w:r>
    </w:p>
    <w:p>
      <w:pPr>
        <w:spacing w:after="0" w:line="104" w:lineRule="exact"/>
        <w:rPr>
          <w:sz w:val="20"/>
          <w:szCs w:val="20"/>
          <w:color w:val="auto"/>
        </w:rPr>
      </w:pPr>
    </w:p>
    <w:tbl>
      <w:tblPr>
        <w:tblLayout w:type="fixed"/>
        <w:tblInd w:w="760" w:type="dxa"/>
        <w:tblCellMar>
          <w:top w:w="0" w:type="dxa"/>
          <w:left w:w="0" w:type="dxa"/>
          <w:bottom w:w="0" w:type="dxa"/>
          <w:right w:w="0" w:type="dxa"/>
        </w:tblCellMar>
      </w:tblPr>
      <w:tr>
        <w:trPr>
          <w:trHeight w:val="220"/>
        </w:trPr>
        <w:tc>
          <w:tcPr>
            <w:tcW w:w="300" w:type="dxa"/>
            <w:vAlign w:val="bottom"/>
          </w:tcPr>
          <w:p>
            <w:pPr>
              <w:spacing w:after="0"/>
              <w:rPr>
                <w:sz w:val="20"/>
                <w:szCs w:val="20"/>
                <w:color w:val="auto"/>
              </w:rPr>
            </w:pPr>
            <w:r>
              <w:rPr>
                <w:rFonts w:ascii="Times New Roman" w:cs="Times New Roman" w:eastAsia="Times New Roman" w:hAnsi="Times New Roman"/>
                <w:sz w:val="19"/>
                <w:szCs w:val="19"/>
                <w:color w:val="002060"/>
              </w:rPr>
              <w:t>(a)</w:t>
            </w:r>
          </w:p>
        </w:tc>
        <w:tc>
          <w:tcPr>
            <w:tcW w:w="5400" w:type="dxa"/>
            <w:vAlign w:val="bottom"/>
            <w:gridSpan w:val="2"/>
          </w:tcPr>
          <w:p>
            <w:pPr>
              <w:ind w:left="80"/>
              <w:spacing w:after="0"/>
              <w:rPr>
                <w:sz w:val="20"/>
                <w:szCs w:val="20"/>
                <w:color w:val="auto"/>
              </w:rPr>
            </w:pPr>
            <w:r>
              <w:rPr>
                <w:rFonts w:ascii="Times New Roman" w:cs="Times New Roman" w:eastAsia="Times New Roman" w:hAnsi="Times New Roman"/>
                <w:sz w:val="19"/>
                <w:szCs w:val="19"/>
                <w:b w:val="1"/>
                <w:bCs w:val="1"/>
                <w:color w:val="002060"/>
              </w:rPr>
              <w:t>First Payment Installment</w:t>
            </w:r>
            <w:r>
              <w:rPr>
                <w:rFonts w:ascii="Times New Roman" w:cs="Times New Roman" w:eastAsia="Times New Roman" w:hAnsi="Times New Roman"/>
                <w:sz w:val="19"/>
                <w:szCs w:val="19"/>
                <w:color w:val="002060"/>
              </w:rPr>
              <w:t>: The installment period begins on</w:t>
            </w:r>
          </w:p>
        </w:tc>
        <w:tc>
          <w:tcPr>
            <w:tcW w:w="1800" w:type="dxa"/>
            <w:vAlign w:val="bottom"/>
          </w:tcPr>
          <w:p>
            <w:pPr>
              <w:ind w:left="360"/>
              <w:spacing w:after="0"/>
              <w:rPr>
                <w:sz w:val="20"/>
                <w:szCs w:val="20"/>
                <w:color w:val="auto"/>
              </w:rPr>
            </w:pPr>
            <w:r>
              <w:rPr>
                <w:rFonts w:ascii="Times New Roman" w:cs="Times New Roman" w:eastAsia="Times New Roman" w:hAnsi="Times New Roman"/>
                <w:sz w:val="19"/>
                <w:szCs w:val="19"/>
                <w:color w:val="002060"/>
              </w:rPr>
              <w:t>and ends on</w:t>
            </w:r>
          </w:p>
        </w:tc>
        <w:tc>
          <w:tcPr>
            <w:tcW w:w="292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002060"/>
              </w:rPr>
              <w:t>. Company shall pay Employee $</w:t>
            </w:r>
          </w:p>
        </w:tc>
      </w:tr>
      <w:tr>
        <w:trPr>
          <w:trHeight w:val="244"/>
        </w:trPr>
        <w:tc>
          <w:tcPr>
            <w:tcW w:w="300" w:type="dxa"/>
            <w:vAlign w:val="bottom"/>
          </w:tcPr>
          <w:p>
            <w:pPr>
              <w:spacing w:after="0"/>
              <w:rPr>
                <w:sz w:val="21"/>
                <w:szCs w:val="21"/>
                <w:color w:val="auto"/>
              </w:rPr>
            </w:pPr>
          </w:p>
        </w:tc>
        <w:tc>
          <w:tcPr>
            <w:tcW w:w="8280" w:type="dxa"/>
            <w:vAlign w:val="bottom"/>
            <w:gridSpan w:val="4"/>
          </w:tcPr>
          <w:p>
            <w:pPr>
              <w:ind w:left="80"/>
              <w:spacing w:after="0"/>
              <w:rPr>
                <w:sz w:val="20"/>
                <w:szCs w:val="20"/>
                <w:color w:val="auto"/>
              </w:rPr>
            </w:pPr>
            <w:r>
              <w:rPr>
                <w:rFonts w:ascii="Times New Roman" w:cs="Times New Roman" w:eastAsia="Times New Roman" w:hAnsi="Times New Roman"/>
                <w:sz w:val="19"/>
                <w:szCs w:val="19"/>
                <w:color w:val="002060"/>
              </w:rPr>
              <w:t>, less applicable state and federal taxes and withholdings, on or before the second pay period following</w:t>
            </w:r>
          </w:p>
        </w:tc>
        <w:tc>
          <w:tcPr>
            <w:tcW w:w="1120" w:type="dxa"/>
            <w:vAlign w:val="bottom"/>
          </w:tcPr>
          <w:p>
            <w:pPr>
              <w:ind w:left="460"/>
              <w:spacing w:after="0"/>
              <w:rPr>
                <w:sz w:val="20"/>
                <w:szCs w:val="20"/>
                <w:color w:val="auto"/>
              </w:rPr>
            </w:pPr>
            <w:r>
              <w:rPr>
                <w:rFonts w:ascii="Times New Roman" w:cs="Times New Roman" w:eastAsia="Times New Roman" w:hAnsi="Times New Roman"/>
                <w:sz w:val="19"/>
                <w:szCs w:val="19"/>
                <w:color w:val="002060"/>
              </w:rPr>
              <w:t>; and</w:t>
            </w:r>
          </w:p>
        </w:tc>
        <w:tc>
          <w:tcPr>
            <w:tcW w:w="720" w:type="dxa"/>
            <w:vAlign w:val="bottom"/>
          </w:tcPr>
          <w:p>
            <w:pPr>
              <w:spacing w:after="0"/>
              <w:rPr>
                <w:sz w:val="21"/>
                <w:szCs w:val="21"/>
                <w:color w:val="auto"/>
              </w:rPr>
            </w:pPr>
          </w:p>
        </w:tc>
      </w:tr>
      <w:tr>
        <w:trPr>
          <w:trHeight w:val="349"/>
        </w:trPr>
        <w:tc>
          <w:tcPr>
            <w:tcW w:w="300" w:type="dxa"/>
            <w:vAlign w:val="bottom"/>
          </w:tcPr>
          <w:p>
            <w:pPr>
              <w:spacing w:after="0"/>
              <w:rPr>
                <w:sz w:val="20"/>
                <w:szCs w:val="20"/>
                <w:color w:val="auto"/>
              </w:rPr>
            </w:pPr>
            <w:r>
              <w:rPr>
                <w:rFonts w:ascii="Times New Roman" w:cs="Times New Roman" w:eastAsia="Times New Roman" w:hAnsi="Times New Roman"/>
                <w:sz w:val="19"/>
                <w:szCs w:val="19"/>
                <w:color w:val="002060"/>
              </w:rPr>
              <w:t>(b)</w:t>
            </w:r>
          </w:p>
        </w:tc>
        <w:tc>
          <w:tcPr>
            <w:tcW w:w="5400" w:type="dxa"/>
            <w:vAlign w:val="bottom"/>
            <w:gridSpan w:val="2"/>
          </w:tcPr>
          <w:p>
            <w:pPr>
              <w:ind w:left="80"/>
              <w:spacing w:after="0"/>
              <w:rPr>
                <w:sz w:val="20"/>
                <w:szCs w:val="20"/>
                <w:color w:val="auto"/>
              </w:rPr>
            </w:pPr>
            <w:r>
              <w:rPr>
                <w:rFonts w:ascii="Times New Roman" w:cs="Times New Roman" w:eastAsia="Times New Roman" w:hAnsi="Times New Roman"/>
                <w:sz w:val="19"/>
                <w:szCs w:val="19"/>
                <w:b w:val="1"/>
                <w:bCs w:val="1"/>
                <w:color w:val="002060"/>
              </w:rPr>
              <w:t xml:space="preserve">Second Payment Installment: </w:t>
            </w:r>
            <w:r>
              <w:rPr>
                <w:rFonts w:ascii="Times New Roman" w:cs="Times New Roman" w:eastAsia="Times New Roman" w:hAnsi="Times New Roman"/>
                <w:sz w:val="19"/>
                <w:szCs w:val="19"/>
                <w:color w:val="002060"/>
              </w:rPr>
              <w:t>The installment period begins on</w:t>
            </w:r>
          </w:p>
        </w:tc>
        <w:tc>
          <w:tcPr>
            <w:tcW w:w="1800" w:type="dxa"/>
            <w:vAlign w:val="bottom"/>
          </w:tcPr>
          <w:p>
            <w:pPr>
              <w:ind w:left="520"/>
              <w:spacing w:after="0"/>
              <w:rPr>
                <w:sz w:val="20"/>
                <w:szCs w:val="20"/>
                <w:color w:val="auto"/>
              </w:rPr>
            </w:pPr>
            <w:r>
              <w:rPr>
                <w:rFonts w:ascii="Times New Roman" w:cs="Times New Roman" w:eastAsia="Times New Roman" w:hAnsi="Times New Roman"/>
                <w:sz w:val="19"/>
                <w:szCs w:val="19"/>
                <w:color w:val="002060"/>
              </w:rPr>
              <w:t>and ends on</w:t>
            </w:r>
          </w:p>
        </w:tc>
        <w:tc>
          <w:tcPr>
            <w:tcW w:w="292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002060"/>
              </w:rPr>
              <w:t>. Company shall pay Employee</w:t>
            </w:r>
          </w:p>
        </w:tc>
      </w:tr>
      <w:tr>
        <w:trPr>
          <w:trHeight w:val="244"/>
        </w:trPr>
        <w:tc>
          <w:tcPr>
            <w:tcW w:w="300" w:type="dxa"/>
            <w:vAlign w:val="bottom"/>
          </w:tcPr>
          <w:p>
            <w:pPr>
              <w:spacing w:after="0"/>
              <w:rPr>
                <w:sz w:val="21"/>
                <w:szCs w:val="21"/>
                <w:color w:val="auto"/>
              </w:rPr>
            </w:pPr>
          </w:p>
        </w:tc>
        <w:tc>
          <w:tcPr>
            <w:tcW w:w="600" w:type="dxa"/>
            <w:vAlign w:val="bottom"/>
          </w:tcPr>
          <w:p>
            <w:pPr>
              <w:ind w:left="80"/>
              <w:spacing w:after="0"/>
              <w:rPr>
                <w:sz w:val="20"/>
                <w:szCs w:val="20"/>
                <w:color w:val="auto"/>
              </w:rPr>
            </w:pPr>
            <w:r>
              <w:rPr>
                <w:rFonts w:ascii="Times New Roman" w:cs="Times New Roman" w:eastAsia="Times New Roman" w:hAnsi="Times New Roman"/>
                <w:sz w:val="19"/>
                <w:szCs w:val="19"/>
                <w:color w:val="002060"/>
              </w:rPr>
              <w:t>$</w:t>
            </w:r>
          </w:p>
        </w:tc>
        <w:tc>
          <w:tcPr>
            <w:tcW w:w="8800" w:type="dxa"/>
            <w:vAlign w:val="bottom"/>
            <w:gridSpan w:val="4"/>
          </w:tcPr>
          <w:p>
            <w:pPr>
              <w:ind w:left="420"/>
              <w:spacing w:after="0"/>
              <w:rPr>
                <w:sz w:val="20"/>
                <w:szCs w:val="20"/>
                <w:color w:val="auto"/>
              </w:rPr>
            </w:pPr>
            <w:r>
              <w:rPr>
                <w:rFonts w:ascii="Times New Roman" w:cs="Times New Roman" w:eastAsia="Times New Roman" w:hAnsi="Times New Roman"/>
                <w:sz w:val="19"/>
                <w:szCs w:val="19"/>
                <w:color w:val="002060"/>
              </w:rPr>
              <w:t>, less applicable state and federal taxes and withholdings, on or before the second pay period following</w:t>
            </w:r>
          </w:p>
        </w:tc>
        <w:tc>
          <w:tcPr>
            <w:tcW w:w="720" w:type="dxa"/>
            <w:vAlign w:val="bottom"/>
          </w:tcPr>
          <w:p>
            <w:pPr>
              <w:jc w:val="right"/>
              <w:ind w:right="306"/>
              <w:spacing w:after="0"/>
              <w:rPr>
                <w:sz w:val="20"/>
                <w:szCs w:val="20"/>
                <w:color w:val="auto"/>
              </w:rPr>
            </w:pPr>
            <w:r>
              <w:rPr>
                <w:rFonts w:ascii="Times New Roman" w:cs="Times New Roman" w:eastAsia="Times New Roman" w:hAnsi="Times New Roman"/>
                <w:sz w:val="19"/>
                <w:szCs w:val="19"/>
                <w:color w:val="002060"/>
              </w:rPr>
              <w:t>.</w:t>
            </w:r>
          </w:p>
        </w:tc>
      </w:tr>
      <w:tr>
        <w:trPr>
          <w:trHeight w:val="349"/>
        </w:trPr>
        <w:tc>
          <w:tcPr>
            <w:tcW w:w="300" w:type="dxa"/>
            <w:vAlign w:val="bottom"/>
          </w:tcPr>
          <w:p>
            <w:pPr>
              <w:spacing w:after="0"/>
              <w:rPr>
                <w:sz w:val="20"/>
                <w:szCs w:val="20"/>
                <w:color w:val="auto"/>
              </w:rPr>
            </w:pPr>
            <w:r>
              <w:rPr>
                <w:rFonts w:ascii="Times New Roman" w:cs="Times New Roman" w:eastAsia="Times New Roman" w:hAnsi="Times New Roman"/>
                <w:sz w:val="19"/>
                <w:szCs w:val="19"/>
                <w:color w:val="002060"/>
              </w:rPr>
              <w:t>(c)</w:t>
            </w:r>
          </w:p>
        </w:tc>
        <w:tc>
          <w:tcPr>
            <w:tcW w:w="5400" w:type="dxa"/>
            <w:vAlign w:val="bottom"/>
            <w:gridSpan w:val="2"/>
          </w:tcPr>
          <w:p>
            <w:pPr>
              <w:ind w:left="80"/>
              <w:spacing w:after="0"/>
              <w:rPr>
                <w:sz w:val="20"/>
                <w:szCs w:val="20"/>
                <w:color w:val="auto"/>
              </w:rPr>
            </w:pPr>
            <w:r>
              <w:rPr>
                <w:rFonts w:ascii="Times New Roman" w:cs="Times New Roman" w:eastAsia="Times New Roman" w:hAnsi="Times New Roman"/>
                <w:sz w:val="19"/>
                <w:szCs w:val="19"/>
                <w:b w:val="1"/>
                <w:bCs w:val="1"/>
                <w:color w:val="002060"/>
              </w:rPr>
              <w:t xml:space="preserve">Third Payment Installment: </w:t>
            </w:r>
            <w:r>
              <w:rPr>
                <w:rFonts w:ascii="Times New Roman" w:cs="Times New Roman" w:eastAsia="Times New Roman" w:hAnsi="Times New Roman"/>
                <w:sz w:val="19"/>
                <w:szCs w:val="19"/>
                <w:color w:val="002060"/>
              </w:rPr>
              <w:t>The installment period begins on</w:t>
            </w:r>
          </w:p>
        </w:tc>
        <w:tc>
          <w:tcPr>
            <w:tcW w:w="1800" w:type="dxa"/>
            <w:vAlign w:val="bottom"/>
          </w:tcPr>
          <w:p>
            <w:pPr>
              <w:ind w:left="420"/>
              <w:spacing w:after="0"/>
              <w:rPr>
                <w:sz w:val="20"/>
                <w:szCs w:val="20"/>
                <w:color w:val="auto"/>
              </w:rPr>
            </w:pPr>
            <w:r>
              <w:rPr>
                <w:rFonts w:ascii="Times New Roman" w:cs="Times New Roman" w:eastAsia="Times New Roman" w:hAnsi="Times New Roman"/>
                <w:sz w:val="19"/>
                <w:szCs w:val="19"/>
                <w:color w:val="002060"/>
              </w:rPr>
              <w:t>, and ends on</w:t>
            </w:r>
          </w:p>
        </w:tc>
        <w:tc>
          <w:tcPr>
            <w:tcW w:w="292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002060"/>
              </w:rPr>
              <w:t>. Company shall pay Employee</w:t>
            </w:r>
          </w:p>
        </w:tc>
      </w:tr>
      <w:tr>
        <w:trPr>
          <w:trHeight w:val="244"/>
        </w:trPr>
        <w:tc>
          <w:tcPr>
            <w:tcW w:w="300" w:type="dxa"/>
            <w:vAlign w:val="bottom"/>
          </w:tcPr>
          <w:p>
            <w:pPr>
              <w:spacing w:after="0"/>
              <w:rPr>
                <w:sz w:val="21"/>
                <w:szCs w:val="21"/>
                <w:color w:val="auto"/>
              </w:rPr>
            </w:pPr>
          </w:p>
        </w:tc>
        <w:tc>
          <w:tcPr>
            <w:tcW w:w="600" w:type="dxa"/>
            <w:vAlign w:val="bottom"/>
          </w:tcPr>
          <w:p>
            <w:pPr>
              <w:ind w:left="80"/>
              <w:spacing w:after="0"/>
              <w:rPr>
                <w:sz w:val="20"/>
                <w:szCs w:val="20"/>
                <w:color w:val="auto"/>
              </w:rPr>
            </w:pPr>
            <w:r>
              <w:rPr>
                <w:rFonts w:ascii="Times New Roman" w:cs="Times New Roman" w:eastAsia="Times New Roman" w:hAnsi="Times New Roman"/>
                <w:sz w:val="19"/>
                <w:szCs w:val="19"/>
                <w:color w:val="002060"/>
              </w:rPr>
              <w:t>$</w:t>
            </w:r>
          </w:p>
        </w:tc>
        <w:tc>
          <w:tcPr>
            <w:tcW w:w="8800" w:type="dxa"/>
            <w:vAlign w:val="bottom"/>
            <w:gridSpan w:val="4"/>
          </w:tcPr>
          <w:p>
            <w:pPr>
              <w:ind w:left="420"/>
              <w:spacing w:after="0"/>
              <w:rPr>
                <w:sz w:val="20"/>
                <w:szCs w:val="20"/>
                <w:color w:val="auto"/>
              </w:rPr>
            </w:pPr>
            <w:r>
              <w:rPr>
                <w:rFonts w:ascii="Times New Roman" w:cs="Times New Roman" w:eastAsia="Times New Roman" w:hAnsi="Times New Roman"/>
                <w:sz w:val="19"/>
                <w:szCs w:val="19"/>
                <w:color w:val="002060"/>
              </w:rPr>
              <w:t>, less applicable state and federal taxes and withholdings, on or before the second pay period following</w:t>
            </w:r>
          </w:p>
        </w:tc>
        <w:tc>
          <w:tcPr>
            <w:tcW w:w="720" w:type="dxa"/>
            <w:vAlign w:val="bottom"/>
          </w:tcPr>
          <w:p>
            <w:pPr>
              <w:jc w:val="right"/>
              <w:ind w:right="306"/>
              <w:spacing w:after="0"/>
              <w:rPr>
                <w:sz w:val="20"/>
                <w:szCs w:val="20"/>
                <w:color w:val="auto"/>
              </w:rPr>
            </w:pPr>
            <w:r>
              <w:rPr>
                <w:rFonts w:ascii="Times New Roman" w:cs="Times New Roman" w:eastAsia="Times New Roman" w:hAnsi="Times New Roman"/>
                <w:sz w:val="19"/>
                <w:szCs w:val="19"/>
                <w:color w:val="002060"/>
              </w:rPr>
              <w:t>.</w:t>
            </w:r>
          </w:p>
        </w:tc>
      </w:tr>
    </w:tbl>
    <w:p>
      <w:pPr>
        <w:spacing w:after="0" w:line="206" w:lineRule="exact"/>
        <w:rPr>
          <w:sz w:val="20"/>
          <w:szCs w:val="20"/>
          <w:color w:val="auto"/>
        </w:rPr>
      </w:pPr>
    </w:p>
    <w:p>
      <w:pPr>
        <w:jc w:val="center"/>
        <w:spacing w:after="0"/>
        <w:rPr>
          <w:sz w:val="20"/>
          <w:szCs w:val="20"/>
          <w:color w:val="auto"/>
        </w:rPr>
      </w:pPr>
      <w:r>
        <w:rPr>
          <w:rFonts w:ascii="Calibri" w:cs="Calibri" w:eastAsia="Calibri" w:hAnsi="Calibri"/>
          <w:sz w:val="20"/>
          <w:szCs w:val="20"/>
          <w:color w:val="00206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31" w:name="page32"/>
    <w:bookmarkEnd w:id="31"/>
    <w:p>
      <w:pPr>
        <w:ind w:left="380" w:right="320" w:hanging="372"/>
        <w:spacing w:after="0" w:line="297" w:lineRule="auto"/>
        <w:tabs>
          <w:tab w:leader="none" w:pos="380" w:val="left"/>
        </w:tabs>
        <w:numPr>
          <w:ilvl w:val="0"/>
          <w:numId w:val="10"/>
        </w:numPr>
        <w:rPr>
          <w:rFonts w:ascii="Times New Roman" w:cs="Times New Roman" w:eastAsia="Times New Roman" w:hAnsi="Times New Roman"/>
          <w:sz w:val="18"/>
          <w:szCs w:val="18"/>
          <w:color w:val="002060"/>
        </w:rPr>
      </w:pPr>
      <w:r>
        <w:rPr>
          <w:rFonts w:ascii="Times New Roman" w:cs="Times New Roman" w:eastAsia="Times New Roman" w:hAnsi="Times New Roman"/>
          <w:sz w:val="18"/>
          <w:szCs w:val="18"/>
          <w:b w:val="1"/>
          <w:bCs w:val="1"/>
          <w:color w:val="002060"/>
        </w:rPr>
        <w:t xml:space="preserve">Forfeiture of Retention Bonus. </w:t>
      </w:r>
      <w:r>
        <w:rPr>
          <w:rFonts w:ascii="Times New Roman" w:cs="Times New Roman" w:eastAsia="Times New Roman" w:hAnsi="Times New Roman"/>
          <w:sz w:val="18"/>
          <w:szCs w:val="18"/>
          <w:color w:val="002060"/>
        </w:rPr>
        <w:t>Employee agrees that in the event Employee does not earn the Retention Bonus, in full or in part, because</w:t>
      </w:r>
      <w:r>
        <w:rPr>
          <w:rFonts w:ascii="Times New Roman" w:cs="Times New Roman" w:eastAsia="Times New Roman" w:hAnsi="Times New Roman"/>
          <w:sz w:val="18"/>
          <w:szCs w:val="18"/>
          <w:b w:val="1"/>
          <w:bCs w:val="1"/>
          <w:color w:val="002060"/>
        </w:rPr>
        <w:t xml:space="preserve"> </w:t>
      </w:r>
      <w:r>
        <w:rPr>
          <w:rFonts w:ascii="Times New Roman" w:cs="Times New Roman" w:eastAsia="Times New Roman" w:hAnsi="Times New Roman"/>
          <w:sz w:val="18"/>
          <w:szCs w:val="18"/>
          <w:color w:val="002060"/>
        </w:rPr>
        <w:t>Employee did not fulfill the obligations set forth above in Section 3, then Employee agrees to either forfeit future Installment Payments:</w:t>
      </w:r>
    </w:p>
    <w:p>
      <w:pPr>
        <w:spacing w:after="0" w:line="81" w:lineRule="exact"/>
        <w:rPr>
          <w:rFonts w:ascii="Times New Roman" w:cs="Times New Roman" w:eastAsia="Times New Roman" w:hAnsi="Times New Roman"/>
          <w:sz w:val="18"/>
          <w:szCs w:val="18"/>
          <w:color w:val="002060"/>
        </w:rPr>
      </w:pPr>
    </w:p>
    <w:p>
      <w:pPr>
        <w:jc w:val="both"/>
        <w:ind w:left="1140" w:right="140" w:hanging="383"/>
        <w:spacing w:after="0" w:line="253" w:lineRule="auto"/>
        <w:tabs>
          <w:tab w:leader="none" w:pos="1140" w:val="left"/>
        </w:tabs>
        <w:numPr>
          <w:ilvl w:val="1"/>
          <w:numId w:val="10"/>
        </w:numPr>
        <w:rPr>
          <w:rFonts w:ascii="Times New Roman" w:cs="Times New Roman" w:eastAsia="Times New Roman" w:hAnsi="Times New Roman"/>
          <w:sz w:val="19"/>
          <w:szCs w:val="19"/>
          <w:color w:val="002060"/>
        </w:rPr>
      </w:pPr>
      <w:r>
        <w:rPr>
          <w:rFonts w:ascii="Times New Roman" w:cs="Times New Roman" w:eastAsia="Times New Roman" w:hAnsi="Times New Roman"/>
          <w:sz w:val="19"/>
          <w:szCs w:val="19"/>
          <w:b w:val="1"/>
          <w:bCs w:val="1"/>
          <w:color w:val="002060"/>
        </w:rPr>
        <w:t xml:space="preserve">Resignation: </w:t>
      </w:r>
      <w:r>
        <w:rPr>
          <w:rFonts w:ascii="Times New Roman" w:cs="Times New Roman" w:eastAsia="Times New Roman" w:hAnsi="Times New Roman"/>
          <w:sz w:val="19"/>
          <w:szCs w:val="19"/>
          <w:color w:val="002060"/>
        </w:rPr>
        <w:t>If the Retention Bonus is not earned because Employee resigns employment prior to the end of the Retention Period,</w:t>
      </w:r>
      <w:r>
        <w:rPr>
          <w:rFonts w:ascii="Times New Roman" w:cs="Times New Roman" w:eastAsia="Times New Roman" w:hAnsi="Times New Roman"/>
          <w:sz w:val="19"/>
          <w:szCs w:val="19"/>
          <w:b w:val="1"/>
          <w:bCs w:val="1"/>
          <w:color w:val="002060"/>
        </w:rPr>
        <w:t xml:space="preserve"> </w:t>
      </w:r>
      <w:r>
        <w:rPr>
          <w:rFonts w:ascii="Times New Roman" w:cs="Times New Roman" w:eastAsia="Times New Roman" w:hAnsi="Times New Roman"/>
          <w:sz w:val="19"/>
          <w:szCs w:val="19"/>
          <w:color w:val="002060"/>
        </w:rPr>
        <w:t>Employee agrees to forfeit any future unpaid Installment Payments as set forth in Section 4 above. Employee shall retain and not be required to repay any previous Installment Payments that were already made.</w:t>
      </w:r>
    </w:p>
    <w:p>
      <w:pPr>
        <w:spacing w:after="0" w:line="118" w:lineRule="exact"/>
        <w:rPr>
          <w:rFonts w:ascii="Times New Roman" w:cs="Times New Roman" w:eastAsia="Times New Roman" w:hAnsi="Times New Roman"/>
          <w:sz w:val="19"/>
          <w:szCs w:val="19"/>
          <w:color w:val="002060"/>
        </w:rPr>
      </w:pPr>
    </w:p>
    <w:p>
      <w:pPr>
        <w:ind w:left="1140" w:right="80" w:hanging="383"/>
        <w:spacing w:after="0" w:line="253" w:lineRule="auto"/>
        <w:tabs>
          <w:tab w:leader="none" w:pos="1140" w:val="left"/>
        </w:tabs>
        <w:numPr>
          <w:ilvl w:val="1"/>
          <w:numId w:val="10"/>
        </w:numPr>
        <w:rPr>
          <w:rFonts w:ascii="Times New Roman" w:cs="Times New Roman" w:eastAsia="Times New Roman" w:hAnsi="Times New Roman"/>
          <w:sz w:val="19"/>
          <w:szCs w:val="19"/>
          <w:color w:val="002060"/>
        </w:rPr>
      </w:pPr>
      <w:r>
        <w:rPr>
          <w:rFonts w:ascii="Times New Roman" w:cs="Times New Roman" w:eastAsia="Times New Roman" w:hAnsi="Times New Roman"/>
          <w:sz w:val="19"/>
          <w:szCs w:val="19"/>
          <w:b w:val="1"/>
          <w:bCs w:val="1"/>
          <w:color w:val="002060"/>
        </w:rPr>
        <w:t xml:space="preserve">Termination for Cause: </w:t>
      </w:r>
      <w:r>
        <w:rPr>
          <w:rFonts w:ascii="Times New Roman" w:cs="Times New Roman" w:eastAsia="Times New Roman" w:hAnsi="Times New Roman"/>
          <w:sz w:val="19"/>
          <w:szCs w:val="19"/>
          <w:color w:val="002060"/>
        </w:rPr>
        <w:t>If the Retention Bonus is not earned because Employee is terminated for cause, Employee agrees to forfeit</w:t>
      </w:r>
      <w:r>
        <w:rPr>
          <w:rFonts w:ascii="Times New Roman" w:cs="Times New Roman" w:eastAsia="Times New Roman" w:hAnsi="Times New Roman"/>
          <w:sz w:val="19"/>
          <w:szCs w:val="19"/>
          <w:b w:val="1"/>
          <w:bCs w:val="1"/>
          <w:color w:val="002060"/>
        </w:rPr>
        <w:t xml:space="preserve"> </w:t>
      </w:r>
      <w:r>
        <w:rPr>
          <w:rFonts w:ascii="Times New Roman" w:cs="Times New Roman" w:eastAsia="Times New Roman" w:hAnsi="Times New Roman"/>
          <w:sz w:val="19"/>
          <w:szCs w:val="19"/>
          <w:color w:val="002060"/>
        </w:rPr>
        <w:t>any future unpaid Installment Payments as set forth in Section 4 above. Employee shall retain and not be required to repay any previous Installment Payments that were already made.</w:t>
      </w:r>
    </w:p>
    <w:p>
      <w:pPr>
        <w:spacing w:after="0" w:line="118" w:lineRule="exact"/>
        <w:rPr>
          <w:rFonts w:ascii="Times New Roman" w:cs="Times New Roman" w:eastAsia="Times New Roman" w:hAnsi="Times New Roman"/>
          <w:sz w:val="19"/>
          <w:szCs w:val="19"/>
          <w:color w:val="002060"/>
        </w:rPr>
      </w:pPr>
    </w:p>
    <w:p>
      <w:pPr>
        <w:ind w:left="1140" w:right="60" w:hanging="383"/>
        <w:spacing w:after="0" w:line="247" w:lineRule="auto"/>
        <w:tabs>
          <w:tab w:leader="none" w:pos="1140" w:val="left"/>
        </w:tabs>
        <w:numPr>
          <w:ilvl w:val="1"/>
          <w:numId w:val="10"/>
        </w:numPr>
        <w:rPr>
          <w:rFonts w:ascii="Times New Roman" w:cs="Times New Roman" w:eastAsia="Times New Roman" w:hAnsi="Times New Roman"/>
          <w:sz w:val="19"/>
          <w:szCs w:val="19"/>
          <w:color w:val="002060"/>
        </w:rPr>
      </w:pPr>
      <w:r>
        <w:rPr>
          <w:rFonts w:ascii="Times New Roman" w:cs="Times New Roman" w:eastAsia="Times New Roman" w:hAnsi="Times New Roman"/>
          <w:sz w:val="19"/>
          <w:szCs w:val="19"/>
          <w:b w:val="1"/>
          <w:bCs w:val="1"/>
          <w:color w:val="002060"/>
        </w:rPr>
        <w:t xml:space="preserve">Leave of Absence, Breach of Confidentiality: </w:t>
      </w:r>
      <w:r>
        <w:rPr>
          <w:rFonts w:ascii="Times New Roman" w:cs="Times New Roman" w:eastAsia="Times New Roman" w:hAnsi="Times New Roman"/>
          <w:sz w:val="19"/>
          <w:szCs w:val="19"/>
          <w:color w:val="002060"/>
        </w:rPr>
        <w:t>If the Retention Bonus is not earned due to breach of Confidentiality or because</w:t>
      </w:r>
      <w:r>
        <w:rPr>
          <w:rFonts w:ascii="Times New Roman" w:cs="Times New Roman" w:eastAsia="Times New Roman" w:hAnsi="Times New Roman"/>
          <w:sz w:val="19"/>
          <w:szCs w:val="19"/>
          <w:b w:val="1"/>
          <w:bCs w:val="1"/>
          <w:color w:val="002060"/>
        </w:rPr>
        <w:t xml:space="preserve"> </w:t>
      </w:r>
      <w:r>
        <w:rPr>
          <w:rFonts w:ascii="Times New Roman" w:cs="Times New Roman" w:eastAsia="Times New Roman" w:hAnsi="Times New Roman"/>
          <w:sz w:val="19"/>
          <w:szCs w:val="19"/>
          <w:color w:val="002060"/>
        </w:rPr>
        <w:t>Employee takes a prolonged leave of absence longer than 12 weeks, Employee agrees to forfeit any future unpaid Installment Payments as set forth in Section 4 above. Employee shall retain and not be required to repay any previous Installment Payments that were already made.</w:t>
      </w:r>
    </w:p>
    <w:p>
      <w:pPr>
        <w:spacing w:after="0" w:line="125" w:lineRule="exact"/>
        <w:rPr>
          <w:rFonts w:ascii="Times New Roman" w:cs="Times New Roman" w:eastAsia="Times New Roman" w:hAnsi="Times New Roman"/>
          <w:sz w:val="19"/>
          <w:szCs w:val="19"/>
          <w:color w:val="002060"/>
        </w:rPr>
      </w:pPr>
    </w:p>
    <w:p>
      <w:pPr>
        <w:ind w:left="1140" w:hanging="383"/>
        <w:spacing w:after="0" w:line="262" w:lineRule="auto"/>
        <w:tabs>
          <w:tab w:leader="none" w:pos="1140" w:val="left"/>
        </w:tabs>
        <w:numPr>
          <w:ilvl w:val="1"/>
          <w:numId w:val="10"/>
        </w:numPr>
        <w:rPr>
          <w:rFonts w:ascii="Times New Roman" w:cs="Times New Roman" w:eastAsia="Times New Roman" w:hAnsi="Times New Roman"/>
          <w:sz w:val="18"/>
          <w:szCs w:val="18"/>
          <w:color w:val="002060"/>
        </w:rPr>
      </w:pPr>
      <w:r>
        <w:rPr>
          <w:rFonts w:ascii="Times New Roman" w:cs="Times New Roman" w:eastAsia="Times New Roman" w:hAnsi="Times New Roman"/>
          <w:sz w:val="18"/>
          <w:szCs w:val="18"/>
          <w:b w:val="1"/>
          <w:bCs w:val="1"/>
          <w:color w:val="002060"/>
        </w:rPr>
        <w:t xml:space="preserve">Death, Disability, or Termination Without Cause: </w:t>
      </w:r>
      <w:r>
        <w:rPr>
          <w:rFonts w:ascii="Times New Roman" w:cs="Times New Roman" w:eastAsia="Times New Roman" w:hAnsi="Times New Roman"/>
          <w:sz w:val="18"/>
          <w:szCs w:val="18"/>
          <w:color w:val="002060"/>
        </w:rPr>
        <w:t>If the Retention Bonus is not earned because Employee dies, becomes</w:t>
      </w:r>
      <w:r>
        <w:rPr>
          <w:rFonts w:ascii="Times New Roman" w:cs="Times New Roman" w:eastAsia="Times New Roman" w:hAnsi="Times New Roman"/>
          <w:sz w:val="18"/>
          <w:szCs w:val="18"/>
          <w:b w:val="1"/>
          <w:bCs w:val="1"/>
          <w:color w:val="002060"/>
        </w:rPr>
        <w:t xml:space="preserve"> </w:t>
      </w:r>
      <w:r>
        <w:rPr>
          <w:rFonts w:ascii="Times New Roman" w:cs="Times New Roman" w:eastAsia="Times New Roman" w:hAnsi="Times New Roman"/>
          <w:sz w:val="18"/>
          <w:szCs w:val="18"/>
          <w:color w:val="002060"/>
        </w:rPr>
        <w:t>permanently disabled and unable to work, or is terminated without cause, Employee shall be entitled to receive the prorated portion of the existing Installment Payment at the time of death, disability, or termination (measured by elapsed days in the installment period divided by the total days in the installment period). Employee shall retain and not be required to repay any previous Installment Payments that were already made. Employee shall forfeit any Installment Payments for installment periods that have not yet started.</w:t>
      </w:r>
    </w:p>
    <w:p>
      <w:pPr>
        <w:spacing w:after="0" w:line="110" w:lineRule="exact"/>
        <w:rPr>
          <w:rFonts w:ascii="Times New Roman" w:cs="Times New Roman" w:eastAsia="Times New Roman" w:hAnsi="Times New Roman"/>
          <w:sz w:val="18"/>
          <w:szCs w:val="18"/>
          <w:color w:val="002060"/>
        </w:rPr>
      </w:pPr>
    </w:p>
    <w:p>
      <w:pPr>
        <w:ind w:left="380" w:hanging="372"/>
        <w:spacing w:after="0"/>
        <w:tabs>
          <w:tab w:leader="none" w:pos="380" w:val="left"/>
        </w:tabs>
        <w:numPr>
          <w:ilvl w:val="0"/>
          <w:numId w:val="10"/>
        </w:numPr>
        <w:rPr>
          <w:rFonts w:ascii="Times New Roman" w:cs="Times New Roman" w:eastAsia="Times New Roman" w:hAnsi="Times New Roman"/>
          <w:sz w:val="19"/>
          <w:szCs w:val="19"/>
          <w:color w:val="002060"/>
        </w:rPr>
      </w:pPr>
      <w:r>
        <w:rPr>
          <w:rFonts w:ascii="Times New Roman" w:cs="Times New Roman" w:eastAsia="Times New Roman" w:hAnsi="Times New Roman"/>
          <w:sz w:val="19"/>
          <w:szCs w:val="19"/>
          <w:b w:val="1"/>
          <w:bCs w:val="1"/>
          <w:color w:val="002060"/>
        </w:rPr>
        <w:t>Miscellaneous.</w:t>
      </w:r>
    </w:p>
    <w:p>
      <w:pPr>
        <w:spacing w:after="0" w:line="163" w:lineRule="exact"/>
        <w:rPr>
          <w:rFonts w:ascii="Times New Roman" w:cs="Times New Roman" w:eastAsia="Times New Roman" w:hAnsi="Times New Roman"/>
          <w:sz w:val="19"/>
          <w:szCs w:val="19"/>
          <w:color w:val="002060"/>
        </w:rPr>
      </w:pPr>
    </w:p>
    <w:p>
      <w:pPr>
        <w:ind w:left="1140" w:right="720" w:hanging="383"/>
        <w:spacing w:after="0" w:line="265" w:lineRule="auto"/>
        <w:tabs>
          <w:tab w:leader="none" w:pos="1140" w:val="left"/>
        </w:tabs>
        <w:numPr>
          <w:ilvl w:val="1"/>
          <w:numId w:val="10"/>
        </w:numPr>
        <w:rPr>
          <w:rFonts w:ascii="Times New Roman" w:cs="Times New Roman" w:eastAsia="Times New Roman" w:hAnsi="Times New Roman"/>
          <w:sz w:val="19"/>
          <w:szCs w:val="19"/>
          <w:color w:val="002060"/>
        </w:rPr>
      </w:pPr>
      <w:r>
        <w:rPr>
          <w:rFonts w:ascii="Times New Roman" w:cs="Times New Roman" w:eastAsia="Times New Roman" w:hAnsi="Times New Roman"/>
          <w:sz w:val="19"/>
          <w:szCs w:val="19"/>
          <w:color w:val="002060"/>
        </w:rPr>
        <w:t>This Agreement constitutes the entire agreement of the parties with regard to the Retention Bonus. Any modification of this Agreement will be effective only if it is in writing and signed by both the Company and Employee;</w:t>
      </w:r>
    </w:p>
    <w:p>
      <w:pPr>
        <w:spacing w:after="0" w:line="110" w:lineRule="exact"/>
        <w:rPr>
          <w:rFonts w:ascii="Times New Roman" w:cs="Times New Roman" w:eastAsia="Times New Roman" w:hAnsi="Times New Roman"/>
          <w:sz w:val="19"/>
          <w:szCs w:val="19"/>
          <w:color w:val="002060"/>
        </w:rPr>
      </w:pPr>
    </w:p>
    <w:p>
      <w:pPr>
        <w:ind w:left="1140" w:right="120" w:hanging="383"/>
        <w:spacing w:after="0" w:line="251" w:lineRule="auto"/>
        <w:tabs>
          <w:tab w:leader="none" w:pos="1140" w:val="left"/>
        </w:tabs>
        <w:numPr>
          <w:ilvl w:val="1"/>
          <w:numId w:val="10"/>
        </w:numPr>
        <w:rPr>
          <w:rFonts w:ascii="Times New Roman" w:cs="Times New Roman" w:eastAsia="Times New Roman" w:hAnsi="Times New Roman"/>
          <w:sz w:val="19"/>
          <w:szCs w:val="19"/>
          <w:color w:val="002060"/>
        </w:rPr>
      </w:pPr>
      <w:r>
        <w:rPr>
          <w:rFonts w:ascii="Times New Roman" w:cs="Times New Roman" w:eastAsia="Times New Roman" w:hAnsi="Times New Roman"/>
          <w:sz w:val="19"/>
          <w:szCs w:val="19"/>
          <w:color w:val="002060"/>
        </w:rPr>
        <w:t>The provisions of this Agreement shall not supersede or modify the provisions of any employment agreement, confidentiality agreement, or relationship between Employee and the Company. This Agreement does not supersede, replace or limit the rights and obligations of the Company and Employee with respect to such matters imposed by law or other agreements;</w:t>
      </w:r>
    </w:p>
    <w:p>
      <w:pPr>
        <w:spacing w:after="0" w:line="123" w:lineRule="exact"/>
        <w:rPr>
          <w:rFonts w:ascii="Times New Roman" w:cs="Times New Roman" w:eastAsia="Times New Roman" w:hAnsi="Times New Roman"/>
          <w:sz w:val="19"/>
          <w:szCs w:val="19"/>
          <w:color w:val="002060"/>
        </w:rPr>
      </w:pPr>
    </w:p>
    <w:p>
      <w:pPr>
        <w:ind w:left="1140" w:right="20" w:hanging="383"/>
        <w:spacing w:after="0" w:line="265" w:lineRule="auto"/>
        <w:tabs>
          <w:tab w:leader="none" w:pos="1140" w:val="left"/>
        </w:tabs>
        <w:numPr>
          <w:ilvl w:val="1"/>
          <w:numId w:val="10"/>
        </w:numPr>
        <w:rPr>
          <w:rFonts w:ascii="Times New Roman" w:cs="Times New Roman" w:eastAsia="Times New Roman" w:hAnsi="Times New Roman"/>
          <w:sz w:val="19"/>
          <w:szCs w:val="19"/>
          <w:color w:val="002060"/>
        </w:rPr>
      </w:pPr>
      <w:r>
        <w:rPr>
          <w:rFonts w:ascii="Times New Roman" w:cs="Times New Roman" w:eastAsia="Times New Roman" w:hAnsi="Times New Roman"/>
          <w:sz w:val="19"/>
          <w:szCs w:val="19"/>
          <w:color w:val="002060"/>
        </w:rPr>
        <w:t>The headings in this Agreement are intended solely for the convenience of reference and should be given no effect in the construction or interpretation of this Agreement; and</w:t>
      </w:r>
    </w:p>
    <w:p>
      <w:pPr>
        <w:spacing w:after="0" w:line="110" w:lineRule="exact"/>
        <w:rPr>
          <w:rFonts w:ascii="Times New Roman" w:cs="Times New Roman" w:eastAsia="Times New Roman" w:hAnsi="Times New Roman"/>
          <w:sz w:val="19"/>
          <w:szCs w:val="19"/>
          <w:color w:val="002060"/>
        </w:rPr>
      </w:pPr>
    </w:p>
    <w:p>
      <w:pPr>
        <w:ind w:left="1140" w:right="680" w:hanging="383"/>
        <w:spacing w:after="0" w:line="251" w:lineRule="auto"/>
        <w:tabs>
          <w:tab w:leader="none" w:pos="1140" w:val="left"/>
        </w:tabs>
        <w:numPr>
          <w:ilvl w:val="1"/>
          <w:numId w:val="10"/>
        </w:numPr>
        <w:rPr>
          <w:rFonts w:ascii="Times New Roman" w:cs="Times New Roman" w:eastAsia="Times New Roman" w:hAnsi="Times New Roman"/>
          <w:sz w:val="19"/>
          <w:szCs w:val="19"/>
          <w:color w:val="002060"/>
        </w:rPr>
      </w:pPr>
      <w:r>
        <w:rPr>
          <w:rFonts w:ascii="Times New Roman" w:cs="Times New Roman" w:eastAsia="Times New Roman" w:hAnsi="Times New Roman"/>
          <w:sz w:val="19"/>
          <w:szCs w:val="19"/>
          <w:color w:val="002060"/>
        </w:rPr>
        <w:t>Should any provision of this Agreement be held by a court of competent jurisdiction to be invalid, void or unenforceable, the remaining provisions shall be unaffected and shall continue in full force and effect, and the invalid, void or unenforceable provision(s) shall be deemed not to be part of this Agreement.</w:t>
      </w:r>
    </w:p>
    <w:p>
      <w:pPr>
        <w:spacing w:after="0" w:line="117" w:lineRule="exact"/>
        <w:rPr>
          <w:rFonts w:ascii="Times New Roman" w:cs="Times New Roman" w:eastAsia="Times New Roman" w:hAnsi="Times New Roman"/>
          <w:sz w:val="19"/>
          <w:szCs w:val="19"/>
          <w:color w:val="002060"/>
        </w:rPr>
      </w:pPr>
    </w:p>
    <w:p>
      <w:pPr>
        <w:ind w:left="380" w:right="580" w:hanging="372"/>
        <w:spacing w:after="0" w:line="271" w:lineRule="auto"/>
        <w:tabs>
          <w:tab w:leader="none" w:pos="380" w:val="left"/>
        </w:tabs>
        <w:numPr>
          <w:ilvl w:val="0"/>
          <w:numId w:val="10"/>
        </w:numPr>
        <w:rPr>
          <w:rFonts w:ascii="Times New Roman" w:cs="Times New Roman" w:eastAsia="Times New Roman" w:hAnsi="Times New Roman"/>
          <w:sz w:val="19"/>
          <w:szCs w:val="19"/>
          <w:color w:val="002060"/>
        </w:rPr>
      </w:pPr>
      <w:r>
        <w:rPr>
          <w:rFonts w:ascii="Times New Roman" w:cs="Times New Roman" w:eastAsia="Times New Roman" w:hAnsi="Times New Roman"/>
          <w:sz w:val="19"/>
          <w:szCs w:val="19"/>
          <w:b w:val="1"/>
          <w:bCs w:val="1"/>
          <w:color w:val="002060"/>
        </w:rPr>
        <w:t>Governing Law</w:t>
      </w:r>
      <w:r>
        <w:rPr>
          <w:rFonts w:ascii="Times New Roman" w:cs="Times New Roman" w:eastAsia="Times New Roman" w:hAnsi="Times New Roman"/>
          <w:sz w:val="19"/>
          <w:szCs w:val="19"/>
          <w:b w:val="1"/>
          <w:bCs w:val="1"/>
          <w:i w:val="1"/>
          <w:iCs w:val="1"/>
          <w:color w:val="002060"/>
        </w:rPr>
        <w:t>.</w:t>
      </w:r>
      <w:r>
        <w:rPr>
          <w:rFonts w:ascii="Times New Roman" w:cs="Times New Roman" w:eastAsia="Times New Roman" w:hAnsi="Times New Roman"/>
          <w:sz w:val="19"/>
          <w:szCs w:val="19"/>
          <w:b w:val="1"/>
          <w:bCs w:val="1"/>
          <w:color w:val="002060"/>
        </w:rPr>
        <w:t xml:space="preserve"> </w:t>
      </w:r>
      <w:r>
        <w:rPr>
          <w:rFonts w:ascii="Times New Roman" w:cs="Times New Roman" w:eastAsia="Times New Roman" w:hAnsi="Times New Roman"/>
          <w:sz w:val="19"/>
          <w:szCs w:val="19"/>
          <w:color w:val="002060"/>
        </w:rPr>
        <w:t>This Agreement shall be governed in all respects by the laws of the State of Delaware, without regard to principles of</w:t>
      </w:r>
      <w:r>
        <w:rPr>
          <w:rFonts w:ascii="Times New Roman" w:cs="Times New Roman" w:eastAsia="Times New Roman" w:hAnsi="Times New Roman"/>
          <w:sz w:val="19"/>
          <w:szCs w:val="19"/>
          <w:b w:val="1"/>
          <w:bCs w:val="1"/>
          <w:color w:val="002060"/>
        </w:rPr>
        <w:t xml:space="preserve"> </w:t>
      </w:r>
      <w:r>
        <w:rPr>
          <w:rFonts w:ascii="Times New Roman" w:cs="Times New Roman" w:eastAsia="Times New Roman" w:hAnsi="Times New Roman"/>
          <w:sz w:val="19"/>
          <w:szCs w:val="19"/>
          <w:color w:val="002060"/>
        </w:rPr>
        <w:t>conflicts of law.</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640" w:type="dxa"/>
            <w:vAlign w:val="bottom"/>
          </w:tcPr>
          <w:p>
            <w:pPr>
              <w:spacing w:after="0"/>
              <w:rPr>
                <w:sz w:val="20"/>
                <w:szCs w:val="20"/>
                <w:color w:val="auto"/>
              </w:rPr>
            </w:pPr>
            <w:r>
              <w:rPr>
                <w:rFonts w:ascii="Times New Roman" w:cs="Times New Roman" w:eastAsia="Times New Roman" w:hAnsi="Times New Roman"/>
                <w:sz w:val="19"/>
                <w:szCs w:val="19"/>
                <w:b w:val="1"/>
                <w:bCs w:val="1"/>
                <w:color w:val="002060"/>
              </w:rPr>
              <w:t>IT IS SO AGREED</w:t>
            </w:r>
            <w:r>
              <w:rPr>
                <w:rFonts w:ascii="Times New Roman" w:cs="Times New Roman" w:eastAsia="Times New Roman" w:hAnsi="Times New Roman"/>
                <w:sz w:val="19"/>
                <w:szCs w:val="19"/>
                <w:color w:val="002060"/>
              </w:rPr>
              <w:t>.</w:t>
            </w:r>
          </w:p>
        </w:tc>
        <w:tc>
          <w:tcPr>
            <w:tcW w:w="8600" w:type="dxa"/>
            <w:vAlign w:val="bottom"/>
          </w:tcPr>
          <w:p>
            <w:pPr>
              <w:spacing w:after="0"/>
              <w:rPr>
                <w:sz w:val="21"/>
                <w:szCs w:val="21"/>
                <w:color w:val="auto"/>
              </w:rPr>
            </w:pPr>
          </w:p>
        </w:tc>
      </w:tr>
      <w:tr>
        <w:trPr>
          <w:trHeight w:val="378"/>
        </w:trPr>
        <w:tc>
          <w:tcPr>
            <w:tcW w:w="2640" w:type="dxa"/>
            <w:vAlign w:val="bottom"/>
          </w:tcPr>
          <w:p>
            <w:pPr>
              <w:spacing w:after="0"/>
              <w:rPr>
                <w:sz w:val="20"/>
                <w:szCs w:val="20"/>
                <w:color w:val="auto"/>
              </w:rPr>
            </w:pPr>
            <w:r>
              <w:rPr>
                <w:rFonts w:ascii="Times New Roman" w:cs="Times New Roman" w:eastAsia="Times New Roman" w:hAnsi="Times New Roman"/>
                <w:sz w:val="19"/>
                <w:szCs w:val="19"/>
                <w:color w:val="002060"/>
              </w:rPr>
              <w:t>DATED: ____________</w:t>
            </w:r>
          </w:p>
        </w:tc>
        <w:tc>
          <w:tcPr>
            <w:tcW w:w="8600" w:type="dxa"/>
            <w:vAlign w:val="bottom"/>
          </w:tcPr>
          <w:p>
            <w:pPr>
              <w:jc w:val="right"/>
              <w:ind w:right="5847"/>
              <w:spacing w:after="0"/>
              <w:rPr>
                <w:sz w:val="20"/>
                <w:szCs w:val="20"/>
                <w:color w:val="auto"/>
              </w:rPr>
            </w:pPr>
            <w:r>
              <w:rPr>
                <w:rFonts w:ascii="Times New Roman" w:cs="Times New Roman" w:eastAsia="Times New Roman" w:hAnsi="Times New Roman"/>
                <w:sz w:val="19"/>
                <w:szCs w:val="19"/>
                <w:color w:val="002060"/>
                <w:w w:val="99"/>
              </w:rPr>
              <w:t>____________________________</w:t>
            </w:r>
          </w:p>
        </w:tc>
      </w:tr>
      <w:tr>
        <w:trPr>
          <w:trHeight w:val="755"/>
        </w:trPr>
        <w:tc>
          <w:tcPr>
            <w:tcW w:w="2640" w:type="dxa"/>
            <w:vAlign w:val="bottom"/>
          </w:tcPr>
          <w:p>
            <w:pPr>
              <w:spacing w:after="0"/>
              <w:rPr>
                <w:sz w:val="20"/>
                <w:szCs w:val="20"/>
                <w:color w:val="auto"/>
              </w:rPr>
            </w:pPr>
            <w:r>
              <w:rPr>
                <w:rFonts w:ascii="Times New Roman" w:cs="Times New Roman" w:eastAsia="Times New Roman" w:hAnsi="Times New Roman"/>
                <w:sz w:val="19"/>
                <w:szCs w:val="19"/>
                <w:color w:val="002060"/>
                <w:w w:val="98"/>
              </w:rPr>
              <w:t>Petco Animal Supplies Stores, Inc.</w:t>
            </w:r>
          </w:p>
        </w:tc>
        <w:tc>
          <w:tcPr>
            <w:tcW w:w="8600" w:type="dxa"/>
            <w:vAlign w:val="bottom"/>
          </w:tcPr>
          <w:p>
            <w:pPr>
              <w:spacing w:after="0"/>
              <w:rPr>
                <w:sz w:val="24"/>
                <w:szCs w:val="24"/>
                <w:color w:val="auto"/>
              </w:rPr>
            </w:pPr>
          </w:p>
        </w:tc>
      </w:tr>
      <w:tr>
        <w:trPr>
          <w:trHeight w:val="378"/>
        </w:trPr>
        <w:tc>
          <w:tcPr>
            <w:tcW w:w="2640" w:type="dxa"/>
            <w:vAlign w:val="bottom"/>
          </w:tcPr>
          <w:p>
            <w:pPr>
              <w:spacing w:after="0"/>
              <w:rPr>
                <w:sz w:val="20"/>
                <w:szCs w:val="20"/>
                <w:color w:val="auto"/>
              </w:rPr>
            </w:pPr>
            <w:r>
              <w:rPr>
                <w:rFonts w:ascii="Times New Roman" w:cs="Times New Roman" w:eastAsia="Times New Roman" w:hAnsi="Times New Roman"/>
                <w:sz w:val="19"/>
                <w:szCs w:val="19"/>
                <w:color w:val="002060"/>
              </w:rPr>
              <w:t>DATED: ____________</w:t>
            </w:r>
          </w:p>
        </w:tc>
        <w:tc>
          <w:tcPr>
            <w:tcW w:w="8600" w:type="dxa"/>
            <w:vAlign w:val="bottom"/>
          </w:tcPr>
          <w:p>
            <w:pPr>
              <w:jc w:val="right"/>
              <w:ind w:right="5287"/>
              <w:spacing w:after="0"/>
              <w:rPr>
                <w:sz w:val="20"/>
                <w:szCs w:val="20"/>
                <w:color w:val="auto"/>
              </w:rPr>
            </w:pPr>
            <w:r>
              <w:rPr>
                <w:rFonts w:ascii="Times New Roman" w:cs="Times New Roman" w:eastAsia="Times New Roman" w:hAnsi="Times New Roman"/>
                <w:sz w:val="19"/>
                <w:szCs w:val="19"/>
                <w:color w:val="002060"/>
              </w:rPr>
              <w:t>____________________________</w:t>
            </w:r>
          </w:p>
        </w:tc>
      </w:tr>
      <w:tr>
        <w:trPr>
          <w:trHeight w:val="376"/>
        </w:trPr>
        <w:tc>
          <w:tcPr>
            <w:tcW w:w="2640" w:type="dxa"/>
            <w:vAlign w:val="bottom"/>
          </w:tcPr>
          <w:p>
            <w:pPr>
              <w:spacing w:after="0"/>
              <w:rPr>
                <w:sz w:val="24"/>
                <w:szCs w:val="24"/>
                <w:color w:val="auto"/>
              </w:rPr>
            </w:pPr>
          </w:p>
        </w:tc>
        <w:tc>
          <w:tcPr>
            <w:tcW w:w="8600" w:type="dxa"/>
            <w:vAlign w:val="bottom"/>
          </w:tcPr>
          <w:p>
            <w:pPr>
              <w:jc w:val="right"/>
              <w:ind w:right="5487"/>
              <w:spacing w:after="0"/>
              <w:rPr>
                <w:sz w:val="20"/>
                <w:szCs w:val="20"/>
                <w:color w:val="auto"/>
              </w:rPr>
            </w:pPr>
            <w:r>
              <w:rPr>
                <w:rFonts w:ascii="Times New Roman" w:cs="Times New Roman" w:eastAsia="Times New Roman" w:hAnsi="Times New Roman"/>
                <w:sz w:val="18"/>
                <w:szCs w:val="18"/>
                <w:color w:val="auto"/>
              </w:rPr>
              <w:t>2</w:t>
            </w:r>
          </w:p>
        </w:tc>
      </w:tr>
      <w:tr>
        <w:trPr>
          <w:trHeight w:val="937"/>
        </w:trPr>
        <w:tc>
          <w:tcPr>
            <w:tcW w:w="2640" w:type="dxa"/>
            <w:vAlign w:val="bottom"/>
            <w:tcBorders>
              <w:bottom w:val="single" w:sz="8" w:color="9A9A9A"/>
            </w:tcBorders>
          </w:tcPr>
          <w:p>
            <w:pPr>
              <w:spacing w:after="0"/>
              <w:rPr>
                <w:sz w:val="24"/>
                <w:szCs w:val="24"/>
                <w:color w:val="auto"/>
              </w:rPr>
            </w:pPr>
          </w:p>
        </w:tc>
        <w:tc>
          <w:tcPr>
            <w:tcW w:w="8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2" w:name="page33"/>
    <w:bookmarkEnd w:id="32"/>
    <w:p>
      <w:pPr>
        <w:ind w:left="6440"/>
        <w:spacing w:after="0"/>
        <w:tabs>
          <w:tab w:leader="none" w:pos="9440" w:val="left"/>
        </w:tabs>
        <w:rPr>
          <w:sz w:val="20"/>
          <w:szCs w:val="20"/>
          <w:color w:val="auto"/>
        </w:rPr>
      </w:pPr>
      <w:r>
        <w:rPr>
          <w:rFonts w:ascii="Times New Roman" w:cs="Times New Roman" w:eastAsia="Times New Roman" w:hAnsi="Times New Roman"/>
          <w:sz w:val="22"/>
          <w:szCs w:val="22"/>
          <w:b w:val="1"/>
          <w:bCs w:val="1"/>
          <w:color w:val="auto"/>
        </w:rPr>
        <w:t>2024 OFFICER FORM</w:t>
      </w:r>
      <w:r>
        <w:rPr>
          <w:sz w:val="20"/>
          <w:szCs w:val="20"/>
          <w:color w:val="auto"/>
        </w:rPr>
        <w:tab/>
      </w:r>
      <w:r>
        <w:rPr>
          <w:rFonts w:ascii="Times New Roman" w:cs="Times New Roman" w:eastAsia="Times New Roman" w:hAnsi="Times New Roman"/>
          <w:sz w:val="20"/>
          <w:szCs w:val="20"/>
          <w:b w:val="1"/>
          <w:bCs w:val="1"/>
          <w:color w:val="auto"/>
        </w:rPr>
        <w:t>EXHIBIT 10.2</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PETCO HEALTH AND WELLNESS COMPANY,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2021 EQUITY INCENTIVE PLAN</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GRANT NOTICE FOR</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STOCK UNIT AWARD</w:t>
      </w:r>
    </w:p>
    <w:p>
      <w:pPr>
        <w:spacing w:after="0" w:line="21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FOR GOOD AND VALUABLE CONSIDERATION, Petco Health and Wellness Company,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hereby grants to the Participant named below the target number of performance stock units (the “</w:t>
      </w:r>
      <w:r>
        <w:rPr>
          <w:rFonts w:ascii="Times New Roman" w:cs="Times New Roman" w:eastAsia="Times New Roman" w:hAnsi="Times New Roman"/>
          <w:sz w:val="22"/>
          <w:szCs w:val="22"/>
          <w:b w:val="1"/>
          <w:bCs w:val="1"/>
          <w:i w:val="1"/>
          <w:iCs w:val="1"/>
          <w:color w:val="auto"/>
        </w:rPr>
        <w:t>PSUs</w:t>
      </w:r>
      <w:r>
        <w:rPr>
          <w:rFonts w:ascii="Times New Roman" w:cs="Times New Roman" w:eastAsia="Times New Roman" w:hAnsi="Times New Roman"/>
          <w:sz w:val="22"/>
          <w:szCs w:val="22"/>
          <w:color w:val="auto"/>
        </w:rPr>
        <w:t>”) specified below (the “</w:t>
      </w:r>
      <w:r>
        <w:rPr>
          <w:rFonts w:ascii="Times New Roman" w:cs="Times New Roman" w:eastAsia="Times New Roman" w:hAnsi="Times New Roman"/>
          <w:sz w:val="22"/>
          <w:szCs w:val="22"/>
          <w:b w:val="1"/>
          <w:bCs w:val="1"/>
          <w:i w:val="1"/>
          <w:iCs w:val="1"/>
          <w:color w:val="auto"/>
        </w:rPr>
        <w:t>Award</w:t>
      </w:r>
      <w:r>
        <w:rPr>
          <w:rFonts w:ascii="Times New Roman" w:cs="Times New Roman" w:eastAsia="Times New Roman" w:hAnsi="Times New Roman"/>
          <w:sz w:val="22"/>
          <w:szCs w:val="22"/>
          <w:color w:val="auto"/>
        </w:rPr>
        <w:t>”) as performance-based Restricted Stock Units under the Petco Health and Wellness Company, Inc. 2021 Equity Incentive Plan (as amended from time to time,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xml:space="preserve">”). Each Earned PSU represents the right to receive one share of Common Stock, upon the terms and subject to the conditions set forth in this Grant Notice (including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the Plan and the Standard Terms and Conditions (the “</w:t>
      </w:r>
      <w:r>
        <w:rPr>
          <w:rFonts w:ascii="Times New Roman" w:cs="Times New Roman" w:eastAsia="Times New Roman" w:hAnsi="Times New Roman"/>
          <w:sz w:val="22"/>
          <w:szCs w:val="22"/>
          <w:b w:val="1"/>
          <w:bCs w:val="1"/>
          <w:i w:val="1"/>
          <w:iCs w:val="1"/>
          <w:color w:val="auto"/>
        </w:rPr>
        <w:t>Standard Terms and Conditions</w:t>
      </w:r>
      <w:r>
        <w:rPr>
          <w:rFonts w:ascii="Times New Roman" w:cs="Times New Roman" w:eastAsia="Times New Roman" w:hAnsi="Times New Roman"/>
          <w:sz w:val="22"/>
          <w:szCs w:val="22"/>
          <w:color w:val="auto"/>
        </w:rPr>
        <w:t xml:space="preserve">”) promulgated under such Plan and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the Confidentiality and Inventions Agreement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This Award is granted pursuant to the Plan and is subject to and qualified in its entirety by the Standard Terms and Conditions. Capitalized terms not otherwise defined herein shall have the meanings set forth in the Plan.</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393"/>
        </w:trPr>
        <w:tc>
          <w:tcPr>
            <w:tcW w:w="26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 of Participant:</w:t>
            </w:r>
          </w:p>
        </w:tc>
        <w:tc>
          <w:tcPr>
            <w:tcW w:w="36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920" w:type="dxa"/>
            <w:vAlign w:val="bottom"/>
            <w:tcBorders>
              <w:top w:val="single" w:sz="8" w:color="auto"/>
              <w:right w:val="single" w:sz="8" w:color="auto"/>
            </w:tcBorders>
          </w:tcPr>
          <w:p>
            <w:pPr>
              <w:spacing w:after="0"/>
              <w:rPr>
                <w:sz w:val="24"/>
                <w:szCs w:val="24"/>
                <w:color w:val="auto"/>
              </w:rPr>
            </w:pPr>
          </w:p>
        </w:tc>
      </w:tr>
      <w:tr>
        <w:trPr>
          <w:trHeight w:val="106"/>
        </w:trPr>
        <w:tc>
          <w:tcPr>
            <w:tcW w:w="2660" w:type="dxa"/>
            <w:vAlign w:val="bottom"/>
            <w:tcBorders>
              <w:left w:val="single" w:sz="8" w:color="auto"/>
              <w:bottom w:val="single" w:sz="8" w:color="auto"/>
              <w:right w:val="single" w:sz="8" w:color="auto"/>
            </w:tcBorders>
          </w:tcPr>
          <w:p>
            <w:pPr>
              <w:spacing w:after="0"/>
              <w:rPr>
                <w:sz w:val="9"/>
                <w:szCs w:val="9"/>
                <w:color w:val="auto"/>
              </w:rPr>
            </w:pPr>
          </w:p>
        </w:tc>
        <w:tc>
          <w:tcPr>
            <w:tcW w:w="36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920" w:type="dxa"/>
            <w:vAlign w:val="bottom"/>
            <w:tcBorders>
              <w:bottom w:val="single" w:sz="8" w:color="auto"/>
              <w:right w:val="single" w:sz="8" w:color="auto"/>
            </w:tcBorders>
          </w:tcPr>
          <w:p>
            <w:pPr>
              <w:spacing w:after="0"/>
              <w:rPr>
                <w:sz w:val="9"/>
                <w:szCs w:val="9"/>
                <w:color w:val="auto"/>
              </w:rPr>
            </w:pPr>
          </w:p>
        </w:tc>
      </w:tr>
      <w:tr>
        <w:trPr>
          <w:trHeight w:val="373"/>
        </w:trPr>
        <w:tc>
          <w:tcPr>
            <w:tcW w:w="26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Grant Date:</w:t>
            </w:r>
          </w:p>
        </w:tc>
        <w:tc>
          <w:tcPr>
            <w:tcW w:w="3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20" w:type="dxa"/>
            <w:vAlign w:val="bottom"/>
            <w:tcBorders>
              <w:right w:val="single" w:sz="8" w:color="auto"/>
            </w:tcBorders>
          </w:tcPr>
          <w:p>
            <w:pPr>
              <w:spacing w:after="0"/>
              <w:rPr>
                <w:sz w:val="24"/>
                <w:szCs w:val="24"/>
                <w:color w:val="auto"/>
              </w:rPr>
            </w:pPr>
          </w:p>
        </w:tc>
      </w:tr>
      <w:tr>
        <w:trPr>
          <w:trHeight w:val="109"/>
        </w:trPr>
        <w:tc>
          <w:tcPr>
            <w:tcW w:w="2660" w:type="dxa"/>
            <w:vAlign w:val="bottom"/>
            <w:tcBorders>
              <w:left w:val="single" w:sz="8" w:color="auto"/>
              <w:bottom w:val="single" w:sz="8" w:color="auto"/>
              <w:right w:val="single" w:sz="8" w:color="auto"/>
            </w:tcBorders>
          </w:tcPr>
          <w:p>
            <w:pPr>
              <w:spacing w:after="0"/>
              <w:rPr>
                <w:sz w:val="9"/>
                <w:szCs w:val="9"/>
                <w:color w:val="auto"/>
              </w:rPr>
            </w:pPr>
          </w:p>
        </w:tc>
        <w:tc>
          <w:tcPr>
            <w:tcW w:w="36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920" w:type="dxa"/>
            <w:vAlign w:val="bottom"/>
            <w:tcBorders>
              <w:bottom w:val="single" w:sz="8" w:color="auto"/>
              <w:right w:val="single" w:sz="8" w:color="auto"/>
            </w:tcBorders>
          </w:tcPr>
          <w:p>
            <w:pPr>
              <w:spacing w:after="0"/>
              <w:rPr>
                <w:sz w:val="9"/>
                <w:szCs w:val="9"/>
                <w:color w:val="auto"/>
              </w:rPr>
            </w:pPr>
          </w:p>
        </w:tc>
      </w:tr>
      <w:tr>
        <w:trPr>
          <w:trHeight w:val="370"/>
        </w:trPr>
        <w:tc>
          <w:tcPr>
            <w:tcW w:w="26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Target Number of PSUs:</w:t>
            </w:r>
          </w:p>
        </w:tc>
        <w:tc>
          <w:tcPr>
            <w:tcW w:w="858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b w:val="1"/>
                <w:bCs w:val="1"/>
                <w:i w:val="1"/>
                <w:iCs w:val="1"/>
                <w:color w:val="auto"/>
              </w:rPr>
              <w:t>Target PSUs</w:t>
            </w:r>
            <w:r>
              <w:rPr>
                <w:rFonts w:ascii="Times New Roman" w:cs="Times New Roman" w:eastAsia="Times New Roman" w:hAnsi="Times New Roman"/>
                <w:sz w:val="22"/>
                <w:szCs w:val="22"/>
                <w:color w:val="auto"/>
              </w:rPr>
              <w:t>”)</w:t>
            </w:r>
          </w:p>
        </w:tc>
      </w:tr>
      <w:tr>
        <w:trPr>
          <w:trHeight w:val="109"/>
        </w:trPr>
        <w:tc>
          <w:tcPr>
            <w:tcW w:w="2660" w:type="dxa"/>
            <w:vAlign w:val="bottom"/>
            <w:tcBorders>
              <w:left w:val="single" w:sz="8" w:color="auto"/>
              <w:bottom w:val="single" w:sz="8" w:color="auto"/>
              <w:right w:val="single" w:sz="8" w:color="auto"/>
            </w:tcBorders>
          </w:tcPr>
          <w:p>
            <w:pPr>
              <w:spacing w:after="0"/>
              <w:rPr>
                <w:sz w:val="9"/>
                <w:szCs w:val="9"/>
                <w:color w:val="auto"/>
              </w:rPr>
            </w:pPr>
          </w:p>
        </w:tc>
        <w:tc>
          <w:tcPr>
            <w:tcW w:w="36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920" w:type="dxa"/>
            <w:vAlign w:val="bottom"/>
            <w:tcBorders>
              <w:bottom w:val="single" w:sz="8" w:color="auto"/>
              <w:right w:val="single" w:sz="8" w:color="auto"/>
            </w:tcBorders>
          </w:tcPr>
          <w:p>
            <w:pPr>
              <w:spacing w:after="0"/>
              <w:rPr>
                <w:sz w:val="9"/>
                <w:szCs w:val="9"/>
                <w:color w:val="auto"/>
              </w:rPr>
            </w:pPr>
          </w:p>
        </w:tc>
      </w:tr>
      <w:tr>
        <w:trPr>
          <w:trHeight w:val="330"/>
        </w:trPr>
        <w:tc>
          <w:tcPr>
            <w:tcW w:w="26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Award Type:</w:t>
            </w:r>
          </w:p>
        </w:tc>
        <w:tc>
          <w:tcPr>
            <w:tcW w:w="858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22"/>
                <w:szCs w:val="22"/>
                <w:color w:val="auto"/>
                <w:w w:val="99"/>
              </w:rPr>
              <w:t>The Award represents the right to receive shares of Common Stock in an amount from [●] to [●]</w:t>
            </w:r>
          </w:p>
        </w:tc>
      </w:tr>
      <w:tr>
        <w:trPr>
          <w:trHeight w:val="243"/>
        </w:trPr>
        <w:tc>
          <w:tcPr>
            <w:tcW w:w="2660" w:type="dxa"/>
            <w:vAlign w:val="bottom"/>
            <w:tcBorders>
              <w:left w:val="single" w:sz="8" w:color="auto"/>
              <w:right w:val="single" w:sz="8" w:color="auto"/>
            </w:tcBorders>
          </w:tcPr>
          <w:p>
            <w:pPr>
              <w:spacing w:after="0"/>
              <w:rPr>
                <w:sz w:val="21"/>
                <w:szCs w:val="21"/>
                <w:color w:val="auto"/>
              </w:rPr>
            </w:pPr>
          </w:p>
        </w:tc>
        <w:tc>
          <w:tcPr>
            <w:tcW w:w="8580" w:type="dxa"/>
            <w:vAlign w:val="bottom"/>
            <w:tcBorders>
              <w:right w:val="single" w:sz="8" w:color="auto"/>
            </w:tcBorders>
            <w:gridSpan w:val="5"/>
          </w:tcPr>
          <w:p>
            <w:pPr>
              <w:ind w:left="100"/>
              <w:spacing w:after="0" w:line="243" w:lineRule="exact"/>
              <w:rPr>
                <w:sz w:val="20"/>
                <w:szCs w:val="20"/>
                <w:color w:val="auto"/>
              </w:rPr>
            </w:pPr>
            <w:r>
              <w:rPr>
                <w:rFonts w:ascii="Times New Roman" w:cs="Times New Roman" w:eastAsia="Times New Roman" w:hAnsi="Times New Roman"/>
                <w:sz w:val="22"/>
                <w:szCs w:val="22"/>
                <w:color w:val="auto"/>
              </w:rPr>
              <w:t>of the Target PSUs. The Award shall vest and become earned and nonforfeitable upon (i) the</w:t>
            </w:r>
          </w:p>
        </w:tc>
      </w:tr>
      <w:tr>
        <w:trPr>
          <w:trHeight w:val="243"/>
        </w:trPr>
        <w:tc>
          <w:tcPr>
            <w:tcW w:w="2660" w:type="dxa"/>
            <w:vAlign w:val="bottom"/>
            <w:tcBorders>
              <w:left w:val="single" w:sz="8" w:color="auto"/>
              <w:right w:val="single" w:sz="8" w:color="auto"/>
            </w:tcBorders>
          </w:tcPr>
          <w:p>
            <w:pPr>
              <w:spacing w:after="0"/>
              <w:rPr>
                <w:sz w:val="21"/>
                <w:szCs w:val="21"/>
                <w:color w:val="auto"/>
              </w:rPr>
            </w:pPr>
          </w:p>
        </w:tc>
        <w:tc>
          <w:tcPr>
            <w:tcW w:w="8580" w:type="dxa"/>
            <w:vAlign w:val="bottom"/>
            <w:tcBorders>
              <w:right w:val="single" w:sz="8" w:color="auto"/>
            </w:tcBorders>
            <w:gridSpan w:val="5"/>
          </w:tcPr>
          <w:p>
            <w:pPr>
              <w:ind w:left="100"/>
              <w:spacing w:after="0" w:line="243" w:lineRule="exact"/>
              <w:rPr>
                <w:sz w:val="20"/>
                <w:szCs w:val="20"/>
                <w:color w:val="auto"/>
              </w:rPr>
            </w:pPr>
            <w:r>
              <w:rPr>
                <w:rFonts w:ascii="Times New Roman" w:cs="Times New Roman" w:eastAsia="Times New Roman" w:hAnsi="Times New Roman"/>
                <w:sz w:val="22"/>
                <w:szCs w:val="22"/>
                <w:color w:val="auto"/>
                <w:w w:val="98"/>
              </w:rPr>
              <w:t>Participant’s satisfaction of the Service Requirement (as defined below) and (ii) the Committee’s</w:t>
            </w:r>
          </w:p>
        </w:tc>
      </w:tr>
      <w:tr>
        <w:trPr>
          <w:trHeight w:val="243"/>
        </w:trPr>
        <w:tc>
          <w:tcPr>
            <w:tcW w:w="2660" w:type="dxa"/>
            <w:vAlign w:val="bottom"/>
            <w:tcBorders>
              <w:left w:val="single" w:sz="8" w:color="auto"/>
              <w:right w:val="single" w:sz="8" w:color="auto"/>
            </w:tcBorders>
          </w:tcPr>
          <w:p>
            <w:pPr>
              <w:spacing w:after="0"/>
              <w:rPr>
                <w:sz w:val="21"/>
                <w:szCs w:val="21"/>
                <w:color w:val="auto"/>
              </w:rPr>
            </w:pPr>
          </w:p>
        </w:tc>
        <w:tc>
          <w:tcPr>
            <w:tcW w:w="8580" w:type="dxa"/>
            <w:vAlign w:val="bottom"/>
            <w:tcBorders>
              <w:right w:val="single" w:sz="8" w:color="auto"/>
            </w:tcBorders>
            <w:gridSpan w:val="5"/>
          </w:tcPr>
          <w:p>
            <w:pPr>
              <w:ind w:left="100"/>
              <w:spacing w:after="0" w:line="243" w:lineRule="exact"/>
              <w:rPr>
                <w:sz w:val="20"/>
                <w:szCs w:val="20"/>
                <w:color w:val="auto"/>
              </w:rPr>
            </w:pPr>
            <w:r>
              <w:rPr>
                <w:rFonts w:ascii="Times New Roman" w:cs="Times New Roman" w:eastAsia="Times New Roman" w:hAnsi="Times New Roman"/>
                <w:sz w:val="22"/>
                <w:szCs w:val="22"/>
                <w:color w:val="auto"/>
                <w:w w:val="99"/>
              </w:rPr>
              <w:t>certification of the final level of achievement of the Performance Goal (as defined below). PSUs</w:t>
            </w:r>
          </w:p>
        </w:tc>
      </w:tr>
      <w:tr>
        <w:trPr>
          <w:trHeight w:val="237"/>
        </w:trPr>
        <w:tc>
          <w:tcPr>
            <w:tcW w:w="2660" w:type="dxa"/>
            <w:vAlign w:val="bottom"/>
            <w:tcBorders>
              <w:left w:val="single" w:sz="8" w:color="auto"/>
              <w:right w:val="single" w:sz="8" w:color="auto"/>
            </w:tcBorders>
          </w:tcPr>
          <w:p>
            <w:pPr>
              <w:spacing w:after="0"/>
              <w:rPr>
                <w:sz w:val="20"/>
                <w:szCs w:val="20"/>
                <w:color w:val="auto"/>
              </w:rPr>
            </w:pPr>
          </w:p>
        </w:tc>
        <w:tc>
          <w:tcPr>
            <w:tcW w:w="8580" w:type="dxa"/>
            <w:vAlign w:val="bottom"/>
            <w:tcBorders>
              <w:right w:val="single" w:sz="8" w:color="auto"/>
            </w:tcBorders>
            <w:gridSpan w:val="5"/>
          </w:tcPr>
          <w:p>
            <w:pPr>
              <w:ind w:left="100"/>
              <w:spacing w:after="0" w:line="237" w:lineRule="exact"/>
              <w:rPr>
                <w:sz w:val="20"/>
                <w:szCs w:val="20"/>
                <w:color w:val="auto"/>
              </w:rPr>
            </w:pPr>
            <w:r>
              <w:rPr>
                <w:rFonts w:ascii="Times New Roman" w:cs="Times New Roman" w:eastAsia="Times New Roman" w:hAnsi="Times New Roman"/>
                <w:sz w:val="22"/>
                <w:szCs w:val="22"/>
                <w:color w:val="auto"/>
              </w:rPr>
              <w:t>that become earned upon satisfaction of the Service Requirement and the Performance Goal are</w:t>
            </w:r>
          </w:p>
        </w:tc>
      </w:tr>
      <w:tr>
        <w:trPr>
          <w:trHeight w:val="288"/>
        </w:trPr>
        <w:tc>
          <w:tcPr>
            <w:tcW w:w="2660" w:type="dxa"/>
            <w:vAlign w:val="bottom"/>
            <w:tcBorders>
              <w:left w:val="single" w:sz="8" w:color="auto"/>
              <w:right w:val="single" w:sz="8" w:color="auto"/>
            </w:tcBorders>
          </w:tcPr>
          <w:p>
            <w:pPr>
              <w:spacing w:after="0"/>
              <w:rPr>
                <w:sz w:val="24"/>
                <w:szCs w:val="24"/>
                <w:color w:val="auto"/>
              </w:rPr>
            </w:pPr>
          </w:p>
        </w:tc>
        <w:tc>
          <w:tcPr>
            <w:tcW w:w="858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22"/>
                <w:szCs w:val="22"/>
                <w:color w:val="auto"/>
              </w:rPr>
              <w:t>referred to herein as “</w:t>
            </w:r>
            <w:r>
              <w:rPr>
                <w:rFonts w:ascii="Times New Roman" w:cs="Times New Roman" w:eastAsia="Times New Roman" w:hAnsi="Times New Roman"/>
                <w:sz w:val="22"/>
                <w:szCs w:val="22"/>
                <w:b w:val="1"/>
                <w:bCs w:val="1"/>
                <w:i w:val="1"/>
                <w:iCs w:val="1"/>
                <w:color w:val="auto"/>
              </w:rPr>
              <w:t>Earned PSUs</w:t>
            </w:r>
            <w:r>
              <w:rPr>
                <w:rFonts w:ascii="Times New Roman" w:cs="Times New Roman" w:eastAsia="Times New Roman" w:hAnsi="Times New Roman"/>
                <w:sz w:val="22"/>
                <w:szCs w:val="22"/>
                <w:color w:val="auto"/>
              </w:rPr>
              <w:t>.”</w:t>
            </w:r>
          </w:p>
        </w:tc>
      </w:tr>
      <w:tr>
        <w:trPr>
          <w:trHeight w:val="109"/>
        </w:trPr>
        <w:tc>
          <w:tcPr>
            <w:tcW w:w="2660" w:type="dxa"/>
            <w:vAlign w:val="bottom"/>
            <w:tcBorders>
              <w:left w:val="single" w:sz="8" w:color="auto"/>
              <w:bottom w:val="single" w:sz="8" w:color="auto"/>
              <w:right w:val="single" w:sz="8" w:color="auto"/>
            </w:tcBorders>
          </w:tcPr>
          <w:p>
            <w:pPr>
              <w:spacing w:after="0"/>
              <w:rPr>
                <w:sz w:val="9"/>
                <w:szCs w:val="9"/>
                <w:color w:val="auto"/>
              </w:rPr>
            </w:pPr>
          </w:p>
        </w:tc>
        <w:tc>
          <w:tcPr>
            <w:tcW w:w="36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920" w:type="dxa"/>
            <w:vAlign w:val="bottom"/>
            <w:tcBorders>
              <w:bottom w:val="single" w:sz="8" w:color="auto"/>
              <w:right w:val="single" w:sz="8" w:color="auto"/>
            </w:tcBorders>
          </w:tcPr>
          <w:p>
            <w:pPr>
              <w:spacing w:after="0"/>
              <w:rPr>
                <w:sz w:val="9"/>
                <w:szCs w:val="9"/>
                <w:color w:val="auto"/>
              </w:rPr>
            </w:pPr>
          </w:p>
        </w:tc>
      </w:tr>
      <w:tr>
        <w:trPr>
          <w:trHeight w:val="370"/>
        </w:trPr>
        <w:tc>
          <w:tcPr>
            <w:tcW w:w="26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Performance Period:</w:t>
            </w:r>
          </w:p>
        </w:tc>
        <w:tc>
          <w:tcPr>
            <w:tcW w:w="3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20" w:type="dxa"/>
            <w:vAlign w:val="bottom"/>
            <w:tcBorders>
              <w:right w:val="single" w:sz="8" w:color="auto"/>
            </w:tcBorders>
          </w:tcPr>
          <w:p>
            <w:pPr>
              <w:spacing w:after="0"/>
              <w:rPr>
                <w:sz w:val="24"/>
                <w:szCs w:val="24"/>
                <w:color w:val="auto"/>
              </w:rPr>
            </w:pPr>
          </w:p>
        </w:tc>
      </w:tr>
      <w:tr>
        <w:trPr>
          <w:trHeight w:val="109"/>
        </w:trPr>
        <w:tc>
          <w:tcPr>
            <w:tcW w:w="2660" w:type="dxa"/>
            <w:vAlign w:val="bottom"/>
            <w:tcBorders>
              <w:left w:val="single" w:sz="8" w:color="auto"/>
              <w:bottom w:val="single" w:sz="8" w:color="auto"/>
              <w:right w:val="single" w:sz="8" w:color="auto"/>
            </w:tcBorders>
          </w:tcPr>
          <w:p>
            <w:pPr>
              <w:spacing w:after="0"/>
              <w:rPr>
                <w:sz w:val="9"/>
                <w:szCs w:val="9"/>
                <w:color w:val="auto"/>
              </w:rPr>
            </w:pPr>
          </w:p>
        </w:tc>
        <w:tc>
          <w:tcPr>
            <w:tcW w:w="36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920" w:type="dxa"/>
            <w:vAlign w:val="bottom"/>
            <w:tcBorders>
              <w:bottom w:val="single" w:sz="8" w:color="auto"/>
              <w:right w:val="single" w:sz="8" w:color="auto"/>
            </w:tcBorders>
          </w:tcPr>
          <w:p>
            <w:pPr>
              <w:spacing w:after="0"/>
              <w:rPr>
                <w:sz w:val="9"/>
                <w:szCs w:val="9"/>
                <w:color w:val="auto"/>
              </w:rPr>
            </w:pPr>
          </w:p>
        </w:tc>
      </w:tr>
      <w:tr>
        <w:trPr>
          <w:trHeight w:val="317"/>
        </w:trPr>
        <w:tc>
          <w:tcPr>
            <w:tcW w:w="26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Service Requirement:</w:t>
            </w:r>
          </w:p>
        </w:tc>
        <w:tc>
          <w:tcPr>
            <w:tcW w:w="858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i w:val="1"/>
                <w:iCs w:val="1"/>
                <w:color w:val="auto"/>
              </w:rPr>
              <w:t>Service Requirement</w:t>
            </w:r>
            <w:r>
              <w:rPr>
                <w:rFonts w:ascii="Times New Roman" w:cs="Times New Roman" w:eastAsia="Times New Roman" w:hAnsi="Times New Roman"/>
                <w:sz w:val="22"/>
                <w:szCs w:val="22"/>
                <w:color w:val="auto"/>
              </w:rPr>
              <w:t>” is set forth on Exhibit C attached hereto.</w:t>
            </w:r>
          </w:p>
        </w:tc>
      </w:tr>
      <w:tr>
        <w:trPr>
          <w:trHeight w:val="142"/>
        </w:trPr>
        <w:tc>
          <w:tcPr>
            <w:tcW w:w="2660" w:type="dxa"/>
            <w:vAlign w:val="bottom"/>
            <w:tcBorders>
              <w:left w:val="single" w:sz="8" w:color="auto"/>
              <w:bottom w:val="single" w:sz="8" w:color="auto"/>
              <w:right w:val="single" w:sz="8" w:color="auto"/>
            </w:tcBorders>
          </w:tcPr>
          <w:p>
            <w:pPr>
              <w:spacing w:after="0"/>
              <w:rPr>
                <w:sz w:val="12"/>
                <w:szCs w:val="12"/>
                <w:color w:val="auto"/>
              </w:rPr>
            </w:pPr>
          </w:p>
        </w:tc>
        <w:tc>
          <w:tcPr>
            <w:tcW w:w="36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3920" w:type="dxa"/>
            <w:vAlign w:val="bottom"/>
            <w:tcBorders>
              <w:bottom w:val="single" w:sz="8" w:color="auto"/>
              <w:right w:val="single" w:sz="8" w:color="auto"/>
            </w:tcBorders>
          </w:tcPr>
          <w:p>
            <w:pPr>
              <w:spacing w:after="0"/>
              <w:rPr>
                <w:sz w:val="12"/>
                <w:szCs w:val="12"/>
                <w:color w:val="auto"/>
              </w:rPr>
            </w:pPr>
          </w:p>
        </w:tc>
      </w:tr>
      <w:tr>
        <w:trPr>
          <w:trHeight w:val="317"/>
        </w:trPr>
        <w:tc>
          <w:tcPr>
            <w:tcW w:w="26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Performance Goal:</w:t>
            </w:r>
          </w:p>
        </w:tc>
        <w:tc>
          <w:tcPr>
            <w:tcW w:w="858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i w:val="1"/>
                <w:iCs w:val="1"/>
                <w:color w:val="auto"/>
              </w:rPr>
              <w:t>Performance Goal</w:t>
            </w:r>
            <w:r>
              <w:rPr>
                <w:rFonts w:ascii="Times New Roman" w:cs="Times New Roman" w:eastAsia="Times New Roman" w:hAnsi="Times New Roman"/>
                <w:sz w:val="22"/>
                <w:szCs w:val="22"/>
                <w:color w:val="auto"/>
              </w:rPr>
              <w:t>” is set forth on Exhibit C attached hereto.</w:t>
            </w:r>
          </w:p>
        </w:tc>
      </w:tr>
      <w:tr>
        <w:trPr>
          <w:trHeight w:val="142"/>
        </w:trPr>
        <w:tc>
          <w:tcPr>
            <w:tcW w:w="2660" w:type="dxa"/>
            <w:vAlign w:val="bottom"/>
            <w:tcBorders>
              <w:left w:val="single" w:sz="8" w:color="auto"/>
              <w:bottom w:val="single" w:sz="8" w:color="auto"/>
              <w:right w:val="single" w:sz="8" w:color="auto"/>
            </w:tcBorders>
          </w:tcPr>
          <w:p>
            <w:pPr>
              <w:spacing w:after="0"/>
              <w:rPr>
                <w:sz w:val="12"/>
                <w:szCs w:val="12"/>
                <w:color w:val="auto"/>
              </w:rPr>
            </w:pPr>
          </w:p>
        </w:tc>
        <w:tc>
          <w:tcPr>
            <w:tcW w:w="3620" w:type="dxa"/>
            <w:vAlign w:val="bottom"/>
            <w:tcBorders>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920" w:type="dxa"/>
            <w:vAlign w:val="bottom"/>
            <w:tcBorders>
              <w:bottom w:val="single" w:sz="8" w:color="auto"/>
              <w:right w:val="single" w:sz="8" w:color="auto"/>
            </w:tcBorders>
          </w:tcPr>
          <w:p>
            <w:pPr>
              <w:spacing w:after="0"/>
              <w:rPr>
                <w:sz w:val="12"/>
                <w:szCs w:val="12"/>
                <w:color w:val="auto"/>
              </w:rPr>
            </w:pPr>
          </w:p>
        </w:tc>
      </w:tr>
      <w:tr>
        <w:trPr>
          <w:trHeight w:val="1619"/>
        </w:trPr>
        <w:tc>
          <w:tcPr>
            <w:tcW w:w="266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sectPr>
      </w:pPr>
    </w:p>
    <w:bookmarkStart w:id="33" w:name="page34"/>
    <w:bookmarkEnd w:id="33"/>
    <w:p>
      <w:pPr>
        <w:spacing w:after="0" w:line="1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0"/>
          <w:szCs w:val="20"/>
          <w:color w:val="auto"/>
        </w:rPr>
        <w:t>IN ORDER TO RECEIVE THE BENEFITS OF THIS AGREEMENT, PARTICIPANT MUST EXECUTE AND RETURN THIS GRANT NOTICE (THE “</w:t>
      </w:r>
      <w:r>
        <w:rPr>
          <w:rFonts w:ascii="Times New Roman" w:cs="Times New Roman" w:eastAsia="Times New Roman" w:hAnsi="Times New Roman"/>
          <w:sz w:val="20"/>
          <w:szCs w:val="20"/>
          <w:b w:val="1"/>
          <w:bCs w:val="1"/>
          <w:i w:val="1"/>
          <w:iCs w:val="1"/>
          <w:color w:val="auto"/>
        </w:rPr>
        <w:t>ACCEPTANCE REQUIREMENTS</w:t>
      </w:r>
      <w:r>
        <w:rPr>
          <w:rFonts w:ascii="Times New Roman" w:cs="Times New Roman" w:eastAsia="Times New Roman" w:hAnsi="Times New Roman"/>
          <w:sz w:val="20"/>
          <w:szCs w:val="20"/>
          <w:color w:val="auto"/>
        </w:rPr>
        <w:t>”). IF PARTICIPANT FAILS TO SATISFY THE ACCEPTANCE REQUIREMENTS WITHIN 60 DAYS AFTER THE GRANT DATE, THEN (1) THIS GRANT NOTICE WILL BE OF NO FORCE OR EFFECT AND THIS AWARD WILL BE AUTOMATICALLY FORFEITED TO THE COMPANY WITHOUT CONSIDERATION, AND (2) NEITHER PARTICIPANT NOR THE COMPANY WILL HAVE ANY FUTURE RIGHTS OR OBLIGATIONS UNDER THIS GRANT NOTICE OR THE STANDARD TERMS AND CONDITIONS.</w:t>
      </w:r>
    </w:p>
    <w:p>
      <w:pPr>
        <w:spacing w:after="0" w:line="6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By accepting this Grant Notice, Participant acknowledges that Participant has received and read, and agrees that this Award shall be subject to, the terms of this Grant Notice (including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the Plan, and the Standard Terms and Conditions and the Confidentiality and Inventions Agreement.</w:t>
      </w:r>
    </w:p>
    <w:p>
      <w:pPr>
        <w:spacing w:after="0" w:line="200" w:lineRule="exact"/>
        <w:rPr>
          <w:sz w:val="20"/>
          <w:szCs w:val="20"/>
          <w:color w:val="auto"/>
        </w:rPr>
      </w:pPr>
    </w:p>
    <w:p>
      <w:pPr>
        <w:spacing w:after="0" w:line="23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auto"/>
        </w:rPr>
        <w:t>PETCO HEALTH AND WELLNESS COMPANY, INC.</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3293745</wp:posOffset>
            </wp:positionH>
            <wp:positionV relativeFrom="paragraph">
              <wp:posOffset>-13970</wp:posOffset>
            </wp:positionV>
            <wp:extent cx="172021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1720215" cy="8255"/>
                    </a:xfrm>
                    <a:prstGeom prst="rect">
                      <a:avLst/>
                    </a:prstGeom>
                    <a:noFill/>
                  </pic:spPr>
                </pic:pic>
              </a:graphicData>
            </a:graphic>
          </wp:anchor>
        </w:drawing>
      </w:r>
    </w:p>
    <w:p>
      <w:pPr>
        <w:ind w:left="4880"/>
        <w:spacing w:after="0"/>
        <w:rPr>
          <w:sz w:val="20"/>
          <w:szCs w:val="20"/>
          <w:color w:val="auto"/>
        </w:rPr>
      </w:pPr>
      <w:r>
        <w:rPr>
          <w:rFonts w:ascii="Times New Roman" w:cs="Times New Roman" w:eastAsia="Times New Roman" w:hAnsi="Times New Roman"/>
          <w:sz w:val="22"/>
          <w:szCs w:val="22"/>
          <w:color w:val="auto"/>
        </w:rPr>
        <w:t>Name:</w:t>
      </w:r>
    </w:p>
    <w:p>
      <w:pPr>
        <w:ind w:left="4880"/>
        <w:spacing w:after="0"/>
        <w:rPr>
          <w:sz w:val="20"/>
          <w:szCs w:val="20"/>
          <w:color w:val="auto"/>
        </w:rPr>
      </w:pPr>
      <w:r>
        <w:rPr>
          <w:rFonts w:ascii="Times New Roman" w:cs="Times New Roman" w:eastAsia="Times New Roman" w:hAnsi="Times New Roman"/>
          <w:sz w:val="22"/>
          <w:szCs w:val="22"/>
          <w:color w:val="auto"/>
        </w:rPr>
        <w:t>Title:</w:t>
      </w: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604520</wp:posOffset>
            </wp:positionV>
            <wp:extent cx="191770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19177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[Name]</w:t>
      </w:r>
    </w:p>
    <w:p>
      <w:pPr>
        <w:spacing w:after="0" w:line="20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age to</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G</w:t>
      </w:r>
      <w:r>
        <w:rPr>
          <w:rFonts w:ascii="Times New Roman" w:cs="Times New Roman" w:eastAsia="Times New Roman" w:hAnsi="Times New Roman"/>
          <w:sz w:val="14"/>
          <w:szCs w:val="14"/>
          <w:color w:val="auto"/>
        </w:rPr>
        <w:t>rant</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4"/>
          <w:szCs w:val="14"/>
          <w:color w:val="auto"/>
        </w:rPr>
        <w:t>otice for</w:t>
      </w:r>
    </w:p>
    <w:p>
      <w:pPr>
        <w:jc w:val="center"/>
        <w:spacing w:after="0"/>
        <w:rPr>
          <w:sz w:val="20"/>
          <w:szCs w:val="20"/>
          <w:color w:val="auto"/>
        </w:rPr>
      </w:pPr>
      <w:r>
        <w:rPr>
          <w:rFonts w:ascii="Times New Roman" w:cs="Times New Roman" w:eastAsia="Times New Roman" w:hAnsi="Times New Roman"/>
          <w:sz w:val="22"/>
          <w:szCs w:val="22"/>
          <w:color w:val="auto"/>
        </w:rPr>
        <w:t>P</w:t>
      </w:r>
      <w:r>
        <w:rPr>
          <w:rFonts w:ascii="Times New Roman" w:cs="Times New Roman" w:eastAsia="Times New Roman" w:hAnsi="Times New Roman"/>
          <w:sz w:val="14"/>
          <w:szCs w:val="14"/>
          <w:color w:val="auto"/>
        </w:rPr>
        <w:t>erformance</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4"/>
          <w:szCs w:val="14"/>
          <w:color w:val="auto"/>
        </w:rPr>
        <w:t>tock</w:t>
      </w:r>
      <w:r>
        <w:rPr>
          <w:rFonts w:ascii="Times New Roman" w:cs="Times New Roman" w:eastAsia="Times New Roman" w:hAnsi="Times New Roman"/>
          <w:sz w:val="22"/>
          <w:szCs w:val="22"/>
          <w:color w:val="auto"/>
        </w:rPr>
        <w:t xml:space="preserve"> U</w:t>
      </w:r>
      <w:r>
        <w:rPr>
          <w:rFonts w:ascii="Times New Roman" w:cs="Times New Roman" w:eastAsia="Times New Roman" w:hAnsi="Times New Roman"/>
          <w:sz w:val="14"/>
          <w:szCs w:val="14"/>
          <w:color w:val="auto"/>
        </w:rPr>
        <w:t>nit</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462280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PETCO HEALTH AND WELLNESS COMPANY,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2021 EQUITY INCENTIVE PLAN</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STANDARD TERMS AND CONDITIONS FOR</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STOCK UNITS</w:t>
      </w:r>
    </w:p>
    <w:p>
      <w:pPr>
        <w:spacing w:after="0" w:line="2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These Standard Terms and Conditions apply to the Award of performance stock units granted pursuant to the Petco Health and Wellness Company, Inc. 2021 Equity Incentive Plan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which are evidenced by a Grant Notice or an action of the Committee that specifically refers to these Standard Terms and Conditions. In addition to these Standard Terms and Conditions, the performance stock units shall be subject to the terms of the Plan, which are incorporated into these Standard Terms and Conditions by this reference. Capitalized terms not otherwise defined herein shall have the meaning set forth in the Plan.</w:t>
      </w:r>
    </w:p>
    <w:p>
      <w:pPr>
        <w:spacing w:after="0" w:line="151" w:lineRule="exact"/>
        <w:rPr>
          <w:sz w:val="20"/>
          <w:szCs w:val="20"/>
          <w:color w:val="auto"/>
        </w:rPr>
      </w:pPr>
    </w:p>
    <w:p>
      <w:pPr>
        <w:ind w:left="760" w:hanging="752"/>
        <w:spacing w:after="0"/>
        <w:tabs>
          <w:tab w:leader="none" w:pos="760"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TERMS OF PERFORMANCE STOCK UNITS</w:t>
      </w:r>
    </w:p>
    <w:p>
      <w:pPr>
        <w:spacing w:after="0" w:line="12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Petco Health and Wellness Company,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has granted to the Participant named in the Grant Notice provided to said Participant herewith (the “</w:t>
      </w:r>
      <w:r>
        <w:rPr>
          <w:rFonts w:ascii="Times New Roman" w:cs="Times New Roman" w:eastAsia="Times New Roman" w:hAnsi="Times New Roman"/>
          <w:sz w:val="22"/>
          <w:szCs w:val="22"/>
          <w:b w:val="1"/>
          <w:bCs w:val="1"/>
          <w:i w:val="1"/>
          <w:iCs w:val="1"/>
          <w:color w:val="auto"/>
        </w:rPr>
        <w:t>Grant Notice</w:t>
      </w:r>
      <w:r>
        <w:rPr>
          <w:rFonts w:ascii="Times New Roman" w:cs="Times New Roman" w:eastAsia="Times New Roman" w:hAnsi="Times New Roman"/>
          <w:sz w:val="22"/>
          <w:szCs w:val="22"/>
          <w:color w:val="auto"/>
        </w:rPr>
        <w:t>”) an award of performance stock units (the “</w:t>
      </w:r>
      <w:r>
        <w:rPr>
          <w:rFonts w:ascii="Times New Roman" w:cs="Times New Roman" w:eastAsia="Times New Roman" w:hAnsi="Times New Roman"/>
          <w:sz w:val="22"/>
          <w:szCs w:val="22"/>
          <w:b w:val="1"/>
          <w:bCs w:val="1"/>
          <w:i w:val="1"/>
          <w:iCs w:val="1"/>
          <w:color w:val="auto"/>
        </w:rPr>
        <w:t>Award</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PSUs</w:t>
      </w:r>
      <w:r>
        <w:rPr>
          <w:rFonts w:ascii="Times New Roman" w:cs="Times New Roman" w:eastAsia="Times New Roman" w:hAnsi="Times New Roman"/>
          <w:sz w:val="22"/>
          <w:szCs w:val="22"/>
          <w:color w:val="auto"/>
        </w:rPr>
        <w:t>”) specified in the Grant Notice, with each Earned PSU representing the right to receive one share of Common Stock. The Award is subject to the conditions set forth in the Grant Notice, these Standard Terms and Conditions and the Plan. For purposes of these Standard Terms and Conditions and the Grant Notice, any reference to the Company shall include a reference to any Subsidiary.</w:t>
      </w:r>
    </w:p>
    <w:p>
      <w:pPr>
        <w:spacing w:after="0" w:line="177" w:lineRule="exact"/>
        <w:rPr>
          <w:sz w:val="20"/>
          <w:szCs w:val="20"/>
          <w:color w:val="auto"/>
        </w:rPr>
      </w:pPr>
    </w:p>
    <w:p>
      <w:pPr>
        <w:ind w:left="760" w:hanging="752"/>
        <w:spacing w:after="0"/>
        <w:tabs>
          <w:tab w:leader="none" w:pos="760" w:val="left"/>
        </w:tabs>
        <w:numPr>
          <w:ilvl w:val="0"/>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VESTING AND SETTLEMENT OF PERFORMANCE STOCK UNITS</w:t>
      </w:r>
    </w:p>
    <w:p>
      <w:pPr>
        <w:spacing w:after="0" w:line="115" w:lineRule="exact"/>
        <w:rPr>
          <w:rFonts w:ascii="Times New Roman" w:cs="Times New Roman" w:eastAsia="Times New Roman" w:hAnsi="Times New Roman"/>
          <w:sz w:val="22"/>
          <w:szCs w:val="22"/>
          <w:b w:val="1"/>
          <w:bCs w:val="1"/>
          <w:color w:val="auto"/>
        </w:rPr>
      </w:pPr>
    </w:p>
    <w:p>
      <w:pPr>
        <w:jc w:val="both"/>
        <w:ind w:firstLine="757"/>
        <w:spacing w:after="0" w:line="239" w:lineRule="auto"/>
        <w:tabs>
          <w:tab w:leader="none" w:pos="1018"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Award shall not be vested as of the Grant Date set forth in the Grant Notice and shall be forfeitable unless and until otherwise vested pursuant to the terms of the Grant Notice and these Standard Terms and Conditions. After the Grant Date, subject to termination or acceleration as provided in these Standard Terms and Conditions and the Plan, the Award shall become vested and earned as described in the Grant Notice with respect to the Target PSUs as set forth in the Grant Notice.</w:t>
      </w:r>
    </w:p>
    <w:p>
      <w:pPr>
        <w:spacing w:after="0" w:line="179"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(b)As soon as administratively practicable following the date a PSU becomes an Earned PSU pursuant to the Grant Notice and this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but in no event later than two and one-half months following the Vesting Date (or, if earlier, the date on which a Termination of Employment described in </w:t>
      </w:r>
      <w:r>
        <w:rPr>
          <w:rFonts w:ascii="Times New Roman" w:cs="Times New Roman" w:eastAsia="Times New Roman" w:hAnsi="Times New Roman"/>
          <w:sz w:val="22"/>
          <w:szCs w:val="22"/>
          <w:u w:val="single" w:color="auto"/>
          <w:color w:val="auto"/>
        </w:rPr>
        <w:t>Section 2(c)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2(f)</w:t>
      </w:r>
      <w:r>
        <w:rPr>
          <w:rFonts w:ascii="Times New Roman" w:cs="Times New Roman" w:eastAsia="Times New Roman" w:hAnsi="Times New Roman"/>
          <w:sz w:val="22"/>
          <w:szCs w:val="22"/>
          <w:color w:val="auto"/>
        </w:rPr>
        <w:t xml:space="preserve"> occurs), the Company shall deliver to the Participant a number of shares of Common Stock equal to the number of Earned PSUs.</w:t>
      </w:r>
    </w:p>
    <w:p>
      <w:pPr>
        <w:spacing w:after="0" w:line="179" w:lineRule="exact"/>
        <w:rPr>
          <w:sz w:val="20"/>
          <w:szCs w:val="20"/>
          <w:color w:val="auto"/>
        </w:rPr>
      </w:pPr>
    </w:p>
    <w:p>
      <w:pPr>
        <w:jc w:val="both"/>
        <w:ind w:firstLine="757"/>
        <w:spacing w:after="0" w:line="236" w:lineRule="auto"/>
        <w:tabs>
          <w:tab w:leader="none" w:pos="1018"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Participant experiences a Termination of Employment as a result of the Participant’s death or Disability, then, subject to the Participant’s (or the Participant’s personal representative’s) execution and nonrevocation of a general release of claims in a form provided by the Company, (i) if the Termination Date is prior to the end of the Performance Period, the outstanding Target PSUs shall become Earned PSUs effective as of the date of such Termination of Employment and (ii) if the Termination Date is after the end of the Performance Period, then the outstanding Target PSUs will remain outstanding and eligible to become Earned PSUs based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A</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tandard</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erms and</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onditions for</w:t>
      </w:r>
    </w:p>
    <w:p>
      <w:pPr>
        <w:jc w:val="center"/>
        <w:spacing w:after="0"/>
        <w:rPr>
          <w:sz w:val="20"/>
          <w:szCs w:val="20"/>
          <w:color w:val="auto"/>
        </w:rPr>
      </w:pPr>
      <w:r>
        <w:rPr>
          <w:rFonts w:ascii="Times New Roman" w:cs="Times New Roman" w:eastAsia="Times New Roman" w:hAnsi="Times New Roman"/>
          <w:sz w:val="22"/>
          <w:szCs w:val="22"/>
          <w:color w:val="auto"/>
        </w:rPr>
        <w:t>P</w:t>
      </w:r>
      <w:r>
        <w:rPr>
          <w:rFonts w:ascii="Times New Roman" w:cs="Times New Roman" w:eastAsia="Times New Roman" w:hAnsi="Times New Roman"/>
          <w:sz w:val="14"/>
          <w:szCs w:val="14"/>
          <w:color w:val="auto"/>
        </w:rPr>
        <w:t>erformance</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4"/>
          <w:szCs w:val="14"/>
          <w:color w:val="auto"/>
        </w:rPr>
        <w:t>tock</w:t>
      </w:r>
      <w:r>
        <w:rPr>
          <w:rFonts w:ascii="Times New Roman" w:cs="Times New Roman" w:eastAsia="Times New Roman" w:hAnsi="Times New Roman"/>
          <w:sz w:val="22"/>
          <w:szCs w:val="22"/>
          <w:color w:val="auto"/>
        </w:rPr>
        <w:t xml:space="preserve"> U</w:t>
      </w:r>
      <w:r>
        <w:rPr>
          <w:rFonts w:ascii="Times New Roman" w:cs="Times New Roman" w:eastAsia="Times New Roman" w:hAnsi="Times New Roman"/>
          <w:sz w:val="14"/>
          <w:szCs w:val="14"/>
          <w:color w:val="auto"/>
        </w:rPr>
        <w:t>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462280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35" w:name="page36"/>
    <w:bookmarkEnd w:id="35"/>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 achievement of the Performance Goals and settlement of such Earned PSUs shall not be accelerated.</w:t>
      </w:r>
    </w:p>
    <w:p>
      <w:pPr>
        <w:spacing w:after="0" w:line="20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(d)If the Participant experiences a Termination of Employment as a result of the Participant’s Retirement (as defined below), then, subject to the Participant’s execution and nonrevocation of a general release of claims in a form provided by the Company, the Pro-Rata Portion of the Target PSUs shall remain outstanding and eligible to become Earned PSUs based on achievement of the Performance Goals and settlement of such Earned PSUs shall not be accelerated.</w:t>
      </w:r>
    </w:p>
    <w:p>
      <w:pPr>
        <w:spacing w:after="0" w:line="179" w:lineRule="exact"/>
        <w:rPr>
          <w:sz w:val="20"/>
          <w:szCs w:val="20"/>
          <w:color w:val="auto"/>
        </w:rPr>
      </w:pPr>
    </w:p>
    <w:p>
      <w:pPr>
        <w:jc w:val="both"/>
        <w:ind w:firstLine="757"/>
        <w:spacing w:after="0" w:line="237" w:lineRule="auto"/>
        <w:tabs>
          <w:tab w:leader="none" w:pos="1018"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consummation of a Change in Control prior to the end of the Performance Period, the Performance Goal shall be measured over a truncated Performance Period ending on the date of the Change in Control and the Target PSUs that become earned based on achievement of such Performance Goal shall vest and become Earned PSUs on the third anniversary of the Grant Date, subject to the Participant’s continued employment by or service to the Company or its Subsidiaries through such date.</w:t>
      </w:r>
    </w:p>
    <w:p>
      <w:pPr>
        <w:spacing w:after="0" w:line="180" w:lineRule="exact"/>
        <w:rPr>
          <w:rFonts w:ascii="Times New Roman" w:cs="Times New Roman" w:eastAsia="Times New Roman" w:hAnsi="Times New Roman"/>
          <w:sz w:val="22"/>
          <w:szCs w:val="22"/>
          <w:color w:val="auto"/>
        </w:rPr>
      </w:pPr>
    </w:p>
    <w:p>
      <w:pPr>
        <w:jc w:val="both"/>
        <w:ind w:firstLine="757"/>
        <w:spacing w:after="0" w:line="271" w:lineRule="auto"/>
        <w:tabs>
          <w:tab w:leader="none" w:pos="1018"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w:t>
      </w:r>
      <w:r>
        <w:rPr>
          <w:rFonts w:ascii="Times New Roman" w:cs="Times New Roman" w:eastAsia="Times New Roman" w:hAnsi="Times New Roman"/>
          <w:sz w:val="20"/>
          <w:szCs w:val="20"/>
          <w:u w:val="single" w:color="auto"/>
          <w:color w:val="auto"/>
        </w:rPr>
        <w:t>Section 2(e)</w:t>
      </w:r>
      <w:r>
        <w:rPr>
          <w:rFonts w:ascii="Times New Roman" w:cs="Times New Roman" w:eastAsia="Times New Roman" w:hAnsi="Times New Roman"/>
          <w:sz w:val="20"/>
          <w:szCs w:val="20"/>
          <w:color w:val="auto"/>
        </w:rPr>
        <w:t xml:space="preserve"> above, if the Participant experiences a Termination of Employment as a result of an Involuntary Termination (as defined below) at any time following a Change in Control, then subject to the Participant’s execution and nonrevocation of a general release of claims in a form provided by the Company, any Target PSUs that remain outstanding shall become Earned PSUs in accordance with </w:t>
      </w:r>
      <w:r>
        <w:rPr>
          <w:rFonts w:ascii="Times New Roman" w:cs="Times New Roman" w:eastAsia="Times New Roman" w:hAnsi="Times New Roman"/>
          <w:sz w:val="20"/>
          <w:szCs w:val="20"/>
          <w:u w:val="single" w:color="auto"/>
          <w:color w:val="auto"/>
        </w:rPr>
        <w:t>Section 2(e)</w:t>
      </w:r>
      <w:r>
        <w:rPr>
          <w:rFonts w:ascii="Times New Roman" w:cs="Times New Roman" w:eastAsia="Times New Roman" w:hAnsi="Times New Roman"/>
          <w:sz w:val="20"/>
          <w:szCs w:val="20"/>
          <w:color w:val="auto"/>
        </w:rPr>
        <w:t xml:space="preserve"> effective as of the date of such Termination of Employment.</w:t>
      </w:r>
    </w:p>
    <w:p>
      <w:pPr>
        <w:spacing w:after="0" w:line="148"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 xml:space="preserve">(g)Upon the Participant’s Termination of Employment for any other reason not set forth in </w:t>
      </w:r>
      <w:r>
        <w:rPr>
          <w:rFonts w:ascii="Times New Roman" w:cs="Times New Roman" w:eastAsia="Times New Roman" w:hAnsi="Times New Roman"/>
          <w:sz w:val="22"/>
          <w:szCs w:val="22"/>
          <w:u w:val="single" w:color="auto"/>
          <w:color w:val="auto"/>
        </w:rPr>
        <w:t>Section 2(c)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2(d)</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2(f)</w:t>
      </w:r>
      <w:r>
        <w:rPr>
          <w:rFonts w:ascii="Times New Roman" w:cs="Times New Roman" w:eastAsia="Times New Roman" w:hAnsi="Times New Roman"/>
          <w:sz w:val="22"/>
          <w:szCs w:val="22"/>
          <w:color w:val="auto"/>
        </w:rPr>
        <w:t>, any PSUs that have not become Earned PSUs shall be forfeited and canceled as of the Termination Date.</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(h)As used in this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w:t>
      </w:r>
    </w:p>
    <w:p>
      <w:pPr>
        <w:spacing w:after="0" w:line="199" w:lineRule="exact"/>
        <w:rPr>
          <w:sz w:val="20"/>
          <w:szCs w:val="20"/>
          <w:color w:val="auto"/>
        </w:rPr>
      </w:pPr>
    </w:p>
    <w:p>
      <w:pPr>
        <w:jc w:val="both"/>
        <w:ind w:firstLine="1505"/>
        <w:spacing w:after="0" w:line="234" w:lineRule="auto"/>
        <w:tabs>
          <w:tab w:leader="none" w:pos="2037"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Good Reason</w:t>
      </w:r>
      <w:r>
        <w:rPr>
          <w:rFonts w:ascii="Times New Roman" w:cs="Times New Roman" w:eastAsia="Times New Roman" w:hAnsi="Times New Roman"/>
          <w:sz w:val="22"/>
          <w:szCs w:val="22"/>
          <w:color w:val="auto"/>
        </w:rPr>
        <w:t>” has the meaning set forth in the written employment, offer, services or severance agreement or letter between the Participant and the Company or an Affiliate, or if there is no such agreement or no such term is defined in such agreement, means, without the Participant’s consent: (A) a material diminution in the Participant’s authority, duties or responsibilities with the Company or an Affiliate; (B) a material diminution in the Participant’s base salary; (C) a relocation of the Participant’s principal place of employment by more than 50 miles; or (D) a material breach by the Company of any of its obligations under these Standard Terms and Conditions. Notwithstanding the foregoing, any assertion by the Participant of a termination for Good Reason shall not be effective unless (1) the Participant provides written notice to the Company of the existence of one or more of the foregoing conditions within 30 days after the initial occurrence of such condition(s); (2) the condition(s) specified in such notice must remain uncorrected for 30 days following the Company’s receipt of such written notice; and (3) the date of the termination of the Participant’s employment must occur within 90 days after the initial occurrence of the condition(s) specified in such notice.</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77" w:lineRule="exact"/>
        <w:rPr>
          <w:sz w:val="20"/>
          <w:szCs w:val="20"/>
          <w:color w:val="auto"/>
        </w:rPr>
      </w:pPr>
    </w:p>
    <w:p>
      <w:pPr>
        <w:ind w:firstLine="1505"/>
        <w:spacing w:after="0" w:line="263" w:lineRule="auto"/>
        <w:tabs>
          <w:tab w:leader="none" w:pos="2037" w:val="left"/>
        </w:tabs>
        <w:numPr>
          <w:ilvl w:val="2"/>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Involuntary Termination</w:t>
      </w:r>
      <w:r>
        <w:rPr>
          <w:rFonts w:ascii="Times New Roman" w:cs="Times New Roman" w:eastAsia="Times New Roman" w:hAnsi="Times New Roman"/>
          <w:sz w:val="22"/>
          <w:szCs w:val="22"/>
          <w:color w:val="auto"/>
        </w:rPr>
        <w:t>” means a Termination of Employment by the Company without Cause (and not as a result of death or Disability) or by the Participant for Good Reason.</w:t>
      </w:r>
    </w:p>
    <w:p>
      <w:pPr>
        <w:spacing w:after="0" w:line="146" w:lineRule="exact"/>
        <w:rPr>
          <w:rFonts w:ascii="Times New Roman" w:cs="Times New Roman" w:eastAsia="Times New Roman" w:hAnsi="Times New Roman"/>
          <w:sz w:val="22"/>
          <w:szCs w:val="22"/>
          <w:color w:val="auto"/>
        </w:rPr>
      </w:pPr>
    </w:p>
    <w:p>
      <w:pPr>
        <w:jc w:val="both"/>
        <w:ind w:firstLine="1505"/>
        <w:spacing w:after="0" w:line="246" w:lineRule="auto"/>
        <w:tabs>
          <w:tab w:leader="none" w:pos="2037" w:val="left"/>
        </w:tabs>
        <w:numPr>
          <w:ilvl w:val="2"/>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Pro-Rata Portion</w:t>
      </w:r>
      <w:r>
        <w:rPr>
          <w:rFonts w:ascii="Times New Roman" w:cs="Times New Roman" w:eastAsia="Times New Roman" w:hAnsi="Times New Roman"/>
          <w:sz w:val="22"/>
          <w:szCs w:val="22"/>
          <w:color w:val="auto"/>
        </w:rPr>
        <w:t xml:space="preserve">” means (A) the Target PSUs, </w:t>
      </w:r>
      <w:r>
        <w:rPr>
          <w:rFonts w:ascii="Times New Roman" w:cs="Times New Roman" w:eastAsia="Times New Roman" w:hAnsi="Times New Roman"/>
          <w:sz w:val="22"/>
          <w:szCs w:val="22"/>
          <w:i w:val="1"/>
          <w:iCs w:val="1"/>
          <w:color w:val="auto"/>
        </w:rPr>
        <w:t>multiplied by</w:t>
      </w:r>
      <w:r>
        <w:rPr>
          <w:rFonts w:ascii="Times New Roman" w:cs="Times New Roman" w:eastAsia="Times New Roman" w:hAnsi="Times New Roman"/>
          <w:sz w:val="22"/>
          <w:szCs w:val="22"/>
          <w:color w:val="auto"/>
        </w:rPr>
        <w:t xml:space="preserve"> (B) a fraction, the numerator of which is the number of days between the start of the Performance Period and the Termination Date and the denominator of which is the number of days in the Performance Period.</w:t>
      </w:r>
    </w:p>
    <w:p>
      <w:pPr>
        <w:spacing w:after="0" w:line="165" w:lineRule="exact"/>
        <w:rPr>
          <w:rFonts w:ascii="Times New Roman" w:cs="Times New Roman" w:eastAsia="Times New Roman" w:hAnsi="Times New Roman"/>
          <w:sz w:val="22"/>
          <w:szCs w:val="22"/>
          <w:color w:val="auto"/>
        </w:rPr>
      </w:pPr>
    </w:p>
    <w:p>
      <w:pPr>
        <w:ind w:firstLine="1505"/>
        <w:spacing w:after="0" w:line="263" w:lineRule="auto"/>
        <w:tabs>
          <w:tab w:leader="none" w:pos="2037" w:val="left"/>
        </w:tabs>
        <w:numPr>
          <w:ilvl w:val="2"/>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Retirement</w:t>
      </w:r>
      <w:r>
        <w:rPr>
          <w:rFonts w:ascii="Times New Roman" w:cs="Times New Roman" w:eastAsia="Times New Roman" w:hAnsi="Times New Roman"/>
          <w:sz w:val="22"/>
          <w:szCs w:val="22"/>
          <w:color w:val="auto"/>
        </w:rPr>
        <w:t>” means a Termination of Employment by the Participant upon achieving (A) 55 or more years of age and (B) 10 or more consecutive years of service with the Company and its Affiliates.</w:t>
      </w:r>
    </w:p>
    <w:p>
      <w:pPr>
        <w:spacing w:after="0" w:line="14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2"/>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Termination Date</w:t>
      </w:r>
      <w:r>
        <w:rPr>
          <w:rFonts w:ascii="Times New Roman" w:cs="Times New Roman" w:eastAsia="Times New Roman" w:hAnsi="Times New Roman"/>
          <w:sz w:val="22"/>
          <w:szCs w:val="22"/>
          <w:color w:val="auto"/>
        </w:rPr>
        <w:t>” means the date of the Participant’s Termination of Employment.</w:t>
      </w:r>
    </w:p>
    <w:p>
      <w:pPr>
        <w:spacing w:after="0" w:line="207" w:lineRule="exact"/>
        <w:rPr>
          <w:rFonts w:ascii="Times New Roman" w:cs="Times New Roman" w:eastAsia="Times New Roman" w:hAnsi="Times New Roman"/>
          <w:sz w:val="22"/>
          <w:szCs w:val="22"/>
          <w:color w:val="auto"/>
        </w:rPr>
      </w:pPr>
    </w:p>
    <w:p>
      <w:pPr>
        <w:ind w:left="760" w:hanging="752"/>
        <w:spacing w:after="0"/>
        <w:tabs>
          <w:tab w:leader="none" w:pos="760" w:val="left"/>
        </w:tabs>
        <w:numPr>
          <w:ilvl w:val="0"/>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RIGHTS AS STOCKHOLDER; DIVIDEND EQUIVALENTS</w:t>
      </w:r>
    </w:p>
    <w:p>
      <w:pPr>
        <w:spacing w:after="0" w:line="128" w:lineRule="exact"/>
        <w:rPr>
          <w:rFonts w:ascii="Times New Roman" w:cs="Times New Roman" w:eastAsia="Times New Roman" w:hAnsi="Times New Roman"/>
          <w:sz w:val="22"/>
          <w:szCs w:val="22"/>
          <w:b w:val="1"/>
          <w:bCs w:val="1"/>
          <w:color w:val="auto"/>
        </w:rPr>
      </w:pPr>
    </w:p>
    <w:p>
      <w:pPr>
        <w:jc w:val="both"/>
        <w:ind w:firstLine="757"/>
        <w:spacing w:after="0" w:line="244" w:lineRule="auto"/>
        <w:tabs>
          <w:tab w:leader="none" w:pos="1018"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shall not be, nor have any of the rights or privileges of, a stockholder of the Company in respect of any PSUs unless and until shares of Common Stock settled for Earned PSUs shall have been issued by the Company to Participant (as evidenced by the appropriate entry on the books of the Company or of a duly authorized transfer agent of the Company).</w:t>
      </w:r>
    </w:p>
    <w:p>
      <w:pPr>
        <w:spacing w:after="0" w:line="172" w:lineRule="exact"/>
        <w:rPr>
          <w:rFonts w:ascii="Times New Roman" w:cs="Times New Roman" w:eastAsia="Times New Roman" w:hAnsi="Times New Roman"/>
          <w:sz w:val="22"/>
          <w:szCs w:val="22"/>
          <w:color w:val="auto"/>
        </w:rPr>
      </w:pPr>
    </w:p>
    <w:p>
      <w:pPr>
        <w:jc w:val="both"/>
        <w:ind w:firstLine="757"/>
        <w:spacing w:after="0" w:line="259" w:lineRule="auto"/>
        <w:tabs>
          <w:tab w:leader="none" w:pos="1018"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from and after the Grant Date and until the earlier of (i) the Participant’s receipt of Common Stock upon payment of Earned PSUs and (ii) the time when the Participant’s right to receive Common Stock upon payment of PSUs is forfeited, on the date that the Company pays a cash dividend (if any) to holders of Common Stock generally, the Participant shall be entitled, as a Dividend Equivalent, to a number of additional whole Target PSUs determined by dividing</w:t>
      </w:r>
    </w:p>
    <w:p>
      <w:pPr>
        <w:spacing w:after="0" w:line="2" w:lineRule="exact"/>
        <w:rPr>
          <w:rFonts w:ascii="Times New Roman" w:cs="Times New Roman" w:eastAsia="Times New Roman" w:hAnsi="Times New Roman"/>
          <w:sz w:val="20"/>
          <w:szCs w:val="20"/>
          <w:color w:val="auto"/>
        </w:rPr>
      </w:pPr>
    </w:p>
    <w:p>
      <w:pPr>
        <w:jc w:val="both"/>
        <w:spacing w:after="0" w:line="23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 the product of (A) the dollar amount of the cash dividend paid per share of Common Stock on such date and (B) the total number of Target PSUs (including dividend equivalents paid thereon) previously credited to the Participant as of such date, by (ii) the Fair Market Value per share of Common Stock on such date. Such Dividend Equivalents (if any) shall be subject to the same terms and conditions and shall be settled or forfeited in the same manner and at the same time as the Target PSUs to which the Dividend Equivalents were credited.</w:t>
      </w:r>
    </w:p>
    <w:p>
      <w:pPr>
        <w:spacing w:after="0" w:line="173" w:lineRule="exact"/>
        <w:rPr>
          <w:rFonts w:ascii="Times New Roman" w:cs="Times New Roman" w:eastAsia="Times New Roman" w:hAnsi="Times New Roman"/>
          <w:sz w:val="20"/>
          <w:szCs w:val="20"/>
          <w:color w:val="auto"/>
        </w:rPr>
      </w:pPr>
    </w:p>
    <w:p>
      <w:pPr>
        <w:ind w:left="760" w:hanging="752"/>
        <w:spacing w:after="0"/>
        <w:tabs>
          <w:tab w:leader="none" w:pos="760" w:val="left"/>
        </w:tabs>
        <w:numPr>
          <w:ilvl w:val="0"/>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RESTRICTIONS ON RESALES OF SHARES</w:t>
      </w:r>
    </w:p>
    <w:p>
      <w:pPr>
        <w:spacing w:after="0" w:line="11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The Company may impose such restrictions, conditions or limitations as it determines appropriate as to the timing and manner of any resales by the Participant or other subsequent transfers by the Participant of any shares of Common Stock issued pursuant to Earned PSUs, including (a) restrictions under an insider trading policy, (b) restrictions designed to delay and/or coordinate the timing and manner of sales by Participant and other holders and (c) restrictions as to the use of a specified brokerage firm for such resales or other transfers.</w:t>
      </w:r>
    </w:p>
    <w:p>
      <w:pPr>
        <w:spacing w:after="0" w:line="176" w:lineRule="exact"/>
        <w:rPr>
          <w:sz w:val="20"/>
          <w:szCs w:val="20"/>
          <w:color w:val="auto"/>
        </w:rPr>
      </w:pPr>
    </w:p>
    <w:p>
      <w:pPr>
        <w:ind w:left="760" w:hanging="752"/>
        <w:spacing w:after="0"/>
        <w:tabs>
          <w:tab w:leader="none" w:pos="760" w:val="left"/>
        </w:tabs>
        <w:numPr>
          <w:ilvl w:val="0"/>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INCOME TAXES</w:t>
      </w:r>
    </w:p>
    <w:p>
      <w:pPr>
        <w:spacing w:after="0" w:line="12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To the extent required by applicable federal, state, local or foreign law, the Participant shall make arrangements satisfactory to the Company for the satisfaction of any withholding tax obligations that arise by reason of the grant or vesting of the PSUs. The Company shall not be required to issue</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 or to recognize the disposition of such shares until such obligations are satisfied.</w:t>
      </w:r>
    </w:p>
    <w:p>
      <w:pPr>
        <w:spacing w:after="0" w:line="201" w:lineRule="exact"/>
        <w:rPr>
          <w:sz w:val="20"/>
          <w:szCs w:val="20"/>
          <w:color w:val="auto"/>
        </w:rPr>
      </w:pPr>
    </w:p>
    <w:p>
      <w:pPr>
        <w:ind w:left="760" w:hanging="752"/>
        <w:spacing w:after="0"/>
        <w:tabs>
          <w:tab w:leader="none" w:pos="760" w:val="left"/>
        </w:tabs>
        <w:numPr>
          <w:ilvl w:val="0"/>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NONTRANSFERABILITY­ OF AWARD</w:t>
      </w:r>
    </w:p>
    <w:p>
      <w:pPr>
        <w:spacing w:after="0" w:line="11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Participant understands, acknowledges and agrees that, except as otherwise provided in the Plan or as permitted by the Committee, the Award may not be sold, assigned, transferred, pledged or otherwise directly or indirectly encumbered or disposed of other than by will or the laws of descent and distribution. Notwithstanding the foregoing, (a) the Participant shall be permitted to transfer the Award as a gift to an Assignee Entity in accordance with and subject to the limits of Section 17 of the Plan and (b) if not previously so transferred, any shares of Common Stock that become issuable hereunder but which otherwise remain unissued at the time of the Participant’s death shall be transferred to the Participant’s designated beneficiary or, if none, to the Participant’s estate.</w:t>
      </w:r>
    </w:p>
    <w:p>
      <w:pPr>
        <w:spacing w:after="0" w:line="177" w:lineRule="exact"/>
        <w:rPr>
          <w:sz w:val="20"/>
          <w:szCs w:val="20"/>
          <w:color w:val="auto"/>
        </w:rPr>
      </w:pPr>
    </w:p>
    <w:p>
      <w:pPr>
        <w:ind w:left="760" w:hanging="752"/>
        <w:spacing w:after="0"/>
        <w:tabs>
          <w:tab w:leader="none" w:pos="760" w:val="left"/>
        </w:tabs>
        <w:numPr>
          <w:ilvl w:val="0"/>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OTHER AGREEMENTS SUPERSEDED</w:t>
      </w:r>
    </w:p>
    <w:p>
      <w:pPr>
        <w:spacing w:after="0" w:line="12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The Grant Notice, these Standard Terms and Conditions, the Confidentiality and Inventions Agreement and the Plan constitute the entire understanding between the Participant and the Company regarding the Award. Any prior agreements, commitments or negotiations concerning the Award are superseded; provided, however, that the terms of the Confidentiality and Inventions Agreement are in addition to and complement (and do not replace or supersede) all other agreements and obligations between the Company and any of its affiliates and the Participant with respect to confidentiality and intellectual property.</w:t>
      </w:r>
    </w:p>
    <w:p>
      <w:pPr>
        <w:spacing w:after="0" w:line="176" w:lineRule="exact"/>
        <w:rPr>
          <w:sz w:val="20"/>
          <w:szCs w:val="20"/>
          <w:color w:val="auto"/>
        </w:rPr>
      </w:pPr>
    </w:p>
    <w:p>
      <w:pPr>
        <w:ind w:left="760" w:hanging="752"/>
        <w:spacing w:after="0"/>
        <w:tabs>
          <w:tab w:leader="none" w:pos="760" w:val="left"/>
        </w:tabs>
        <w:numPr>
          <w:ilvl w:val="0"/>
          <w:numId w:val="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LIMITATION OF INTEREST IN SHARES SUBJECT TO PERFORMANCE STOCK UNITS</w:t>
      </w:r>
    </w:p>
    <w:p>
      <w:pPr>
        <w:spacing w:after="0" w:line="11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Neither the Participant (individually or as a member of a group) nor any beneficiary or other person claiming under or through the Participant shall have any right, title, interest, or privilege in or to any shares of Common Stock allocated or reserved for the purpose of the Plan or subject to the Grant Notice or these Standard Terms and Conditions except as to such shares of Common Stock, if any, as shall have been issued to such person in connection with the Award. Nothing in the Plan, in the Grant Notice, these Standard Terms and Conditions or any other instrument executed pursuant to the Plan shall confer upon the Participant any right to continue in the Company’s employ or service nor limit in any way the Company’s right to terminate the Participant’s employment at any time for any reason.</w:t>
      </w:r>
    </w:p>
    <w:p>
      <w:pPr>
        <w:spacing w:after="0" w:line="177" w:lineRule="exact"/>
        <w:rPr>
          <w:sz w:val="20"/>
          <w:szCs w:val="20"/>
          <w:color w:val="auto"/>
        </w:rPr>
      </w:pPr>
    </w:p>
    <w:p>
      <w:pPr>
        <w:ind w:left="760" w:hanging="752"/>
        <w:spacing w:after="0"/>
        <w:tabs>
          <w:tab w:leader="none" w:pos="760" w:val="left"/>
        </w:tabs>
        <w:numPr>
          <w:ilvl w:val="0"/>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w:t>
      </w:r>
    </w:p>
    <w:p>
      <w:pPr>
        <w:spacing w:after="0" w:line="129"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20"/>
          <w:szCs w:val="20"/>
          <w:color w:val="auto"/>
        </w:rPr>
        <w:t>(k)In the event that any provision of these Standard Terms and Conditions is declared to be illegal, invalid or otherwise unenforceable by a court of competent jurisdiction, such provision shall be reformed, if possible, to the extent necessary to render it legal, valid and enforceable, or otherwise deleted, and the remainder of these Standard Terms and Conditions shall not be affected except to the extent necessary to reform or delete such illegal, invalid or unenforceable provision.</w:t>
      </w:r>
    </w:p>
    <w:p>
      <w:pPr>
        <w:spacing w:after="0" w:line="148" w:lineRule="exact"/>
        <w:rPr>
          <w:sz w:val="20"/>
          <w:szCs w:val="20"/>
          <w:color w:val="auto"/>
        </w:rPr>
      </w:pPr>
    </w:p>
    <w:p>
      <w:pPr>
        <w:jc w:val="both"/>
        <w:ind w:firstLine="757"/>
        <w:spacing w:after="0" w:line="244" w:lineRule="auto"/>
        <w:tabs>
          <w:tab w:leader="none" w:pos="1018"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headings preceding the text of the sections hereof are inserted solely for convenience of reference, and shall not constitute a part of these Standard Terms and Conditions, nor shall they affect its meaning, construction or effect. Words in the masculine gender shall</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0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include the feminine gender, and where appropriate, the plural shall include the singular and the singular shall include the plural.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References herein to any agreement, instrument or other document means such agreement, instrument or other document as amended, supplemented and modified from time to time to the extent permitted by the provisions thereof and not prohibited by the Plan or these Standard Terms and Conditions.</w:t>
      </w:r>
    </w:p>
    <w:p>
      <w:pPr>
        <w:spacing w:after="0" w:line="184"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(m)These Standard Terms and Conditions shall inure to the benefit of and be binding upon the parties hereto and their respective permitted heirs, beneficiaries, successors and assigns.</w:t>
      </w:r>
    </w:p>
    <w:p>
      <w:pPr>
        <w:spacing w:after="0" w:line="15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(n)These Standard Terms and Conditions shall be construed in accordance with and governed by the laws of the State of Delaware, without regard to principles of conflicts of law.</w:t>
      </w:r>
    </w:p>
    <w:p>
      <w:pPr>
        <w:spacing w:after="0" w:line="15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(o)In the event of any conflict between the Grant Notice, these Standard Terms and Conditions and the Plan, the Grant Notice and these Standard Terms and Conditions shall control. In the event of any conflict between the Grant Notice and these Standard Terms and Conditions, the Grant Notice shall control.</w:t>
      </w:r>
    </w:p>
    <w:p>
      <w:pPr>
        <w:spacing w:after="0" w:line="17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(p)All questions arising under the Plan or under these Standard Terms and Conditions shall be decided by the Committee in its total and absolute discretion.</w:t>
      </w:r>
    </w:p>
    <w:p>
      <w:pPr>
        <w:spacing w:after="0" w:line="153" w:lineRule="exact"/>
        <w:rPr>
          <w:sz w:val="20"/>
          <w:szCs w:val="20"/>
          <w:color w:val="auto"/>
        </w:rPr>
      </w:pPr>
    </w:p>
    <w:p>
      <w:pPr>
        <w:ind w:left="760" w:hanging="752"/>
        <w:spacing w:after="0"/>
        <w:tabs>
          <w:tab w:leader="none" w:pos="760" w:val="left"/>
        </w:tabs>
        <w:numPr>
          <w:ilvl w:val="0"/>
          <w:numId w:val="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CLAWBACK</w:t>
      </w:r>
    </w:p>
    <w:p>
      <w:pPr>
        <w:spacing w:after="0" w:line="11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The PSUs and any shares of Common Stock issued pursuant to the Earned PSUs will be subject to recoupment in accordance with any clawback policy adopted by the Company. No recovery of compensation under such a clawback policy will be an event giving rise to a right to resign for “good reason” or “constructive termination” (or similar term) under any agreement with the Company. By accepting the Award, the Participant is agreeing to be bound by any such clawback policy, as in effect or as may be adopted and/or modified from time to time by the Company in its discretion.</w:t>
      </w:r>
    </w:p>
    <w:p>
      <w:pPr>
        <w:spacing w:after="0" w:line="176" w:lineRule="exact"/>
        <w:rPr>
          <w:sz w:val="20"/>
          <w:szCs w:val="20"/>
          <w:color w:val="auto"/>
        </w:rPr>
      </w:pPr>
    </w:p>
    <w:p>
      <w:pPr>
        <w:ind w:left="760" w:hanging="752"/>
        <w:spacing w:after="0"/>
        <w:tabs>
          <w:tab w:leader="none" w:pos="760"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ELECTRONIC DELIVERY</w:t>
      </w:r>
    </w:p>
    <w:p>
      <w:pPr>
        <w:spacing w:after="0" w:line="12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By executing the Grant Notice, the Participant hereby consents to the delivery of information (including, without limitation, information required to be delivered to the Participant pursuant to applicable securities laws) regarding the Company and the Subsidiaries, the Plan, and the PSUs via Company web site or other electronic delivery.</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CONFIDENTIALITY AND INVENTIONS AGREEMENT</w:t>
      </w:r>
    </w:p>
    <w:p>
      <w:pPr>
        <w:spacing w:after="0" w:line="20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As a condition to the receipt of the Award granted pursuant to the Grant Notice to which this Confidentiality and Inventions Agreement is attached and in consideration of the Participant’s continued employment with the Company, the Participant hereby confirms the Participant’s agreement as follows:</w:t>
      </w:r>
    </w:p>
    <w:p>
      <w:pPr>
        <w:spacing w:after="0" w:line="168" w:lineRule="exact"/>
        <w:rPr>
          <w:sz w:val="20"/>
          <w:szCs w:val="20"/>
          <w:color w:val="auto"/>
        </w:rPr>
      </w:pPr>
    </w:p>
    <w:p>
      <w:pPr>
        <w:ind w:left="520" w:hanging="512"/>
        <w:spacing w:after="0"/>
        <w:tabs>
          <w:tab w:leader="none" w:pos="520" w:val="left"/>
        </w:tabs>
        <w:numPr>
          <w:ilvl w:val="0"/>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w:t>
      </w:r>
    </w:p>
    <w:p>
      <w:pPr>
        <w:spacing w:after="0" w:line="20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0"/>
          <w:szCs w:val="20"/>
          <w:color w:val="auto"/>
        </w:rPr>
        <w:t>The Participant’s employment by the Company is in a capacity in which he or she may have access to, or contribute to the production of, Confidential Information and the Company Work Product (both as defined below). The Participant’s employment creates a relationship of confidence and trust between the Company and the Participant with respect to the Confidential Information and the Company Work Product as set forth herein. This Confidentiality and Inventions Agreement are subject to the terms of the Standard Terms and Conditions attached as Exhibit A to the Grant Notice to which this Confidentiality and Inventions Agreement is attached; provided however, that in the event of any conflict between the Standard Terms and Conditions and this Confidentiality and Inventions Agreement, this Confidentiality and Inventions Agreement shall control.</w:t>
      </w:r>
    </w:p>
    <w:p>
      <w:pPr>
        <w:spacing w:after="0" w:line="153" w:lineRule="exact"/>
        <w:rPr>
          <w:sz w:val="20"/>
          <w:szCs w:val="20"/>
          <w:color w:val="auto"/>
        </w:rPr>
      </w:pPr>
    </w:p>
    <w:p>
      <w:pPr>
        <w:ind w:left="520" w:hanging="512"/>
        <w:spacing w:after="0"/>
        <w:tabs>
          <w:tab w:leader="none" w:pos="520" w:val="left"/>
        </w:tabs>
        <w:numPr>
          <w:ilvl w:val="0"/>
          <w:numId w:val="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Capitalized terms not otherwise defined herein shall have the meaning set forth in the Petco Health and Wellness Company, Inc.</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2021 Equity Incentive Plan, as amended from time to time. For purposes of this Confidentiality and Inventions Agreement:</w:t>
      </w:r>
    </w:p>
    <w:p>
      <w:pPr>
        <w:spacing w:after="0" w:line="9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(q)“</w:t>
      </w:r>
      <w:r>
        <w:rPr>
          <w:rFonts w:ascii="Times New Roman" w:cs="Times New Roman" w:eastAsia="Times New Roman" w:hAnsi="Times New Roman"/>
          <w:sz w:val="20"/>
          <w:szCs w:val="20"/>
          <w:b w:val="1"/>
          <w:bCs w:val="1"/>
          <w:i w:val="1"/>
          <w:iCs w:val="1"/>
          <w:color w:val="auto"/>
        </w:rPr>
        <w:t>Confidential Information</w:t>
      </w:r>
      <w:r>
        <w:rPr>
          <w:rFonts w:ascii="Times New Roman" w:cs="Times New Roman" w:eastAsia="Times New Roman" w:hAnsi="Times New Roman"/>
          <w:sz w:val="20"/>
          <w:szCs w:val="20"/>
          <w:color w:val="auto"/>
        </w:rPr>
        <w:t>” shall mean information or material (i) that is proprietary to the Company or confidential to the Company, whether or not designated or labeled as such, and (ii) that the Participant creates, discovers or develops, or of which the Participant obtains knowledge of or access to, in the course of the Participant’s employment with the Company. Confidential Information may include, but is not limited to, designs, works of authorship, formulae, ideas, concepts, techniques, inventions, devices, improvements, know-how, methods, processes, drawings, specifications, models, data, diagrams, flow charts, research, procedures, computer programs, marketing techniques and materials, business, marketing, development and product plans, financial information, customer lists and contact information, personnel information, and other confidential business or technical information created on behalf of the Company or obtained as a result of or in the course of employment with the Company. For purposes of this Confidentiality and Inventions Agreement,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shall mean the Company or any of its Affiliates. To the extent that the participant can demonstrate by competent proof that one of the following exceptions applies, the Participant shall have no obligation under this Confidentiality and Inventions Agreement to maintain in confidence any: (I)</w:t>
      </w:r>
    </w:p>
    <w:p>
      <w:pPr>
        <w:spacing w:after="0" w:line="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INFORMATION THAT IS OR BECOMES GENERALLY PUBLICLY KNOWN OTHER THAN AS A RESULT OF THE PARTICIPANT’S DISCLOSURE IN VIOLATION OF THIS AGREEMENT, (II) INFORMATION THAT WAS KNOWN BY THE PARTICIPANT OR AVAILABLE TO THE PARTICIPANT WITHOUT RESTRICTION PRIOR TO DISCLOSURE TO THE PARTICIPANT BY THE COMPANY, (III) INFORMATION THAT BECOMES AVAILABLE TO THE PARTICIPANT ON A NON-CONFIDENTIAL BASIS FROM A THIRD PARTY</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B</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4"/>
          <w:szCs w:val="14"/>
          <w:color w:val="auto"/>
        </w:rPr>
        <w:t>onfidentiality and</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nventions</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462280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40" w:name="page41"/>
    <w:bookmarkEnd w:id="40"/>
    <w:p>
      <w:pPr>
        <w:spacing w:after="0" w:line="10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THAT IS NOT SUBJECT TO CONFIDENTIALITY OBLIGATIONS IN FAVOR, OR THAT INURE TO THE BENEFIT, OF THE COMPANY, AND (IV) INFORMATION THAT WAS DEVELOPED INDEPENDENTLY BY OR FOR THE PARTICIPANT WITHOUT REFERENCE TO THE CONFIDENTIAL INFORMATION, USE OF COMPANY RESOURCES OR BREACH OF THIS AGREEMENT, INCLUDING, WITHOUT LIMITATION, THE “PRE-EMPLOYMENT WORK PRODUCT” (AS DEFINED BELOW).</w:t>
      </w:r>
    </w:p>
    <w:p>
      <w:pPr>
        <w:spacing w:after="0" w:line="174" w:lineRule="exact"/>
        <w:rPr>
          <w:sz w:val="20"/>
          <w:szCs w:val="20"/>
          <w:color w:val="auto"/>
        </w:rPr>
      </w:pPr>
    </w:p>
    <w:p>
      <w:pPr>
        <w:jc w:val="both"/>
        <w:ind w:firstLine="757"/>
        <w:spacing w:after="0" w:line="265" w:lineRule="auto"/>
        <w:tabs>
          <w:tab w:leader="none" w:pos="1018"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Work Product</w:t>
      </w:r>
      <w:r>
        <w:rPr>
          <w:rFonts w:ascii="Times New Roman" w:cs="Times New Roman" w:eastAsia="Times New Roman" w:hAnsi="Times New Roman"/>
          <w:sz w:val="20"/>
          <w:szCs w:val="20"/>
          <w:color w:val="auto"/>
        </w:rPr>
        <w:t>” shall mean inventions, data, ideas, designs, drawings, works of authorship, trademarks, service marks, trade names, service names, logos, developments, formulae, concepts, techniques, devices, improvements, know-how, methods, processes, programs and discoveries, whether or not patentable or protectable under applicable copyright or trademark law, or under other similar law, and whether or not reduced to practice or tangible form, together with any improvements thereon or thereto, derivative works therefrom, and intellectual property rights therein created on behalf of the Company as part of the obligation of employment in performing work for the Company or otherwise in the course of employment with the Company.</w:t>
      </w:r>
    </w:p>
    <w:p>
      <w:pPr>
        <w:spacing w:after="0" w:line="150" w:lineRule="exact"/>
        <w:rPr>
          <w:rFonts w:ascii="Times New Roman" w:cs="Times New Roman" w:eastAsia="Times New Roman" w:hAnsi="Times New Roman"/>
          <w:sz w:val="20"/>
          <w:szCs w:val="20"/>
          <w:color w:val="auto"/>
        </w:rPr>
      </w:pPr>
    </w:p>
    <w:p>
      <w:pPr>
        <w:ind w:left="520" w:hanging="512"/>
        <w:spacing w:after="0"/>
        <w:tabs>
          <w:tab w:leader="none" w:pos="520" w:val="left"/>
        </w:tabs>
        <w:numPr>
          <w:ilvl w:val="0"/>
          <w:numId w:val="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CONFIDENTIALITY</w:t>
      </w:r>
    </w:p>
    <w:p>
      <w:pPr>
        <w:spacing w:after="0" w:line="115" w:lineRule="exact"/>
        <w:rPr>
          <w:rFonts w:ascii="Times New Roman" w:cs="Times New Roman" w:eastAsia="Times New Roman" w:hAnsi="Times New Roman"/>
          <w:sz w:val="22"/>
          <w:szCs w:val="22"/>
          <w:b w:val="1"/>
          <w:bCs w:val="1"/>
          <w:color w:val="auto"/>
        </w:rPr>
      </w:pPr>
    </w:p>
    <w:p>
      <w:pPr>
        <w:jc w:val="both"/>
        <w:ind w:firstLine="757"/>
        <w:spacing w:after="0" w:line="233" w:lineRule="auto"/>
        <w:tabs>
          <w:tab w:leader="none" w:pos="1018"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of the Participant’s employment by the Company and at all times thereafter, The Participant will keep in strict confidence and trust all Confidential Information, and the Participant will not, directly or indirectly, disclose, distribute, sell, transfer, use, lecture upon or publish any Confidential Information, except as may be necessary in the course of performing the Participant’s duties as an employee of the Company or as the Company authorizes or permits. Notwithstanding the foregoing, the Participant shall be entitled to continue to use Confidential Information of the Company transferred to a purchaser (“</w:t>
      </w:r>
      <w:r>
        <w:rPr>
          <w:rFonts w:ascii="Times New Roman" w:cs="Times New Roman" w:eastAsia="Times New Roman" w:hAnsi="Times New Roman"/>
          <w:sz w:val="22"/>
          <w:szCs w:val="22"/>
          <w:b w:val="1"/>
          <w:bCs w:val="1"/>
          <w:i w:val="1"/>
          <w:iCs w:val="1"/>
          <w:color w:val="auto"/>
        </w:rPr>
        <w:t>Purchaser</w:t>
      </w:r>
      <w:r>
        <w:rPr>
          <w:rFonts w:ascii="Times New Roman" w:cs="Times New Roman" w:eastAsia="Times New Roman" w:hAnsi="Times New Roman"/>
          <w:sz w:val="22"/>
          <w:szCs w:val="22"/>
          <w:color w:val="auto"/>
        </w:rPr>
        <w:t>”) of all or substantially all of the assets of a business (“</w:t>
      </w:r>
      <w:r>
        <w:rPr>
          <w:rFonts w:ascii="Times New Roman" w:cs="Times New Roman" w:eastAsia="Times New Roman" w:hAnsi="Times New Roman"/>
          <w:sz w:val="22"/>
          <w:szCs w:val="22"/>
          <w:b w:val="1"/>
          <w:bCs w:val="1"/>
          <w:i w:val="1"/>
          <w:iCs w:val="1"/>
          <w:color w:val="auto"/>
        </w:rPr>
        <w:t>Business</w:t>
      </w:r>
      <w:r>
        <w:rPr>
          <w:rFonts w:ascii="Times New Roman" w:cs="Times New Roman" w:eastAsia="Times New Roman" w:hAnsi="Times New Roman"/>
          <w:sz w:val="22"/>
          <w:szCs w:val="22"/>
          <w:color w:val="auto"/>
        </w:rPr>
        <w:t>”) of Company (an “</w:t>
      </w:r>
      <w:r>
        <w:rPr>
          <w:rFonts w:ascii="Times New Roman" w:cs="Times New Roman" w:eastAsia="Times New Roman" w:hAnsi="Times New Roman"/>
          <w:sz w:val="22"/>
          <w:szCs w:val="22"/>
          <w:b w:val="1"/>
          <w:bCs w:val="1"/>
          <w:i w:val="1"/>
          <w:iCs w:val="1"/>
          <w:color w:val="auto"/>
        </w:rPr>
        <w:t>Acquisition</w:t>
      </w:r>
      <w:r>
        <w:rPr>
          <w:rFonts w:ascii="Times New Roman" w:cs="Times New Roman" w:eastAsia="Times New Roman" w:hAnsi="Times New Roman"/>
          <w:sz w:val="22"/>
          <w:szCs w:val="22"/>
          <w:color w:val="auto"/>
        </w:rPr>
        <w:t>”) solely to the extent that the Participant becomes an employee of such Purchaser or Purchaser’s designated affiliate upon consummation of the Acquisition and such Confidential Information is used in the Business prior to consummation of the Acquisition. The Participant acknowledges and agrees that, upon consummation of the Acquisition, the Confidential Information shall be deemed the Confidential Information of the Purchaser and subject to the Participant’s applicable employment, confidentiality and inventions assignment agreement with such Purchaser.</w:t>
      </w:r>
    </w:p>
    <w:p>
      <w:pPr>
        <w:spacing w:after="0" w:line="184" w:lineRule="exact"/>
        <w:rPr>
          <w:rFonts w:ascii="Times New Roman" w:cs="Times New Roman" w:eastAsia="Times New Roman" w:hAnsi="Times New Roman"/>
          <w:sz w:val="22"/>
          <w:szCs w:val="22"/>
          <w:color w:val="auto"/>
        </w:rPr>
      </w:pPr>
    </w:p>
    <w:p>
      <w:pPr>
        <w:jc w:val="both"/>
        <w:ind w:firstLine="757"/>
        <w:spacing w:after="0" w:line="235" w:lineRule="auto"/>
        <w:tabs>
          <w:tab w:leader="none" w:pos="1018"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recognizes that the Company has received and in the future will receive information from third parties which is subject to an obligation on the Company’s part to maintain the confidentiality of such information and to use it only for certain limited purposes. The Participant agrees, during the term of the Participant’s employment and thereafter, to hold all such confidential or proprietary information of third parties in the strictest confidence and not to disclose or use it, except as necessary in performing the Participant’s duties as an employee of the Company consistent with the Company’s agreement with such third party. The Participant agrees that such information will be subject to the terms of this Confidentiality and Inventions Agreement as Confidential Information.</w:t>
      </w:r>
    </w:p>
    <w:p>
      <w:pPr>
        <w:spacing w:after="0" w:line="180" w:lineRule="exact"/>
        <w:rPr>
          <w:rFonts w:ascii="Times New Roman" w:cs="Times New Roman" w:eastAsia="Times New Roman" w:hAnsi="Times New Roman"/>
          <w:sz w:val="22"/>
          <w:szCs w:val="22"/>
          <w:color w:val="auto"/>
        </w:rPr>
      </w:pPr>
    </w:p>
    <w:p>
      <w:pPr>
        <w:jc w:val="both"/>
        <w:ind w:firstLine="757"/>
        <w:spacing w:after="0" w:line="280" w:lineRule="auto"/>
        <w:tabs>
          <w:tab w:leader="none" w:pos="1018"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Protected Disclosures</w:t>
      </w:r>
      <w:r>
        <w:rPr>
          <w:rFonts w:ascii="Times New Roman" w:cs="Times New Roman" w:eastAsia="Times New Roman" w:hAnsi="Times New Roman"/>
          <w:sz w:val="20"/>
          <w:szCs w:val="20"/>
          <w:color w:val="auto"/>
        </w:rPr>
        <w:t>. 18 U.S.C. § 1833(b) provides: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0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investigating a suspected violation of law; or (B) is made in a complaint or other document filed in a lawsuit or other proceeding, if such filing is made under seal.” Nothing in this Agreement is intended to conflict with 18 U.S.C. § 1833(b) or create liability for disclosures of trade secrets that are expressly allowed by 18 U.S.C. § 1833(b). Accordingly, the parties to this Agreement have the right to disclose in confidence trade secrets to federal, state, and local government officials, or to an attorney, for the sole purpose of reporting or investigating a suspected violation of law. The parties also have the right to disclose trade secrets in a document filed in a lawsuit or other proceeding, but only if the filing is made under seal and protected from public disclosure. Nothing in this Confidentiality and Inventions Agreement prevents the Participant from discussing or disclosing information about unlawful acts in the workplace, such as harassment or discrimination or any other conduct that the Participant has reason to believe is unlawful. Furthermore, and for the avoidance of doubt, nothing in this Confidentiality and Inventions Agreement limits or restricts the Participant’s ability to communicate with the Securities and Exchange Commission or any other federal, state or local governmental agency or commission (each a “</w:t>
      </w:r>
      <w:r>
        <w:rPr>
          <w:rFonts w:ascii="Times New Roman" w:cs="Times New Roman" w:eastAsia="Times New Roman" w:hAnsi="Times New Roman"/>
          <w:sz w:val="22"/>
          <w:szCs w:val="22"/>
          <w:b w:val="1"/>
          <w:bCs w:val="1"/>
          <w:i w:val="1"/>
          <w:iCs w:val="1"/>
          <w:color w:val="auto"/>
        </w:rPr>
        <w:t>Government Agency</w:t>
      </w:r>
      <w:r>
        <w:rPr>
          <w:rFonts w:ascii="Times New Roman" w:cs="Times New Roman" w:eastAsia="Times New Roman" w:hAnsi="Times New Roman"/>
          <w:sz w:val="22"/>
          <w:szCs w:val="22"/>
          <w:color w:val="auto"/>
        </w:rPr>
        <w:t>”) or otherwise participate in any investigation or proceeding that may be conducted by any Government Agency, including providing documents or other information and reporting possible violations of law or regulation or other disclosures protected under the whistleblower provisions of applicable law or regulation, without notice to the Company.</w:t>
      </w:r>
    </w:p>
    <w:p>
      <w:pPr>
        <w:spacing w:after="0" w:line="186" w:lineRule="exact"/>
        <w:rPr>
          <w:sz w:val="20"/>
          <w:szCs w:val="20"/>
          <w:color w:val="auto"/>
        </w:rPr>
      </w:pPr>
    </w:p>
    <w:p>
      <w:pPr>
        <w:ind w:left="520" w:hanging="512"/>
        <w:spacing w:after="0"/>
        <w:tabs>
          <w:tab w:leader="none" w:pos="520" w:val="left"/>
        </w:tabs>
        <w:numPr>
          <w:ilvl w:val="0"/>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COMPANY PROPERTY</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All apparatus, computers, computer files and media, notes, data, documents, reference materials, sketches, memoranda, records, drawings, engineering log books, equipment, lab/inventor notebooks, programs, prototypes, samples, equipment, tangible embodiments of information, and other physical property, whether or not pertaining to Confidential Information, furnished to the Participant or produced by the Participant or others in connection with the Participant’s employment, shall be and remain the sole property of the Company and any such property actually in the Participant’s possession or control shall be returned promptly to the Company as and when requested in writing by the Company. Should the Company not so request, the Participant shall return and deliver all such property to the Company upon termination of the Participant’s employment. The Participant may not retain any such property or any reproduction of such property upon such termination. The Participant further agrees that any property situated on the Company’s premises and owned, leased, maintained or otherwise contracted for by the Company, including, but not limited to, computers, computer files, e-mail, voicemail, disks and other electronic storage media, filing cabinets, desks or other work areas, are subject to inspection by the Company’s representatives at any time with or without notice.</w:t>
      </w:r>
    </w:p>
    <w:p>
      <w:pPr>
        <w:spacing w:after="0" w:line="162" w:lineRule="exact"/>
        <w:rPr>
          <w:sz w:val="20"/>
          <w:szCs w:val="20"/>
          <w:color w:val="auto"/>
        </w:rPr>
      </w:pPr>
    </w:p>
    <w:p>
      <w:pPr>
        <w:ind w:left="520" w:hanging="512"/>
        <w:spacing w:after="0"/>
        <w:tabs>
          <w:tab w:leader="none" w:pos="520" w:val="left"/>
        </w:tabs>
        <w:numPr>
          <w:ilvl w:val="0"/>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COMPANY WORK PRODUCT</w:t>
      </w:r>
    </w:p>
    <w:p>
      <w:pPr>
        <w:spacing w:after="0" w:line="20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Subject to Section 6 and 7 below, the Participant agrees that any Work Product, in whole or in part, conceived, developed, made or reduced to practice by the Participant (either solely or in conjunction with others) during the term of his or her employment with the Company (collectively, the “</w:t>
      </w:r>
      <w:r>
        <w:rPr>
          <w:rFonts w:ascii="Times New Roman" w:cs="Times New Roman" w:eastAsia="Times New Roman" w:hAnsi="Times New Roman"/>
          <w:sz w:val="22"/>
          <w:szCs w:val="22"/>
          <w:b w:val="1"/>
          <w:bCs w:val="1"/>
          <w:i w:val="1"/>
          <w:iCs w:val="1"/>
          <w:color w:val="auto"/>
        </w:rPr>
        <w:t>Company Work Product</w:t>
      </w:r>
      <w:r>
        <w:rPr>
          <w:rFonts w:ascii="Times New Roman" w:cs="Times New Roman" w:eastAsia="Times New Roman" w:hAnsi="Times New Roman"/>
          <w:sz w:val="22"/>
          <w:szCs w:val="22"/>
          <w:color w:val="auto"/>
        </w:rPr>
        <w:t>”) shall be owned exclusively by the Company (or, to the extent applicable, a Purchaser pursuant to an Acquisition). Without limiting the foregoing, the Participant agrees that any of the Company Work Product shall be deemed to be “works made for hire” as defined in U.S. Copyright Act §101, and all right, title, and interest therein shall vest solely in the Company from conception. The Participant hereby irrevocably assigns and transfers, and agrees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to assign and transfer in the future on the Company’s request, to the Company all right, title and interest in and to any Company Work Product, including, but not limited to, patents, copyrights and other intellectual property rights therein. The Participant shall treat any such Company Work Product as Confidential Information. The Participant will execute all applications, assignments, instruments and other documents and perform all acts consistent herewith as the Company or its counsel may deem necessary or desirable to obtain, perfect or enforce any patents, copyright registrations or other protections on such Company Work Product and to otherwise protect the interests of the Company therein. The Participant’s obligation to reasonably assist the Company in obtaining and enforcing the intellectual property and other rights in the Company Work Product in any and all jurisdictions shall continue beyond the termination of the Participant’s employment. The Participant acknowledges that the Company may need to secure the Participant’s signature for lawful and necessary documents required to apply for, maintain or enforce intellectual property and other rights with respect to the Company Work Product (including, but not limited to, renewals, extensions, continuations, divisions or continuations in part of patent applications). The Participant hereby irrevocably designates and appoints the Company and its duly authorized officers and agents, as the Participant’s agents and attorneys-in-fact, to act for and on the Participant’s behalf and instead of the Participant, to execute and file any such document(s) and to do all other lawfully permitted acts to further the prosecution, issuance and enforcement of patents, copyright registrations and other protections on the Company Work Product with the same legal force and effect as if executed by the Participant. The Participant further hereby waives and relinquishes any and all moral rights that the Participant may have in the Company Work Product.</w:t>
      </w:r>
    </w:p>
    <w:p>
      <w:pPr>
        <w:spacing w:after="0" w:line="200" w:lineRule="exact"/>
        <w:rPr>
          <w:sz w:val="20"/>
          <w:szCs w:val="20"/>
          <w:color w:val="auto"/>
        </w:rPr>
      </w:pPr>
    </w:p>
    <w:p>
      <w:pPr>
        <w:spacing w:after="0" w:line="201" w:lineRule="exact"/>
        <w:rPr>
          <w:sz w:val="20"/>
          <w:szCs w:val="20"/>
          <w:color w:val="auto"/>
        </w:rPr>
      </w:pPr>
    </w:p>
    <w:p>
      <w:pPr>
        <w:ind w:left="520" w:hanging="512"/>
        <w:spacing w:after="0"/>
        <w:tabs>
          <w:tab w:leader="none" w:pos="520"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EXCEPTION TO ASSIGNMENTS</w:t>
      </w:r>
    </w:p>
    <w:p>
      <w:pPr>
        <w:spacing w:after="0" w:line="20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Pursuant to Section 2870 of the California Labor Code, the requirements set forth in Section 5 of this Agreement shall not apply to an invention that the Participant develops entirely on his or her own time without using the Company’s equipment, supplies, facilities, or trade secret information except for those inventions that either: (i) relate at the time of conception or reduction to practice of the invention to the Company’s business, or actual or demonstrably anticipated research or development of the Company; or (ii) result from any work performed by the Participant for the Company.</w:t>
      </w:r>
    </w:p>
    <w:p>
      <w:pPr>
        <w:spacing w:after="0" w:line="176" w:lineRule="exact"/>
        <w:rPr>
          <w:sz w:val="20"/>
          <w:szCs w:val="20"/>
          <w:color w:val="auto"/>
        </w:rPr>
      </w:pPr>
    </w:p>
    <w:p>
      <w:pPr>
        <w:ind w:left="520" w:hanging="512"/>
        <w:spacing w:after="0"/>
        <w:tabs>
          <w:tab w:leader="none" w:pos="520" w:val="left"/>
        </w:tabs>
        <w:numPr>
          <w:ilvl w:val="0"/>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PRE-EMPLOYMENT WORK PRODUCT</w:t>
      </w:r>
    </w:p>
    <w:p>
      <w:pPr>
        <w:spacing w:after="0" w:line="1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(v)Work Product includes only things done for the Company in performing work for the Company.</w:t>
      </w:r>
    </w:p>
    <w:p>
      <w:pPr>
        <w:spacing w:after="0" w:line="205"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(w)The Participant acknowledges that the Company has a strict policy against using proprietary information belonging to any other person or entity without the express permission of the owner of that information. The Participant represents and warrants that the Participant’s performance of all of the terms of this Confidentiality and Inventions Agreement and as an employee of the Company does not and will not result in a breach of any duty owed by the Participant to a third party to keep in confidence any information, knowledge or data. The Participant has not brought or used, and will not bring to the Company, or use, induce the Company to use, or disclose in the performance of the Participant’s duties, nor has the Participant used or disclosed in the performance of any services for the Company prior to the effective date of the Participant’s employment with the Company (if any), any equipment, supplies, facility, electronic</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0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media, software, trade secret or other information or property of any former employer or any other person or entity, unless the Participant has obtained their written authorization for its possession and use.</w:t>
      </w:r>
    </w:p>
    <w:p>
      <w:pPr>
        <w:spacing w:after="0" w:line="153" w:lineRule="exact"/>
        <w:rPr>
          <w:sz w:val="20"/>
          <w:szCs w:val="20"/>
          <w:color w:val="auto"/>
        </w:rPr>
      </w:pPr>
    </w:p>
    <w:p>
      <w:pPr>
        <w:ind w:left="520" w:hanging="512"/>
        <w:spacing w:after="0"/>
        <w:tabs>
          <w:tab w:leader="none" w:pos="520" w:val="left"/>
        </w:tabs>
        <w:numPr>
          <w:ilvl w:val="0"/>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RECORDS</w:t>
      </w:r>
    </w:p>
    <w:p>
      <w:pPr>
        <w:spacing w:after="0" w:line="20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Participant agrees that he or he or she will keep and maintain adequate and current written records (in the form of notes, sketches, drawings or such other form(s) as may be specified by the Company) of all the Company Work Product made by the Participant during the term of his or his or her employment with the Company, which records shall be available at all times to the Company and shall remain the sole property of the Company.</w:t>
      </w:r>
    </w:p>
    <w:p>
      <w:pPr>
        <w:spacing w:after="0" w:line="175" w:lineRule="exact"/>
        <w:rPr>
          <w:sz w:val="20"/>
          <w:szCs w:val="20"/>
          <w:color w:val="auto"/>
        </w:rPr>
      </w:pPr>
    </w:p>
    <w:p>
      <w:pPr>
        <w:ind w:left="520" w:hanging="512"/>
        <w:spacing w:after="0"/>
        <w:tabs>
          <w:tab w:leader="none" w:pos="520" w:val="left"/>
        </w:tabs>
        <w:numPr>
          <w:ilvl w:val="0"/>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PRESUMPTION</w:t>
      </w:r>
    </w:p>
    <w:p>
      <w:pPr>
        <w:spacing w:after="0" w:line="20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If any application for any United States or foreign patent related to or useful in the business of the Company or any customer of the Company shall be filed by or for the Participant during the period of one year after the Participant’s employment is terminated, the subject matter covered by such application shall be presumed to have been conceived during the Participant’s employment with the Company.</w:t>
      </w:r>
    </w:p>
    <w:p>
      <w:pPr>
        <w:spacing w:after="0" w:line="175" w:lineRule="exact"/>
        <w:rPr>
          <w:sz w:val="20"/>
          <w:szCs w:val="20"/>
          <w:color w:val="auto"/>
        </w:rPr>
      </w:pPr>
    </w:p>
    <w:p>
      <w:pPr>
        <w:ind w:left="520" w:hanging="512"/>
        <w:spacing w:after="0"/>
        <w:tabs>
          <w:tab w:leader="none" w:pos="520" w:val="left"/>
        </w:tabs>
        <w:numPr>
          <w:ilvl w:val="0"/>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AGREEMENTS WITH THIRD PARTIES OR THE U.S. GOVERNMENT.</w:t>
      </w:r>
    </w:p>
    <w:p>
      <w:pPr>
        <w:spacing w:after="0" w:line="20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The Participant acknowledges that the Company from time to time may have agreements with other persons or entities, or with the U.S. Government or agencies thereof, which impose obligations or restrictions on the Company regarding inventions made during the course of work thereunder or regarding the confidential nature of such work. The Participant agrees to be bound by all such obligations and restrictions of which the Participant has been made aware of by the Company and to take all action necessary to discharge the obligations of the Company thereunder.</w:t>
      </w:r>
    </w:p>
    <w:p>
      <w:pPr>
        <w:spacing w:after="0" w:line="176" w:lineRule="exact"/>
        <w:rPr>
          <w:sz w:val="20"/>
          <w:szCs w:val="20"/>
          <w:color w:val="auto"/>
        </w:rPr>
      </w:pPr>
    </w:p>
    <w:p>
      <w:pPr>
        <w:ind w:left="520" w:hanging="512"/>
        <w:spacing w:after="0"/>
        <w:tabs>
          <w:tab w:leader="none" w:pos="520" w:val="left"/>
        </w:tabs>
        <w:numPr>
          <w:ilvl w:val="0"/>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INJUNCTIVE RELIEF</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Because of the unique nature of the Confidential Information and the Company Work Product, the Participant understands and agrees that the Company may suffer immediate and irreparable harm if the Participant fails to comply with any of his or her obligations under this Confidentiality and Inventions Agreement and that monetary damages may be inadequate to compensate the Company for such breach. Accordingly, the Participant agrees that in the event of a breach or threatened breach of this Confidentiality and Inventions Agreement, in addition to any other remedies available to it at law or in equity, the Company will be entitled, without posting bond or other security, to seek injunctive relief to enforce the terms of this Confidentiality and Inventions Agreement, including, but not limited to, restraining the Participant from violating this Confidentiality and Inventions Agreement or compelling the Participant to cease and desist all unauthorized use and disclosure of the Confidential Information and the Company Work Product. The Participant will indemnify the Company against any costs, including, but not limited to, reasonable outside legal fees and costs, incurred in obtaining relief against the Participant’s breach of this Confidentiality and Inventions Agreement. Nothing in this Section 11 shall be construed as prohibiting the Company from pursuing any other remedies available to it for such breach or threatened breach, including, but not limited to, recovery of damages.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79" w:lineRule="exact"/>
        <w:rPr>
          <w:sz w:val="20"/>
          <w:szCs w:val="20"/>
          <w:color w:val="auto"/>
        </w:rPr>
      </w:pPr>
    </w:p>
    <w:p>
      <w:pPr>
        <w:ind w:left="520" w:hanging="512"/>
        <w:spacing w:after="0"/>
        <w:tabs>
          <w:tab w:leader="none" w:pos="520"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DISCLOSURE OF OBLIGATIONS</w:t>
      </w:r>
    </w:p>
    <w:p>
      <w:pPr>
        <w:spacing w:after="0" w:line="209"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22"/>
          <w:szCs w:val="22"/>
          <w:color w:val="auto"/>
        </w:rPr>
        <w:t>The Participant is hereby permitted and the Participant authorizes the Company to provide a copy of this Confidentiality and Inventions Agreement and any exhibits hereto to any of the Participant’s future employers, and to notify any such future employers of the Participant’s obligations and the Company’s rights hereunder, provided that neither party is under any obligation to do so.</w:t>
      </w:r>
    </w:p>
    <w:p>
      <w:pPr>
        <w:spacing w:after="0" w:line="175" w:lineRule="exact"/>
        <w:rPr>
          <w:sz w:val="20"/>
          <w:szCs w:val="20"/>
          <w:color w:val="auto"/>
        </w:rPr>
      </w:pPr>
    </w:p>
    <w:p>
      <w:pPr>
        <w:ind w:left="520" w:hanging="512"/>
        <w:spacing w:after="0"/>
        <w:tabs>
          <w:tab w:leader="none" w:pos="520" w:val="left"/>
        </w:tabs>
        <w:numPr>
          <w:ilvl w:val="0"/>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JURISDICTION AND VENUE</w:t>
      </w:r>
    </w:p>
    <w:p>
      <w:pPr>
        <w:spacing w:after="0" w:line="20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This Confidentiality and Inventions Agreement will be governed by the laws of the State of California without regard to any conflicts-of-law rules. To the extent that any lawsuit is permitted under this Confidentiality and Inventions Agreement, the Participant hereby expressly consents to the personal and exclusive jurisdiction and venue of the state and federal courts located in San Diego, California for any lawsuit filed against the Participant by the Company. Nothing herein shall limit the right of the Company to seek and obtain injunctive relief in any jurisdiction for violation of the portions of this Confidentiality and Inventions Agreement dealing with protection of Confidential Information or the Company Work Product.</w:t>
      </w:r>
    </w:p>
    <w:p>
      <w:pPr>
        <w:spacing w:after="0" w:line="175" w:lineRule="exact"/>
        <w:rPr>
          <w:sz w:val="20"/>
          <w:szCs w:val="20"/>
          <w:color w:val="auto"/>
        </w:rPr>
      </w:pPr>
    </w:p>
    <w:p>
      <w:pPr>
        <w:ind w:left="520" w:hanging="512"/>
        <w:spacing w:after="0"/>
        <w:tabs>
          <w:tab w:leader="none" w:pos="520" w:val="left"/>
        </w:tabs>
        <w:numPr>
          <w:ilvl w:val="0"/>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ASSIGNMENT; INUREMENT</w:t>
      </w:r>
    </w:p>
    <w:p>
      <w:pPr>
        <w:spacing w:after="0" w:line="20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Neither this Confidentiality and Inventions Agreement nor any duties or obligations under this Confidentiality and Inventions Agreement may be assigned by the Participant without the prior written consent of the Company. The Participant understands and agrees that the Company may freely assign this Confidentiality and Inventions Agreement. This Agreement shall inure to the benefit of, and shall be binding upon, the permitted assigns, successors in interest (including any Purchaser upon consummation of an Acquisition), personal representatives, estates, heirs, and legatees of each of the parties hereto. Any assignment in violation of this Section 14 shall be null and void.</w:t>
      </w:r>
    </w:p>
    <w:p>
      <w:pPr>
        <w:spacing w:after="0" w:line="175" w:lineRule="exact"/>
        <w:rPr>
          <w:sz w:val="20"/>
          <w:szCs w:val="20"/>
          <w:color w:val="auto"/>
        </w:rPr>
      </w:pPr>
    </w:p>
    <w:p>
      <w:pPr>
        <w:ind w:left="520" w:hanging="512"/>
        <w:spacing w:after="0"/>
        <w:tabs>
          <w:tab w:leader="none" w:pos="520" w:val="left"/>
        </w:tabs>
        <w:numPr>
          <w:ilvl w:val="0"/>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SURVIVORSHIP</w:t>
      </w:r>
    </w:p>
    <w:p>
      <w:pPr>
        <w:spacing w:after="0" w:line="20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rights and obligations of the parties to this Confidentiality and Inventions Agreement will survive termination of my employment with the Company.</w:t>
      </w:r>
    </w:p>
    <w:p>
      <w:pPr>
        <w:spacing w:after="0" w:line="153" w:lineRule="exact"/>
        <w:rPr>
          <w:sz w:val="20"/>
          <w:szCs w:val="20"/>
          <w:color w:val="auto"/>
        </w:rPr>
      </w:pPr>
    </w:p>
    <w:p>
      <w:pPr>
        <w:ind w:left="520" w:hanging="512"/>
        <w:spacing w:after="0"/>
        <w:tabs>
          <w:tab w:leader="none" w:pos="520" w:val="left"/>
        </w:tabs>
        <w:numPr>
          <w:ilvl w:val="0"/>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w:t>
      </w:r>
    </w:p>
    <w:p>
      <w:pPr>
        <w:spacing w:after="0" w:line="20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In the event that any provision hereof or any obligation or grant of rights by the Participant hereunder is found invalid or unenforceable pursuant to judicial decree or decision, any such provision, obligation or grant of rights shall be deemed and construed to extend only to the maximum permitted by law, the invalid or unenforceable portions shall be severed, and the remainder of this Confidentiality and Inventions Agreement shall remain valid and enforceable according to its terms. This Confidentiality and Inventions Agreement may not be amended, waived or modified, except by an instrument in writing executed by the Participant and a duly authorized representative of the Company.</w:t>
      </w:r>
    </w:p>
    <w:p>
      <w:pPr>
        <w:spacing w:after="0" w:line="175" w:lineRule="exact"/>
        <w:rPr>
          <w:sz w:val="20"/>
          <w:szCs w:val="20"/>
          <w:color w:val="auto"/>
        </w:rPr>
      </w:pPr>
    </w:p>
    <w:p>
      <w:pPr>
        <w:ind w:left="520" w:hanging="512"/>
        <w:spacing w:after="0"/>
        <w:tabs>
          <w:tab w:leader="none" w:pos="520" w:val="left"/>
        </w:tabs>
        <w:numPr>
          <w:ilvl w:val="0"/>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ACKNOWLEDGMENT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EMPLOYEE ACKNOWLEDGES THAT, IN EXECUTING THE GRANT NOTICE TO WHICH</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0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THIS CONFIDENTIALITY AND INVENTIONS AGREEMENT IS ATTACHED, EMPLOYEE HAS HAD THE OPPORTUNITY TO SEEK THE ADVICE OF INDEPENDENT LEGAL COUNSEL, AND EMPLOYEE HAS READ AND UNDERSTOOD ALL OF THE TERMS AND PROVISIONS OF THIS CONFIDENTIALITY AND INVENTIONS AGREEMENT. THIS CONFIDENTIALITY AND INVENTIONS AGREEMENT SHALL NOT BE CONSTRUED AGAINST ANY PARTY BY REASON OF THE DRAFTING OR PREPARATION HEREOF.</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C</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PERFORMANCE GOALS AND SERVICE REQUIREMENT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w:t>
      </w:r>
      <w:r>
        <w:rPr>
          <w:rFonts w:ascii="Times New Roman" w:cs="Times New Roman" w:eastAsia="Times New Roman" w:hAnsi="Times New Roman"/>
          <w:sz w:val="14"/>
          <w:szCs w:val="14"/>
          <w:color w:val="auto"/>
        </w:rPr>
        <w:t>erformance</w:t>
      </w:r>
      <w:r>
        <w:rPr>
          <w:rFonts w:ascii="Times New Roman" w:cs="Times New Roman" w:eastAsia="Times New Roman" w:hAnsi="Times New Roman"/>
          <w:sz w:val="22"/>
          <w:szCs w:val="22"/>
          <w:color w:val="auto"/>
        </w:rPr>
        <w:t xml:space="preserve"> G</w:t>
      </w:r>
      <w:r>
        <w:rPr>
          <w:rFonts w:ascii="Times New Roman" w:cs="Times New Roman" w:eastAsia="Times New Roman" w:hAnsi="Times New Roman"/>
          <w:sz w:val="14"/>
          <w:szCs w:val="14"/>
          <w:color w:val="auto"/>
        </w:rPr>
        <w:t>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462280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7" w:name="page48"/>
    <w:bookmarkEnd w:id="47"/>
    <w:p>
      <w:pPr>
        <w:ind w:left="6440"/>
        <w:spacing w:after="0"/>
        <w:tabs>
          <w:tab w:leader="none" w:pos="9440" w:val="left"/>
        </w:tabs>
        <w:rPr>
          <w:sz w:val="20"/>
          <w:szCs w:val="20"/>
          <w:color w:val="auto"/>
        </w:rPr>
      </w:pPr>
      <w:r>
        <w:rPr>
          <w:rFonts w:ascii="Times New Roman" w:cs="Times New Roman" w:eastAsia="Times New Roman" w:hAnsi="Times New Roman"/>
          <w:sz w:val="22"/>
          <w:szCs w:val="22"/>
          <w:b w:val="1"/>
          <w:bCs w:val="1"/>
          <w:color w:val="auto"/>
        </w:rPr>
        <w:t>INTERIM CEO FORM</w:t>
      </w:r>
      <w:r>
        <w:rPr>
          <w:sz w:val="20"/>
          <w:szCs w:val="20"/>
          <w:color w:val="auto"/>
        </w:rPr>
        <w:tab/>
      </w:r>
      <w:r>
        <w:rPr>
          <w:rFonts w:ascii="Times New Roman" w:cs="Times New Roman" w:eastAsia="Times New Roman" w:hAnsi="Times New Roman"/>
          <w:sz w:val="20"/>
          <w:szCs w:val="20"/>
          <w:b w:val="1"/>
          <w:bCs w:val="1"/>
          <w:color w:val="auto"/>
        </w:rPr>
        <w:t>EXHIBIT 10.3</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PETCO HEALTH AND WELLNESS COMPANY,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2021 EQUITY INCENTIVE PLAN</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GRANT NOTICE FOR</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AWARD</w:t>
      </w:r>
    </w:p>
    <w:p>
      <w:pPr>
        <w:spacing w:after="0" w:line="21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FOR GOOD AND VALUABLE CONSIDERATION, Petco Health and Wellness Company,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hereby grants to the Participant named below the number of Restricted Stock Units (the “</w:t>
      </w:r>
      <w:r>
        <w:rPr>
          <w:rFonts w:ascii="Times New Roman" w:cs="Times New Roman" w:eastAsia="Times New Roman" w:hAnsi="Times New Roman"/>
          <w:sz w:val="22"/>
          <w:szCs w:val="22"/>
          <w:b w:val="1"/>
          <w:bCs w:val="1"/>
          <w:i w:val="1"/>
          <w:iCs w:val="1"/>
          <w:color w:val="auto"/>
        </w:rPr>
        <w:t>RSUs</w:t>
      </w:r>
      <w:r>
        <w:rPr>
          <w:rFonts w:ascii="Times New Roman" w:cs="Times New Roman" w:eastAsia="Times New Roman" w:hAnsi="Times New Roman"/>
          <w:sz w:val="22"/>
          <w:szCs w:val="22"/>
          <w:color w:val="auto"/>
        </w:rPr>
        <w:t>”) specified below (the “</w:t>
      </w:r>
      <w:r>
        <w:rPr>
          <w:rFonts w:ascii="Times New Roman" w:cs="Times New Roman" w:eastAsia="Times New Roman" w:hAnsi="Times New Roman"/>
          <w:sz w:val="22"/>
          <w:szCs w:val="22"/>
          <w:b w:val="1"/>
          <w:bCs w:val="1"/>
          <w:i w:val="1"/>
          <w:iCs w:val="1"/>
          <w:color w:val="auto"/>
        </w:rPr>
        <w:t>Award</w:t>
      </w:r>
      <w:r>
        <w:rPr>
          <w:rFonts w:ascii="Times New Roman" w:cs="Times New Roman" w:eastAsia="Times New Roman" w:hAnsi="Times New Roman"/>
          <w:sz w:val="22"/>
          <w:szCs w:val="22"/>
          <w:color w:val="auto"/>
        </w:rPr>
        <w:t>”) under the Petco Health and Wellness Company, Inc. 2021 Equity Incentive Plan (as amended from time to time,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Each RSU represents the right to receive one share of Common Stock, upon the terms and subject to the conditions set forth in this Grant Notice, the Plan and the Standard Terms and Conditions (the “</w:t>
      </w:r>
      <w:r>
        <w:rPr>
          <w:rFonts w:ascii="Times New Roman" w:cs="Times New Roman" w:eastAsia="Times New Roman" w:hAnsi="Times New Roman"/>
          <w:sz w:val="22"/>
          <w:szCs w:val="22"/>
          <w:b w:val="1"/>
          <w:bCs w:val="1"/>
          <w:i w:val="1"/>
          <w:iCs w:val="1"/>
          <w:color w:val="auto"/>
        </w:rPr>
        <w:t>Standard Terms and Conditions</w:t>
      </w:r>
      <w:r>
        <w:rPr>
          <w:rFonts w:ascii="Times New Roman" w:cs="Times New Roman" w:eastAsia="Times New Roman" w:hAnsi="Times New Roman"/>
          <w:sz w:val="22"/>
          <w:szCs w:val="22"/>
          <w:color w:val="auto"/>
        </w:rPr>
        <w:t xml:space="preserve">”) promulgated under such Plan and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the Confidentiality and Inventions Agreement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This Award is granted pursuant to the Plan and is subject to and qualified in its entirety by the Standard Terms and Conditions. Capitalized terms not otherwise defined herein shall have the meanings set forth in the Plan.</w:t>
      </w:r>
    </w:p>
    <w:p>
      <w:pPr>
        <w:spacing w:after="0" w:line="186" w:lineRule="exact"/>
        <w:rPr>
          <w:sz w:val="20"/>
          <w:szCs w:val="20"/>
          <w:color w:val="auto"/>
        </w:rPr>
      </w:pPr>
    </w:p>
    <w:tbl>
      <w:tblPr>
        <w:tblLayout w:type="fixed"/>
        <w:tblInd w:w="10" w:type="dxa"/>
        <w:tblCellMar>
          <w:top w:w="0" w:type="dxa"/>
          <w:left w:w="0" w:type="dxa"/>
          <w:bottom w:w="0" w:type="dxa"/>
          <w:right w:w="0" w:type="dxa"/>
        </w:tblCellMar>
      </w:tblPr>
      <w:tr>
        <w:trPr>
          <w:trHeight w:val="393"/>
        </w:trPr>
        <w:tc>
          <w:tcPr>
            <w:tcW w:w="320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 of Participant:</w:t>
            </w:r>
          </w:p>
        </w:tc>
        <w:tc>
          <w:tcPr>
            <w:tcW w:w="8040" w:type="dxa"/>
            <w:vAlign w:val="bottom"/>
            <w:tcBorders>
              <w:top w:val="single" w:sz="8" w:color="auto"/>
              <w:right w:val="single" w:sz="8" w:color="auto"/>
            </w:tcBorders>
          </w:tcPr>
          <w:p>
            <w:pPr>
              <w:spacing w:after="0"/>
              <w:rPr>
                <w:sz w:val="24"/>
                <w:szCs w:val="24"/>
                <w:color w:val="auto"/>
              </w:rPr>
            </w:pPr>
          </w:p>
        </w:tc>
      </w:tr>
      <w:tr>
        <w:trPr>
          <w:trHeight w:val="106"/>
        </w:trPr>
        <w:tc>
          <w:tcPr>
            <w:tcW w:w="3200" w:type="dxa"/>
            <w:vAlign w:val="bottom"/>
            <w:tcBorders>
              <w:left w:val="single" w:sz="8" w:color="auto"/>
              <w:bottom w:val="single" w:sz="8" w:color="auto"/>
              <w:right w:val="single" w:sz="8" w:color="auto"/>
            </w:tcBorders>
          </w:tcPr>
          <w:p>
            <w:pPr>
              <w:spacing w:after="0"/>
              <w:rPr>
                <w:sz w:val="9"/>
                <w:szCs w:val="9"/>
                <w:color w:val="auto"/>
              </w:rPr>
            </w:pPr>
          </w:p>
        </w:tc>
        <w:tc>
          <w:tcPr>
            <w:tcW w:w="8040" w:type="dxa"/>
            <w:vAlign w:val="bottom"/>
            <w:tcBorders>
              <w:bottom w:val="single" w:sz="8" w:color="auto"/>
              <w:right w:val="single" w:sz="8" w:color="auto"/>
            </w:tcBorders>
          </w:tcPr>
          <w:p>
            <w:pPr>
              <w:spacing w:after="0"/>
              <w:rPr>
                <w:sz w:val="9"/>
                <w:szCs w:val="9"/>
                <w:color w:val="auto"/>
              </w:rPr>
            </w:pPr>
          </w:p>
        </w:tc>
      </w:tr>
      <w:tr>
        <w:trPr>
          <w:trHeight w:val="373"/>
        </w:trPr>
        <w:tc>
          <w:tcPr>
            <w:tcW w:w="32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Grant Date:</w:t>
            </w:r>
          </w:p>
        </w:tc>
        <w:tc>
          <w:tcPr>
            <w:tcW w:w="8040" w:type="dxa"/>
            <w:vAlign w:val="bottom"/>
            <w:tcBorders>
              <w:right w:val="single" w:sz="8" w:color="auto"/>
            </w:tcBorders>
          </w:tcPr>
          <w:p>
            <w:pPr>
              <w:spacing w:after="0"/>
              <w:rPr>
                <w:sz w:val="24"/>
                <w:szCs w:val="24"/>
                <w:color w:val="auto"/>
              </w:rPr>
            </w:pPr>
          </w:p>
        </w:tc>
      </w:tr>
      <w:tr>
        <w:trPr>
          <w:trHeight w:val="109"/>
        </w:trPr>
        <w:tc>
          <w:tcPr>
            <w:tcW w:w="3200" w:type="dxa"/>
            <w:vAlign w:val="bottom"/>
            <w:tcBorders>
              <w:left w:val="single" w:sz="8" w:color="auto"/>
              <w:bottom w:val="single" w:sz="8" w:color="auto"/>
              <w:right w:val="single" w:sz="8" w:color="auto"/>
            </w:tcBorders>
          </w:tcPr>
          <w:p>
            <w:pPr>
              <w:spacing w:after="0"/>
              <w:rPr>
                <w:sz w:val="9"/>
                <w:szCs w:val="9"/>
                <w:color w:val="auto"/>
              </w:rPr>
            </w:pPr>
          </w:p>
        </w:tc>
        <w:tc>
          <w:tcPr>
            <w:tcW w:w="8040" w:type="dxa"/>
            <w:vAlign w:val="bottom"/>
            <w:tcBorders>
              <w:bottom w:val="single" w:sz="8" w:color="auto"/>
              <w:right w:val="single" w:sz="8" w:color="auto"/>
            </w:tcBorders>
          </w:tcPr>
          <w:p>
            <w:pPr>
              <w:spacing w:after="0"/>
              <w:rPr>
                <w:sz w:val="9"/>
                <w:szCs w:val="9"/>
                <w:color w:val="auto"/>
              </w:rPr>
            </w:pPr>
          </w:p>
        </w:tc>
      </w:tr>
      <w:tr>
        <w:trPr>
          <w:trHeight w:val="370"/>
        </w:trPr>
        <w:tc>
          <w:tcPr>
            <w:tcW w:w="32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Number of RSUs:</w:t>
            </w:r>
          </w:p>
        </w:tc>
        <w:tc>
          <w:tcPr>
            <w:tcW w:w="8040" w:type="dxa"/>
            <w:vAlign w:val="bottom"/>
            <w:tcBorders>
              <w:right w:val="single" w:sz="8" w:color="auto"/>
            </w:tcBorders>
          </w:tcPr>
          <w:p>
            <w:pPr>
              <w:spacing w:after="0"/>
              <w:rPr>
                <w:sz w:val="24"/>
                <w:szCs w:val="24"/>
                <w:color w:val="auto"/>
              </w:rPr>
            </w:pPr>
          </w:p>
        </w:tc>
      </w:tr>
      <w:tr>
        <w:trPr>
          <w:trHeight w:val="109"/>
        </w:trPr>
        <w:tc>
          <w:tcPr>
            <w:tcW w:w="3200" w:type="dxa"/>
            <w:vAlign w:val="bottom"/>
            <w:tcBorders>
              <w:left w:val="single" w:sz="8" w:color="auto"/>
              <w:bottom w:val="single" w:sz="8" w:color="auto"/>
              <w:right w:val="single" w:sz="8" w:color="auto"/>
            </w:tcBorders>
          </w:tcPr>
          <w:p>
            <w:pPr>
              <w:spacing w:after="0"/>
              <w:rPr>
                <w:sz w:val="9"/>
                <w:szCs w:val="9"/>
                <w:color w:val="auto"/>
              </w:rPr>
            </w:pPr>
          </w:p>
        </w:tc>
        <w:tc>
          <w:tcPr>
            <w:tcW w:w="8040" w:type="dxa"/>
            <w:vAlign w:val="bottom"/>
            <w:tcBorders>
              <w:bottom w:val="single" w:sz="8" w:color="auto"/>
              <w:right w:val="single" w:sz="8" w:color="auto"/>
            </w:tcBorders>
          </w:tcPr>
          <w:p>
            <w:pPr>
              <w:spacing w:after="0"/>
              <w:rPr>
                <w:sz w:val="9"/>
                <w:szCs w:val="9"/>
                <w:color w:val="auto"/>
              </w:rPr>
            </w:pPr>
          </w:p>
        </w:tc>
      </w:tr>
      <w:tr>
        <w:trPr>
          <w:trHeight w:val="370"/>
        </w:trPr>
        <w:tc>
          <w:tcPr>
            <w:tcW w:w="32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Vesting Commencement Date:</w:t>
            </w:r>
          </w:p>
        </w:tc>
        <w:tc>
          <w:tcPr>
            <w:tcW w:w="8040" w:type="dxa"/>
            <w:vAlign w:val="bottom"/>
            <w:tcBorders>
              <w:right w:val="single" w:sz="8" w:color="auto"/>
            </w:tcBorders>
          </w:tcPr>
          <w:p>
            <w:pPr>
              <w:spacing w:after="0"/>
              <w:rPr>
                <w:sz w:val="24"/>
                <w:szCs w:val="24"/>
                <w:color w:val="auto"/>
              </w:rPr>
            </w:pPr>
          </w:p>
        </w:tc>
      </w:tr>
      <w:tr>
        <w:trPr>
          <w:trHeight w:val="258"/>
        </w:trPr>
        <w:tc>
          <w:tcPr>
            <w:tcW w:w="3200" w:type="dxa"/>
            <w:vAlign w:val="bottom"/>
            <w:tcBorders>
              <w:left w:val="single" w:sz="8" w:color="auto"/>
              <w:bottom w:val="single" w:sz="8" w:color="auto"/>
              <w:right w:val="single" w:sz="8" w:color="auto"/>
            </w:tcBorders>
          </w:tcPr>
          <w:p>
            <w:pPr>
              <w:spacing w:after="0"/>
              <w:rPr>
                <w:sz w:val="22"/>
                <w:szCs w:val="22"/>
                <w:color w:val="auto"/>
              </w:rPr>
            </w:pPr>
          </w:p>
        </w:tc>
        <w:tc>
          <w:tcPr>
            <w:tcW w:w="8040" w:type="dxa"/>
            <w:vAlign w:val="bottom"/>
            <w:tcBorders>
              <w:bottom w:val="single" w:sz="8" w:color="auto"/>
              <w:right w:val="single" w:sz="8" w:color="auto"/>
            </w:tcBorders>
          </w:tcPr>
          <w:p>
            <w:pPr>
              <w:spacing w:after="0"/>
              <w:rPr>
                <w:sz w:val="22"/>
                <w:szCs w:val="22"/>
                <w:color w:val="auto"/>
              </w:rPr>
            </w:pPr>
          </w:p>
        </w:tc>
      </w:tr>
      <w:tr>
        <w:trPr>
          <w:trHeight w:val="330"/>
        </w:trPr>
        <w:tc>
          <w:tcPr>
            <w:tcW w:w="32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Vesting Schedule:</w:t>
            </w:r>
          </w:p>
        </w:tc>
        <w:tc>
          <w:tcPr>
            <w:tcW w:w="8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Subject to the Plan and the Standard Terms and Conditions, the RSUs shall vest</w:t>
            </w:r>
          </w:p>
        </w:tc>
      </w:tr>
      <w:tr>
        <w:trPr>
          <w:trHeight w:val="243"/>
        </w:trPr>
        <w:tc>
          <w:tcPr>
            <w:tcW w:w="3200" w:type="dxa"/>
            <w:vAlign w:val="bottom"/>
            <w:tcBorders>
              <w:left w:val="single" w:sz="8" w:color="auto"/>
              <w:right w:val="single" w:sz="8" w:color="auto"/>
            </w:tcBorders>
          </w:tcPr>
          <w:p>
            <w:pPr>
              <w:spacing w:after="0"/>
              <w:rPr>
                <w:sz w:val="21"/>
                <w:szCs w:val="21"/>
                <w:color w:val="auto"/>
              </w:rPr>
            </w:pPr>
          </w:p>
        </w:tc>
        <w:tc>
          <w:tcPr>
            <w:tcW w:w="8040" w:type="dxa"/>
            <w:vAlign w:val="bottom"/>
            <w:tcBorders>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 so long as Participant remains continuously employed by the Company or its</w:t>
            </w:r>
          </w:p>
        </w:tc>
      </w:tr>
      <w:tr>
        <w:trPr>
          <w:trHeight w:val="282"/>
        </w:trPr>
        <w:tc>
          <w:tcPr>
            <w:tcW w:w="3200" w:type="dxa"/>
            <w:vAlign w:val="bottom"/>
            <w:tcBorders>
              <w:left w:val="single" w:sz="8" w:color="auto"/>
              <w:right w:val="single" w:sz="8" w:color="auto"/>
            </w:tcBorders>
          </w:tcPr>
          <w:p>
            <w:pPr>
              <w:spacing w:after="0"/>
              <w:rPr>
                <w:sz w:val="24"/>
                <w:szCs w:val="24"/>
                <w:color w:val="auto"/>
              </w:rPr>
            </w:pPr>
          </w:p>
        </w:tc>
        <w:tc>
          <w:tcPr>
            <w:tcW w:w="8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Subsidiaries from the Grant Date through such vesting date.</w:t>
            </w:r>
          </w:p>
        </w:tc>
      </w:tr>
      <w:tr>
        <w:trPr>
          <w:trHeight w:val="379"/>
        </w:trPr>
        <w:tc>
          <w:tcPr>
            <w:tcW w:w="3200" w:type="dxa"/>
            <w:vAlign w:val="bottom"/>
            <w:tcBorders>
              <w:left w:val="single" w:sz="8" w:color="auto"/>
              <w:bottom w:val="single" w:sz="8" w:color="auto"/>
              <w:right w:val="single" w:sz="8" w:color="auto"/>
            </w:tcBorders>
          </w:tcPr>
          <w:p>
            <w:pPr>
              <w:spacing w:after="0"/>
              <w:rPr>
                <w:sz w:val="24"/>
                <w:szCs w:val="24"/>
                <w:color w:val="auto"/>
              </w:rPr>
            </w:pPr>
          </w:p>
        </w:tc>
        <w:tc>
          <w:tcPr>
            <w:tcW w:w="8040" w:type="dxa"/>
            <w:vAlign w:val="bottom"/>
            <w:tcBorders>
              <w:bottom w:val="single" w:sz="8" w:color="auto"/>
              <w:right w:val="single" w:sz="8" w:color="auto"/>
            </w:tcBorders>
          </w:tcPr>
          <w:p>
            <w:pPr>
              <w:spacing w:after="0"/>
              <w:rPr>
                <w:sz w:val="24"/>
                <w:szCs w:val="24"/>
                <w:color w:val="auto"/>
              </w:rPr>
            </w:pPr>
          </w:p>
        </w:tc>
      </w:tr>
      <w:tr>
        <w:trPr>
          <w:trHeight w:val="1619"/>
        </w:trPr>
        <w:tc>
          <w:tcPr>
            <w:tcW w:w="3200" w:type="dxa"/>
            <w:vAlign w:val="bottom"/>
            <w:tcBorders>
              <w:bottom w:val="single" w:sz="8" w:color="9A9A9A"/>
            </w:tcBorders>
          </w:tcPr>
          <w:p>
            <w:pPr>
              <w:spacing w:after="0"/>
              <w:rPr>
                <w:sz w:val="24"/>
                <w:szCs w:val="24"/>
                <w:color w:val="auto"/>
              </w:rPr>
            </w:pPr>
          </w:p>
        </w:tc>
        <w:tc>
          <w:tcPr>
            <w:tcW w:w="8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sectPr>
      </w:pPr>
    </w:p>
    <w:bookmarkStart w:id="48" w:name="page49"/>
    <w:bookmarkEnd w:id="48"/>
    <w:p>
      <w:pPr>
        <w:spacing w:after="0" w:line="1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0"/>
          <w:szCs w:val="20"/>
          <w:color w:val="auto"/>
        </w:rPr>
        <w:t>IN ORDER TO RECEIVE THE BENEFITS OF THIS AGREEMENT, PARTICIPANT MUST EXECUTE AND RETURN THIS GRANT NOTICE (THE “</w:t>
      </w:r>
      <w:r>
        <w:rPr>
          <w:rFonts w:ascii="Times New Roman" w:cs="Times New Roman" w:eastAsia="Times New Roman" w:hAnsi="Times New Roman"/>
          <w:sz w:val="20"/>
          <w:szCs w:val="20"/>
          <w:b w:val="1"/>
          <w:bCs w:val="1"/>
          <w:i w:val="1"/>
          <w:iCs w:val="1"/>
          <w:color w:val="auto"/>
        </w:rPr>
        <w:t>ACCEPTANCE REQUIREMENTS</w:t>
      </w:r>
      <w:r>
        <w:rPr>
          <w:rFonts w:ascii="Times New Roman" w:cs="Times New Roman" w:eastAsia="Times New Roman" w:hAnsi="Times New Roman"/>
          <w:sz w:val="20"/>
          <w:szCs w:val="20"/>
          <w:color w:val="auto"/>
        </w:rPr>
        <w:t>”). IF PARTICIPANT FAILS TO SATISFY THE ACCEPTANCE REQUIREMENTS WITHIN 60 DAYS AFTER THE GRANT DATE, THEN (1) THIS GRANT NOTICE WILL BE OF NO FORCE OR EFFECT AND THIS AWARD WILL BE AUTOMATICALLY FORFEITED TO THE COMPANY WITHOUT CONSIDERATION, AND (2) NEITHER PARTICIPANT NOR THE COMPANY WILL HAVE ANY FUTURE RIGHTS OR OBLIGATIONS UNDER THIS GRANT NOTICE OR THE STANDARD TERMS AND CONDITIONS.</w:t>
      </w:r>
    </w:p>
    <w:p>
      <w:pPr>
        <w:spacing w:after="0" w:line="6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By accepting this Grant Notice, Participant acknowledges that Participant has received and read, and agrees that this Award shall be subject to, the terms of this Grant Notice, the Plan, and the Standard Terms and Conditions and the Confidentiality and Inventions Agreement.</w:t>
      </w:r>
    </w:p>
    <w:p>
      <w:pPr>
        <w:spacing w:after="0" w:line="200" w:lineRule="exact"/>
        <w:rPr>
          <w:sz w:val="20"/>
          <w:szCs w:val="20"/>
          <w:color w:val="auto"/>
        </w:rPr>
      </w:pPr>
    </w:p>
    <w:p>
      <w:pPr>
        <w:spacing w:after="0" w:line="23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auto"/>
        </w:rPr>
        <w:t>PETCO HEALTH AND WELLNESS COMPANY, INC.</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3293745</wp:posOffset>
            </wp:positionH>
            <wp:positionV relativeFrom="paragraph">
              <wp:posOffset>-13970</wp:posOffset>
            </wp:positionV>
            <wp:extent cx="172021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7">
                      <a:extLst>
                        <a:ext uri="{28A0092B-C50C-407E-A947-70E740481C1C}"/>
                      </a:extLst>
                    </a:blip>
                    <a:srcRect/>
                    <a:stretch>
                      <a:fillRect/>
                    </a:stretch>
                  </pic:blipFill>
                  <pic:spPr bwMode="auto">
                    <a:xfrm>
                      <a:off x="0" y="0"/>
                      <a:ext cx="1720215" cy="8255"/>
                    </a:xfrm>
                    <a:prstGeom prst="rect">
                      <a:avLst/>
                    </a:prstGeom>
                    <a:noFill/>
                  </pic:spPr>
                </pic:pic>
              </a:graphicData>
            </a:graphic>
          </wp:anchor>
        </w:drawing>
      </w:r>
    </w:p>
    <w:p>
      <w:pPr>
        <w:ind w:left="4880"/>
        <w:spacing w:after="0"/>
        <w:rPr>
          <w:sz w:val="20"/>
          <w:szCs w:val="20"/>
          <w:color w:val="auto"/>
        </w:rPr>
      </w:pPr>
      <w:r>
        <w:rPr>
          <w:rFonts w:ascii="Times New Roman" w:cs="Times New Roman" w:eastAsia="Times New Roman" w:hAnsi="Times New Roman"/>
          <w:sz w:val="22"/>
          <w:szCs w:val="22"/>
          <w:color w:val="auto"/>
        </w:rPr>
        <w:t>Name:</w:t>
      </w:r>
    </w:p>
    <w:p>
      <w:pPr>
        <w:ind w:left="4880"/>
        <w:spacing w:after="0"/>
        <w:rPr>
          <w:sz w:val="20"/>
          <w:szCs w:val="20"/>
          <w:color w:val="auto"/>
        </w:rPr>
      </w:pPr>
      <w:r>
        <w:rPr>
          <w:rFonts w:ascii="Times New Roman" w:cs="Times New Roman" w:eastAsia="Times New Roman" w:hAnsi="Times New Roman"/>
          <w:sz w:val="22"/>
          <w:szCs w:val="22"/>
          <w:color w:val="auto"/>
        </w:rPr>
        <w:t>Title:</w:t>
      </w: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604520</wp:posOffset>
            </wp:positionV>
            <wp:extent cx="191770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8">
                      <a:extLst>
                        <a:ext uri="{28A0092B-C50C-407E-A947-70E740481C1C}"/>
                      </a:extLst>
                    </a:blip>
                    <a:srcRect/>
                    <a:stretch>
                      <a:fillRect/>
                    </a:stretch>
                  </pic:blipFill>
                  <pic:spPr bwMode="auto">
                    <a:xfrm>
                      <a:off x="0" y="0"/>
                      <a:ext cx="19177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[Name]</w:t>
      </w:r>
    </w:p>
    <w:p>
      <w:pPr>
        <w:spacing w:after="0" w:line="20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age to</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G</w:t>
      </w:r>
      <w:r>
        <w:rPr>
          <w:rFonts w:ascii="Times New Roman" w:cs="Times New Roman" w:eastAsia="Times New Roman" w:hAnsi="Times New Roman"/>
          <w:sz w:val="14"/>
          <w:szCs w:val="14"/>
          <w:color w:val="auto"/>
        </w:rPr>
        <w:t>rant</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4"/>
          <w:szCs w:val="14"/>
          <w:color w:val="auto"/>
        </w:rPr>
        <w:t>otice for</w:t>
      </w:r>
    </w:p>
    <w:p>
      <w:pPr>
        <w:jc w:val="center"/>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estricted</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4"/>
          <w:szCs w:val="14"/>
          <w:color w:val="auto"/>
        </w:rPr>
        <w:t>tock</w:t>
      </w:r>
      <w:r>
        <w:rPr>
          <w:rFonts w:ascii="Times New Roman" w:cs="Times New Roman" w:eastAsia="Times New Roman" w:hAnsi="Times New Roman"/>
          <w:sz w:val="22"/>
          <w:szCs w:val="22"/>
          <w:color w:val="auto"/>
        </w:rPr>
        <w:t xml:space="preserve"> U</w:t>
      </w:r>
      <w:r>
        <w:rPr>
          <w:rFonts w:ascii="Times New Roman" w:cs="Times New Roman" w:eastAsia="Times New Roman" w:hAnsi="Times New Roman"/>
          <w:sz w:val="14"/>
          <w:szCs w:val="14"/>
          <w:color w:val="auto"/>
        </w:rPr>
        <w:t>nit</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462280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PETCO HEALTH AND WELLNESS COMPANY, INC.</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2021 EQUITY INCENTIVE PLAN</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STANDARD TERMS AND CONDITIONS FOR</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RESTRICTED STOCK UNITS</w:t>
      </w:r>
    </w:p>
    <w:p>
      <w:pPr>
        <w:spacing w:after="0" w:line="2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These Standard Terms and Conditions apply to the Award of Restricted Stock Units granted pursuant to the Petco Health and Wellness Company, Inc. 2021 Equity Incentive Plan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which are evidenced by a Grant Notice or an action of the Committee that specifically refers to these Standard Terms and Conditions. In addition to these Standard Terms and Conditions, the Restricted Stock Units shall be subject to the terms of the Plan, which are incorporated into these Standard Terms and Conditions by this reference. Capitalized terms not otherwise defined herein shall have the meaning set forth in the Plan.</w:t>
      </w:r>
    </w:p>
    <w:p>
      <w:pPr>
        <w:spacing w:after="0" w:line="151" w:lineRule="exact"/>
        <w:rPr>
          <w:sz w:val="20"/>
          <w:szCs w:val="20"/>
          <w:color w:val="auto"/>
        </w:rPr>
      </w:pPr>
    </w:p>
    <w:p>
      <w:pPr>
        <w:ind w:left="760" w:hanging="752"/>
        <w:spacing w:after="0"/>
        <w:tabs>
          <w:tab w:leader="none" w:pos="760" w:val="left"/>
        </w:tabs>
        <w:numPr>
          <w:ilvl w:val="0"/>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TERMS OF RESTRICTED STOCK UNITS</w:t>
      </w:r>
    </w:p>
    <w:p>
      <w:pPr>
        <w:spacing w:after="0" w:line="203"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20"/>
          <w:szCs w:val="20"/>
          <w:color w:val="auto"/>
        </w:rPr>
        <w:t>Petco Health and Wellness Company,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has granted to the Participant named in the Grant Notice provided to said Participant herewith (the “</w:t>
      </w:r>
      <w:r>
        <w:rPr>
          <w:rFonts w:ascii="Times New Roman" w:cs="Times New Roman" w:eastAsia="Times New Roman" w:hAnsi="Times New Roman"/>
          <w:sz w:val="20"/>
          <w:szCs w:val="20"/>
          <w:b w:val="1"/>
          <w:bCs w:val="1"/>
          <w:i w:val="1"/>
          <w:iCs w:val="1"/>
          <w:color w:val="auto"/>
        </w:rPr>
        <w:t>Grant Notice</w:t>
      </w:r>
      <w:r>
        <w:rPr>
          <w:rFonts w:ascii="Times New Roman" w:cs="Times New Roman" w:eastAsia="Times New Roman" w:hAnsi="Times New Roman"/>
          <w:sz w:val="20"/>
          <w:szCs w:val="20"/>
          <w:color w:val="auto"/>
        </w:rPr>
        <w:t>”) an award of Restricted Stock Units (the “</w:t>
      </w:r>
      <w:r>
        <w:rPr>
          <w:rFonts w:ascii="Times New Roman" w:cs="Times New Roman" w:eastAsia="Times New Roman" w:hAnsi="Times New Roman"/>
          <w:sz w:val="20"/>
          <w:szCs w:val="20"/>
          <w:b w:val="1"/>
          <w:bCs w:val="1"/>
          <w:i w:val="1"/>
          <w:iCs w:val="1"/>
          <w:color w:val="auto"/>
        </w:rPr>
        <w:t>Award</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i w:val="1"/>
          <w:iCs w:val="1"/>
          <w:color w:val="auto"/>
        </w:rPr>
        <w:t>RSUs</w:t>
      </w:r>
      <w:r>
        <w:rPr>
          <w:rFonts w:ascii="Times New Roman" w:cs="Times New Roman" w:eastAsia="Times New Roman" w:hAnsi="Times New Roman"/>
          <w:sz w:val="20"/>
          <w:szCs w:val="20"/>
          <w:color w:val="auto"/>
        </w:rPr>
        <w:t>”) specified in the Grant Notice, with each Restricted Stock Unit representing the right to receive one share of Common Stock. The Award is subject to the conditions set forth in the Grant Notice, these Standard Terms and Conditions and the Plan. For purposes of these Standard Terms and Conditions and the Grant Notice, any reference to the Company shall include a reference to any Subsidiary.</w:t>
      </w:r>
    </w:p>
    <w:p>
      <w:pPr>
        <w:spacing w:after="0" w:line="147" w:lineRule="exact"/>
        <w:rPr>
          <w:sz w:val="20"/>
          <w:szCs w:val="20"/>
          <w:color w:val="auto"/>
        </w:rPr>
      </w:pPr>
    </w:p>
    <w:p>
      <w:pPr>
        <w:ind w:left="760" w:hanging="752"/>
        <w:spacing w:after="0"/>
        <w:tabs>
          <w:tab w:leader="none" w:pos="760" w:val="left"/>
        </w:tabs>
        <w:numPr>
          <w:ilvl w:val="0"/>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VESTING AND SETTLEMENT OF RESTRICTED STOCK UNITS</w:t>
      </w:r>
    </w:p>
    <w:p>
      <w:pPr>
        <w:spacing w:after="0" w:line="209" w:lineRule="exact"/>
        <w:rPr>
          <w:sz w:val="20"/>
          <w:szCs w:val="20"/>
          <w:color w:val="auto"/>
        </w:rPr>
      </w:pPr>
    </w:p>
    <w:p>
      <w:pPr>
        <w:jc w:val="both"/>
        <w:ind w:right="80" w:firstLine="749"/>
        <w:spacing w:after="0" w:line="264" w:lineRule="auto"/>
        <w:rPr>
          <w:sz w:val="20"/>
          <w:szCs w:val="20"/>
          <w:color w:val="auto"/>
        </w:rPr>
      </w:pPr>
      <w:r>
        <w:rPr>
          <w:rFonts w:ascii="Times New Roman" w:cs="Times New Roman" w:eastAsia="Times New Roman" w:hAnsi="Times New Roman"/>
          <w:sz w:val="20"/>
          <w:szCs w:val="20"/>
          <w:color w:val="auto"/>
        </w:rPr>
        <w:t>(a)The Award shall not be vested as of the Grant Date set forth in the Grant Notice and shall be forfeitable unless and until otherwise vested pursuant to the terms of the Grant Notice and these Standard Terms and Conditions. After the Grant Date, subject to termination or acceleration as provided in these Standard Terms and Conditions and the Plan, the Award shall become vested as described in the Grant Notice with respect to that number of Restricted Stock Units as set forth in the Grant Notice. Restricted Stock Units that have vested and are no longer subject to forfeiture are referred to herein as “</w:t>
      </w:r>
      <w:r>
        <w:rPr>
          <w:rFonts w:ascii="Times New Roman" w:cs="Times New Roman" w:eastAsia="Times New Roman" w:hAnsi="Times New Roman"/>
          <w:sz w:val="20"/>
          <w:szCs w:val="20"/>
          <w:b w:val="1"/>
          <w:bCs w:val="1"/>
          <w:i w:val="1"/>
          <w:iCs w:val="1"/>
          <w:color w:val="auto"/>
        </w:rPr>
        <w:t>Vested RSUs</w:t>
      </w:r>
      <w:r>
        <w:rPr>
          <w:rFonts w:ascii="Times New Roman" w:cs="Times New Roman" w:eastAsia="Times New Roman" w:hAnsi="Times New Roman"/>
          <w:sz w:val="20"/>
          <w:szCs w:val="20"/>
          <w:color w:val="auto"/>
        </w:rPr>
        <w:t>.” Restricted Stock Units awarded hereunder that are not vested and remain subject to forfeiture are referred to herein as “</w:t>
      </w:r>
      <w:r>
        <w:rPr>
          <w:rFonts w:ascii="Times New Roman" w:cs="Times New Roman" w:eastAsia="Times New Roman" w:hAnsi="Times New Roman"/>
          <w:sz w:val="20"/>
          <w:szCs w:val="20"/>
          <w:b w:val="1"/>
          <w:bCs w:val="1"/>
          <w:i w:val="1"/>
          <w:iCs w:val="1"/>
          <w:color w:val="auto"/>
        </w:rPr>
        <w:t>Unvested RSUs</w:t>
      </w:r>
      <w:r>
        <w:rPr>
          <w:rFonts w:ascii="Times New Roman" w:cs="Times New Roman" w:eastAsia="Times New Roman" w:hAnsi="Times New Roman"/>
          <w:sz w:val="20"/>
          <w:szCs w:val="20"/>
          <w:color w:val="auto"/>
        </w:rPr>
        <w:t>.”</w:t>
      </w:r>
    </w:p>
    <w:p>
      <w:pPr>
        <w:spacing w:after="0" w:line="154" w:lineRule="exact"/>
        <w:rPr>
          <w:sz w:val="20"/>
          <w:szCs w:val="20"/>
          <w:color w:val="auto"/>
        </w:rPr>
      </w:pPr>
    </w:p>
    <w:p>
      <w:pPr>
        <w:jc w:val="both"/>
        <w:ind w:right="80" w:firstLine="749"/>
        <w:spacing w:after="0" w:line="244" w:lineRule="auto"/>
        <w:rPr>
          <w:sz w:val="20"/>
          <w:szCs w:val="20"/>
          <w:color w:val="auto"/>
        </w:rPr>
      </w:pPr>
      <w:r>
        <w:rPr>
          <w:rFonts w:ascii="Times New Roman" w:cs="Times New Roman" w:eastAsia="Times New Roman" w:hAnsi="Times New Roman"/>
          <w:sz w:val="22"/>
          <w:szCs w:val="22"/>
          <w:color w:val="auto"/>
        </w:rPr>
        <w:t xml:space="preserve">(b)As soon as administratively practicable following the vesting of the RSUs pursuant to the Grant Notice and this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but in no event later than 30 days after each vesting date, the Company shall deliver to the Participant a number of shares of Common Stock equal to the number of RSUs that vested on such date.</w:t>
      </w:r>
    </w:p>
    <w:p>
      <w:pPr>
        <w:spacing w:after="0" w:line="172" w:lineRule="exact"/>
        <w:rPr>
          <w:sz w:val="20"/>
          <w:szCs w:val="20"/>
          <w:color w:val="auto"/>
        </w:rPr>
      </w:pPr>
    </w:p>
    <w:p>
      <w:pPr>
        <w:jc w:val="both"/>
        <w:ind w:right="80" w:firstLine="749"/>
        <w:spacing w:after="0" w:line="244" w:lineRule="auto"/>
        <w:rPr>
          <w:sz w:val="20"/>
          <w:szCs w:val="20"/>
          <w:color w:val="auto"/>
        </w:rPr>
      </w:pPr>
      <w:r>
        <w:rPr>
          <w:rFonts w:ascii="Times New Roman" w:cs="Times New Roman" w:eastAsia="Times New Roman" w:hAnsi="Times New Roman"/>
          <w:sz w:val="22"/>
          <w:szCs w:val="22"/>
          <w:color w:val="auto"/>
        </w:rPr>
        <w:t>(c)If the Participant’s employment with the Company and its Subsidiaries is terminated as a result of an Early Termination, subject to the Participant’s execution and nonrevocation of a general release of claims in a form provided by the Company, the Unvested RSUs that would have vested on or prior to the four-month anniversary of the Vesting</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A</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tandard</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erms and</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onditions for</w:t>
      </w:r>
    </w:p>
    <w:p>
      <w:pPr>
        <w:jc w:val="center"/>
        <w:ind w:right="-19"/>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estricted</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4"/>
          <w:szCs w:val="14"/>
          <w:color w:val="auto"/>
        </w:rPr>
        <w:t>tock</w:t>
      </w:r>
      <w:r>
        <w:rPr>
          <w:rFonts w:ascii="Times New Roman" w:cs="Times New Roman" w:eastAsia="Times New Roman" w:hAnsi="Times New Roman"/>
          <w:sz w:val="22"/>
          <w:szCs w:val="22"/>
          <w:color w:val="auto"/>
        </w:rPr>
        <w:t xml:space="preserve"> U</w:t>
      </w:r>
      <w:r>
        <w:rPr>
          <w:rFonts w:ascii="Times New Roman" w:cs="Times New Roman" w:eastAsia="Times New Roman" w:hAnsi="Times New Roman"/>
          <w:sz w:val="14"/>
          <w:szCs w:val="14"/>
          <w:color w:val="auto"/>
        </w:rPr>
        <w:t>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462280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50" w:name="page51"/>
    <w:bookmarkEnd w:id="50"/>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Commencement Date shall become Vested RSUs as of the Termination Date.</w:t>
      </w:r>
    </w:p>
    <w:p>
      <w:pPr>
        <w:spacing w:after="0" w:line="205" w:lineRule="exact"/>
        <w:rPr>
          <w:sz w:val="20"/>
          <w:szCs w:val="20"/>
          <w:color w:val="auto"/>
        </w:rPr>
      </w:pPr>
    </w:p>
    <w:p>
      <w:pPr>
        <w:jc w:val="both"/>
        <w:ind w:right="80" w:firstLine="749"/>
        <w:spacing w:after="0" w:line="307" w:lineRule="auto"/>
        <w:rPr>
          <w:sz w:val="20"/>
          <w:szCs w:val="20"/>
          <w:color w:val="auto"/>
        </w:rPr>
      </w:pPr>
      <w:r>
        <w:rPr>
          <w:rFonts w:ascii="Times New Roman" w:cs="Times New Roman" w:eastAsia="Times New Roman" w:hAnsi="Times New Roman"/>
          <w:sz w:val="20"/>
          <w:szCs w:val="20"/>
          <w:color w:val="auto"/>
        </w:rPr>
        <w:t xml:space="preserve">(d)Upon a termination of Participant’s employment with the Company and its Subsidiaries for any other reason not set forth in </w:t>
      </w:r>
      <w:r>
        <w:rPr>
          <w:rFonts w:ascii="Times New Roman" w:cs="Times New Roman" w:eastAsia="Times New Roman" w:hAnsi="Times New Roman"/>
          <w:sz w:val="20"/>
          <w:szCs w:val="20"/>
          <w:u w:val="single" w:color="auto"/>
          <w:color w:val="auto"/>
        </w:rPr>
        <w:t>Section 2(c)</w:t>
      </w:r>
      <w:r>
        <w:rPr>
          <w:rFonts w:ascii="Times New Roman" w:cs="Times New Roman" w:eastAsia="Times New Roman" w:hAnsi="Times New Roman"/>
          <w:sz w:val="20"/>
          <w:szCs w:val="20"/>
          <w:color w:val="auto"/>
        </w:rPr>
        <w:t>, any then Unvested RSUs held by the Participant shall be forfeited and canceled as of the Termination Date.</w:t>
      </w:r>
    </w:p>
    <w:p>
      <w:pPr>
        <w:spacing w:after="0" w:line="11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(e)As used in this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w:t>
      </w:r>
    </w:p>
    <w:p>
      <w:pPr>
        <w:spacing w:after="0" w:line="199" w:lineRule="exact"/>
        <w:rPr>
          <w:sz w:val="20"/>
          <w:szCs w:val="20"/>
          <w:color w:val="auto"/>
        </w:rPr>
      </w:pPr>
    </w:p>
    <w:p>
      <w:pPr>
        <w:ind w:left="2040" w:hanging="535"/>
        <w:spacing w:after="0"/>
        <w:tabs>
          <w:tab w:leader="none" w:pos="204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Offer Letter</w:t>
      </w:r>
      <w:r>
        <w:rPr>
          <w:rFonts w:ascii="Times New Roman" w:cs="Times New Roman" w:eastAsia="Times New Roman" w:hAnsi="Times New Roman"/>
          <w:sz w:val="20"/>
          <w:szCs w:val="20"/>
          <w:color w:val="auto"/>
        </w:rPr>
        <w:t>” means that certain employment letter between the Company and Participant effective as of</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March 13, 2024.</w:t>
      </w:r>
    </w:p>
    <w:p>
      <w:pPr>
        <w:spacing w:after="0" w:line="175" w:lineRule="exact"/>
        <w:rPr>
          <w:sz w:val="20"/>
          <w:szCs w:val="20"/>
          <w:color w:val="auto"/>
        </w:rPr>
      </w:pPr>
    </w:p>
    <w:p>
      <w:pPr>
        <w:ind w:left="2040" w:hanging="535"/>
        <w:spacing w:after="0"/>
        <w:tabs>
          <w:tab w:leader="none" w:pos="2040"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Early Termination</w:t>
      </w:r>
      <w:r>
        <w:rPr>
          <w:rFonts w:ascii="Times New Roman" w:cs="Times New Roman" w:eastAsia="Times New Roman" w:hAnsi="Times New Roman"/>
          <w:sz w:val="22"/>
          <w:szCs w:val="22"/>
          <w:color w:val="auto"/>
        </w:rPr>
        <w:t>” has the meaning set forth in the Offer Letter.</w:t>
      </w:r>
    </w:p>
    <w:p>
      <w:pPr>
        <w:spacing w:after="0" w:line="205"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Termination Date</w:t>
      </w:r>
      <w:r>
        <w:rPr>
          <w:rFonts w:ascii="Times New Roman" w:cs="Times New Roman" w:eastAsia="Times New Roman" w:hAnsi="Times New Roman"/>
          <w:sz w:val="22"/>
          <w:szCs w:val="22"/>
          <w:color w:val="auto"/>
        </w:rPr>
        <w:t>” means the date of the termination of Participant’s employment with the Company</w:t>
      </w:r>
    </w:p>
    <w:p>
      <w:pPr>
        <w:spacing w:after="0" w:line="1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its Subsidiaries.</w:t>
      </w:r>
    </w:p>
    <w:p>
      <w:pPr>
        <w:spacing w:after="0" w:line="177" w:lineRule="exact"/>
        <w:rPr>
          <w:rFonts w:ascii="Times New Roman" w:cs="Times New Roman" w:eastAsia="Times New Roman" w:hAnsi="Times New Roman"/>
          <w:sz w:val="22"/>
          <w:szCs w:val="22"/>
          <w:color w:val="auto"/>
        </w:rPr>
      </w:pPr>
    </w:p>
    <w:p>
      <w:pPr>
        <w:ind w:left="760" w:hanging="752"/>
        <w:spacing w:after="0"/>
        <w:tabs>
          <w:tab w:leader="none" w:pos="760"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RIGHTS AS STOCKHOLDER; DIVIDEND EQUIVALENTS</w:t>
      </w:r>
    </w:p>
    <w:p>
      <w:pPr>
        <w:spacing w:after="0" w:line="209" w:lineRule="exact"/>
        <w:rPr>
          <w:sz w:val="20"/>
          <w:szCs w:val="20"/>
          <w:color w:val="auto"/>
        </w:rPr>
      </w:pPr>
    </w:p>
    <w:p>
      <w:pPr>
        <w:jc w:val="both"/>
        <w:ind w:right="80" w:firstLine="756"/>
        <w:spacing w:after="0" w:line="244" w:lineRule="auto"/>
        <w:tabs>
          <w:tab w:leader="none" w:pos="101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shall not be, nor have any of the rights or privileges of, a stockholder of the Company in respect of any RSUs unless and until shares of Common Stock settled for such RSUs shall have been issued by the Company to Participant (as evidenced by the appropriate entry on the books of the Company or of a duly authorized transfer agent of the Company).</w:t>
      </w:r>
    </w:p>
    <w:p>
      <w:pPr>
        <w:spacing w:after="0" w:line="172" w:lineRule="exact"/>
        <w:rPr>
          <w:sz w:val="20"/>
          <w:szCs w:val="20"/>
          <w:color w:val="auto"/>
        </w:rPr>
      </w:pPr>
    </w:p>
    <w:p>
      <w:pPr>
        <w:jc w:val="both"/>
        <w:ind w:right="80" w:firstLine="749"/>
        <w:spacing w:after="0" w:line="234" w:lineRule="auto"/>
        <w:rPr>
          <w:sz w:val="20"/>
          <w:szCs w:val="20"/>
          <w:color w:val="auto"/>
        </w:rPr>
      </w:pPr>
      <w:r>
        <w:rPr>
          <w:rFonts w:ascii="Times New Roman" w:cs="Times New Roman" w:eastAsia="Times New Roman" w:hAnsi="Times New Roman"/>
          <w:sz w:val="22"/>
          <w:szCs w:val="22"/>
          <w:color w:val="auto"/>
        </w:rPr>
        <w:t>(g)Notwithstanding the foregoing, from and after the Grant Date and until the earlier of (i) the Participant’s receipt of Common Stock upon payment of RSUs and (ii) the time when the Participant’s right to receive Common Stock upon payment of RSUs is forfeited, on the date that the Company pays a cash dividend (if any) to holders of Common Stock generally, the Participant shall be entitled, as a Dividend Equivalent, to a number of additional whole RSUs determined by dividing (i) the product of (A) the dollar amount of the cash dividend paid per share of Common Stock on such date and (B) the total number of RSUs (including dividend equivalents paid thereon) previously credited to the Participant as of such date, by (ii) the Fair Market Value per share of Common Stock on such date. Such Dividend Equivalents (if any) shall be subject to the same terms and conditions and shall be settled or forfeited in the same manner and at the same time as the RSUs to which the Dividend Equivalents were credited.</w:t>
      </w:r>
    </w:p>
    <w:p>
      <w:pPr>
        <w:spacing w:after="0" w:line="176" w:lineRule="exact"/>
        <w:rPr>
          <w:sz w:val="20"/>
          <w:szCs w:val="20"/>
          <w:color w:val="auto"/>
        </w:rPr>
      </w:pPr>
    </w:p>
    <w:p>
      <w:pPr>
        <w:ind w:left="760" w:hanging="752"/>
        <w:spacing w:after="0"/>
        <w:tabs>
          <w:tab w:leader="none" w:pos="760" w:val="left"/>
        </w:tabs>
        <w:numPr>
          <w:ilvl w:val="0"/>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RESTRICTIONS ON RESALES OF SHARES</w:t>
      </w:r>
    </w:p>
    <w:p>
      <w:pPr>
        <w:spacing w:after="0" w:line="209" w:lineRule="exact"/>
        <w:rPr>
          <w:sz w:val="20"/>
          <w:szCs w:val="20"/>
          <w:color w:val="auto"/>
        </w:rPr>
      </w:pPr>
    </w:p>
    <w:p>
      <w:pPr>
        <w:jc w:val="both"/>
        <w:ind w:right="80"/>
        <w:spacing w:after="0" w:line="237" w:lineRule="auto"/>
        <w:rPr>
          <w:sz w:val="20"/>
          <w:szCs w:val="20"/>
          <w:color w:val="auto"/>
        </w:rPr>
      </w:pPr>
      <w:r>
        <w:rPr>
          <w:rFonts w:ascii="Times New Roman" w:cs="Times New Roman" w:eastAsia="Times New Roman" w:hAnsi="Times New Roman"/>
          <w:sz w:val="22"/>
          <w:szCs w:val="22"/>
          <w:color w:val="auto"/>
        </w:rPr>
        <w:t>The Company may impose such restrictions, conditions or limitations as it determines appropriate as to the timing and manner of any resales by the Participant or other subsequent transfers by the Participant of any shares of Common Stock issued pursuant to Vested RSUs, including (a) restrictions under an insider trading policy, (b) restrictions designed to delay and/or coordinate the timing and manner of sales by Participant and other holders and (c) restrictions as to the use of a specified brokerage firm for such resales or other transfers.</w:t>
      </w:r>
    </w:p>
    <w:p>
      <w:pPr>
        <w:spacing w:after="0" w:line="176" w:lineRule="exact"/>
        <w:rPr>
          <w:sz w:val="20"/>
          <w:szCs w:val="20"/>
          <w:color w:val="auto"/>
        </w:rPr>
      </w:pPr>
    </w:p>
    <w:p>
      <w:pPr>
        <w:ind w:left="760" w:hanging="752"/>
        <w:spacing w:after="0"/>
        <w:tabs>
          <w:tab w:leader="none" w:pos="760"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INCOME TAXES</w:t>
      </w:r>
    </w:p>
    <w:p>
      <w:pPr>
        <w:spacing w:after="0" w:line="209" w:lineRule="exact"/>
        <w:rPr>
          <w:sz w:val="20"/>
          <w:szCs w:val="20"/>
          <w:color w:val="auto"/>
        </w:rPr>
      </w:pPr>
    </w:p>
    <w:p>
      <w:pPr>
        <w:jc w:val="both"/>
        <w:ind w:right="80"/>
        <w:spacing w:after="0" w:line="244" w:lineRule="auto"/>
        <w:rPr>
          <w:sz w:val="20"/>
          <w:szCs w:val="20"/>
          <w:color w:val="auto"/>
        </w:rPr>
      </w:pPr>
      <w:r>
        <w:rPr>
          <w:rFonts w:ascii="Times New Roman" w:cs="Times New Roman" w:eastAsia="Times New Roman" w:hAnsi="Times New Roman"/>
          <w:sz w:val="22"/>
          <w:szCs w:val="22"/>
          <w:color w:val="auto"/>
        </w:rPr>
        <w:t>To the extent required by applicable federal, state, local or foreign law, the Participant shall make arrangements satisfactory to the Company for the satisfaction of any withholding tax obligations that arise by reason of the grant or vesting of the RSUs. The Company shall not be required to</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issue shares or to recognize the disposition of such shares until such obligations are satisfied.</w:t>
      </w:r>
    </w:p>
    <w:p>
      <w:pPr>
        <w:spacing w:after="0" w:line="201" w:lineRule="exact"/>
        <w:rPr>
          <w:sz w:val="20"/>
          <w:szCs w:val="20"/>
          <w:color w:val="auto"/>
        </w:rPr>
      </w:pPr>
    </w:p>
    <w:p>
      <w:pPr>
        <w:ind w:left="760" w:hanging="752"/>
        <w:spacing w:after="0"/>
        <w:tabs>
          <w:tab w:leader="none" w:pos="760"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NONTRANSFERABILITY­ OF AWARD</w:t>
      </w:r>
    </w:p>
    <w:p>
      <w:pPr>
        <w:spacing w:after="0" w:line="20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Participant understands, acknowledges and agrees that, except as otherwise provided in the Plan or as permitted by the Committee, the Award may not be sold, assigned, transferred, pledged or otherwise directly or indirectly encumbered or disposed of other than by will or the laws of descent and distribution. Notwithstanding the foregoing, (a) the Participant shall be permitted to transfer the Award as a gift to an Assignee Entity in accordance with and subject to the limits of Section 17 of the Plan and (b) if not previously so transferred, any shares of Common Stock that become issuable hereunder but which otherwise remain unissued at the time of the Participant’s death shall be transferred to the Participant’s designated beneficiary or, if none, to the Participant’s estate.</w:t>
      </w:r>
    </w:p>
    <w:p>
      <w:pPr>
        <w:spacing w:after="0" w:line="177" w:lineRule="exact"/>
        <w:rPr>
          <w:sz w:val="20"/>
          <w:szCs w:val="20"/>
          <w:color w:val="auto"/>
        </w:rPr>
      </w:pPr>
    </w:p>
    <w:p>
      <w:pPr>
        <w:ind w:left="760" w:hanging="752"/>
        <w:spacing w:after="0"/>
        <w:tabs>
          <w:tab w:leader="none" w:pos="760"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OTHER AGREEMENTS SUPERSEDED</w:t>
      </w:r>
    </w:p>
    <w:p>
      <w:pPr>
        <w:spacing w:after="0" w:line="20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The Grant Notice, these Standard Terms and Conditions, the Confidentiality and Inventions Agreement and the Plan constitute the entire understanding between the Participant and the Company regarding the Award. Any prior agreements, commitments or negotiations concerning the Award are superseded; provided, however, that the terms of the Confidentiality and Inventions Agreement are in addition to and complement (and do not replace or supersede) all other agreements and obligations between the Company and any of its affiliates and the Participant with respect to confidentiality and intellectual property.</w:t>
      </w:r>
    </w:p>
    <w:p>
      <w:pPr>
        <w:spacing w:after="0" w:line="176" w:lineRule="exact"/>
        <w:rPr>
          <w:sz w:val="20"/>
          <w:szCs w:val="20"/>
          <w:color w:val="auto"/>
        </w:rPr>
      </w:pPr>
    </w:p>
    <w:p>
      <w:pPr>
        <w:ind w:left="760" w:hanging="752"/>
        <w:spacing w:after="0"/>
        <w:tabs>
          <w:tab w:leader="none" w:pos="760"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LIMITATION OF INTEREST IN SHARES SUBJECT TO RESTRICTED STOCK UNITS</w:t>
      </w:r>
    </w:p>
    <w:p>
      <w:pPr>
        <w:spacing w:after="0" w:line="20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Neither the Participant (individually or as a member of a group) nor any beneficiary or other person claiming under or through the Participant shall have any right, title, interest, or privilege in or to any shares of Common Stock allocated or reserved for the purpose of the Plan or subject to the Grant Notice or these Standard Terms and Conditions except as to such shares of Common Stock, if any, as shall have been issued to such person in connection with the Award. Nothing in the Plan, in the Grant Notice, these Standard Terms and Conditions or any other instrument executed pursuant to the Plan shall confer upon the Participant any right to continue in the Company’s employ or service nor limit in any way the Company’s right to terminate the Participant’s employment at any time for any reason.</w:t>
      </w:r>
    </w:p>
    <w:p>
      <w:pPr>
        <w:spacing w:after="0" w:line="177" w:lineRule="exact"/>
        <w:rPr>
          <w:sz w:val="20"/>
          <w:szCs w:val="20"/>
          <w:color w:val="auto"/>
        </w:rPr>
      </w:pPr>
    </w:p>
    <w:p>
      <w:pPr>
        <w:ind w:left="760" w:hanging="752"/>
        <w:spacing w:after="0"/>
        <w:tabs>
          <w:tab w:leader="none" w:pos="760"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w:t>
      </w:r>
    </w:p>
    <w:p>
      <w:pPr>
        <w:spacing w:after="0" w:line="209"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20"/>
          <w:szCs w:val="20"/>
          <w:color w:val="auto"/>
        </w:rPr>
        <w:t>(h)In the event that any provision of these Standard Terms and Conditions is declared to be illegal, invalid or otherwise unenforceable by a court of competent jurisdiction, such provision shall be reformed, if possible, to the extent necessary to render it legal, valid and enforceable, or otherwise deleted, and the remainder of these Standard Terms and Conditions shall not be affected except to the extent necessary to reform or delete such illegal, invalid or unenforceable provision.</w:t>
      </w:r>
    </w:p>
    <w:p>
      <w:pPr>
        <w:spacing w:after="0" w:line="148" w:lineRule="exact"/>
        <w:rPr>
          <w:sz w:val="20"/>
          <w:szCs w:val="20"/>
          <w:color w:val="auto"/>
        </w:rPr>
      </w:pPr>
    </w:p>
    <w:p>
      <w:pPr>
        <w:ind w:firstLine="756"/>
        <w:spacing w:after="0" w:line="258" w:lineRule="auto"/>
        <w:tabs>
          <w:tab w:leader="none" w:pos="101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headings preceding the text of the sections hereof are inserted solely for convenience of reference, and shall not constitute a part of these Standard Terms and Conditions,</w:t>
      </w:r>
    </w:p>
    <w:p>
      <w:pPr>
        <w:spacing w:after="0" w:line="200" w:lineRule="exact"/>
        <w:rPr>
          <w:sz w:val="20"/>
          <w:szCs w:val="20"/>
          <w:color w:val="auto"/>
        </w:rPr>
      </w:pPr>
    </w:p>
    <w:p>
      <w:pPr>
        <w:spacing w:after="0" w:line="3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52" w:name="page53"/>
    <w:bookmarkEnd w:id="52"/>
    <w:p>
      <w:pPr>
        <w:spacing w:after="0" w:line="18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nor shall they affect its meaning, construction or effect. Words in the masculine gender shall include the feminine gender, and where appropriate, the plural shall include the singular and the singular shall include the plural.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References herein to any agreement, instrument or other document means such agreement, instrument or other document as amended, supplemented and modified from time to time to the extent permitted by the provisions thereof and not prohibited by the Plan or these Standard Terms and Conditions.</w:t>
      </w:r>
    </w:p>
    <w:p>
      <w:pPr>
        <w:spacing w:after="0" w:line="180" w:lineRule="exact"/>
        <w:rPr>
          <w:sz w:val="20"/>
          <w:szCs w:val="20"/>
          <w:color w:val="auto"/>
        </w:rPr>
      </w:pPr>
    </w:p>
    <w:p>
      <w:pPr>
        <w:ind w:firstLine="756"/>
        <w:spacing w:after="0" w:line="258" w:lineRule="auto"/>
        <w:tabs>
          <w:tab w:leader="none" w:pos="101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These Standard Terms and Conditions shall inure to the benefit of and be binding upon the parties hereto and their respective permitted heirs, beneficiaries, successors and assigns.</w:t>
      </w:r>
    </w:p>
    <w:p>
      <w:pPr>
        <w:spacing w:after="0" w:line="15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(k)These Standard Terms and Conditions shall be construed in accordance with and governed by the laws of the State of Delaware, without regard to principles of conflicts of law.</w:t>
      </w:r>
    </w:p>
    <w:p>
      <w:pPr>
        <w:spacing w:after="0" w:line="157" w:lineRule="exact"/>
        <w:rPr>
          <w:sz w:val="20"/>
          <w:szCs w:val="20"/>
          <w:color w:val="auto"/>
        </w:rPr>
      </w:pPr>
    </w:p>
    <w:p>
      <w:pPr>
        <w:jc w:val="both"/>
        <w:ind w:firstLine="756"/>
        <w:spacing w:after="0" w:line="244" w:lineRule="auto"/>
        <w:tabs>
          <w:tab w:leader="none" w:pos="1016"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conflict between the Grant Notice, these Standard Terms and Conditions and the Plan, the Grant Notice and these Standard Terms and Conditions shall control. In the event of any conflict between the Grant Notice and these Standard Terms and Conditions, the Grant Notice shall control.</w:t>
      </w:r>
    </w:p>
    <w:p>
      <w:pPr>
        <w:spacing w:after="0" w:line="17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(m)All questions arising under the Plan or under these Standard Terms and Conditions shall be decided by the Committee in its total and absolute discretion.</w:t>
      </w:r>
    </w:p>
    <w:p>
      <w:pPr>
        <w:spacing w:after="0" w:line="153" w:lineRule="exact"/>
        <w:rPr>
          <w:sz w:val="20"/>
          <w:szCs w:val="20"/>
          <w:color w:val="auto"/>
        </w:rPr>
      </w:pPr>
    </w:p>
    <w:p>
      <w:pPr>
        <w:ind w:left="760" w:hanging="752"/>
        <w:spacing w:after="0"/>
        <w:tabs>
          <w:tab w:leader="none" w:pos="760"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CLAWBACK.</w:t>
      </w:r>
    </w:p>
    <w:p>
      <w:pPr>
        <w:spacing w:after="0" w:line="20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The RSUs and any shares of Common Stock received upon settlement of the RSUs will be subject to recoupment in accordance with any clawback policy adopted by the Company. No recovery of compensation under such a clawback policy will be an event giving rise to a right to resign for “good reason” or “constructive termination” (or similar term) under any agreement with the Company. By accepting the RSUs, the Participant is agreeing to be bound by any such clawback policy, as in effect or as may be adopted and/or modified from time to time by the Company in its discretion.</w:t>
      </w:r>
    </w:p>
    <w:p>
      <w:pPr>
        <w:spacing w:after="0" w:line="176" w:lineRule="exact"/>
        <w:rPr>
          <w:sz w:val="20"/>
          <w:szCs w:val="20"/>
          <w:color w:val="auto"/>
        </w:rPr>
      </w:pPr>
    </w:p>
    <w:p>
      <w:pPr>
        <w:ind w:left="760" w:hanging="752"/>
        <w:spacing w:after="0"/>
        <w:tabs>
          <w:tab w:leader="none" w:pos="760"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ELECTRONIC DELIVERY</w:t>
      </w:r>
    </w:p>
    <w:p>
      <w:pPr>
        <w:spacing w:after="0" w:line="20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By executing the Grant Notice, the Participant hereby consents to the delivery of information (including, without limitation, information required to be delivered to the Participant pursuant to applicable securities laws) regarding the Company and the Subsidiaries, the Plan, and the Restricted Stock Units via Company web site or other electronic delivery.</w:t>
      </w:r>
    </w:p>
    <w:p>
      <w:pPr>
        <w:spacing w:after="0" w:line="200" w:lineRule="exact"/>
        <w:rPr>
          <w:sz w:val="20"/>
          <w:szCs w:val="20"/>
          <w:color w:val="auto"/>
        </w:rPr>
      </w:pPr>
    </w:p>
    <w:p>
      <w:pPr>
        <w:spacing w:after="0" w:line="3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CONFIDENTIALITY AND INVENTIONS AGREEMENT</w:t>
      </w:r>
    </w:p>
    <w:p>
      <w:pPr>
        <w:spacing w:after="0" w:line="20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As a condition to the receipt of the Award granted pursuant to the Grant Notice to which this Confidentiality and Inventions Agreement is attached and in consideration of the Participant’s continued employment with the Company, the Participant hereby confirms the Participant’s agreement as follows:</w:t>
      </w:r>
    </w:p>
    <w:p>
      <w:pPr>
        <w:spacing w:after="0" w:line="168" w:lineRule="exact"/>
        <w:rPr>
          <w:sz w:val="20"/>
          <w:szCs w:val="20"/>
          <w:color w:val="auto"/>
        </w:rPr>
      </w:pPr>
    </w:p>
    <w:p>
      <w:pPr>
        <w:ind w:left="520" w:hanging="512"/>
        <w:spacing w:after="0"/>
        <w:tabs>
          <w:tab w:leader="none" w:pos="520"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w:t>
      </w:r>
    </w:p>
    <w:p>
      <w:pPr>
        <w:spacing w:after="0" w:line="20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0"/>
          <w:szCs w:val="20"/>
          <w:color w:val="auto"/>
        </w:rPr>
        <w:t>The Participant’s employment by the Company is in a capacity in which he or she may have access to, or contribute to the production of, Confidential Information and the Company Work Product (both as defined below). The Participant’s employment creates a relationship of confidence and trust between the Company and the Participant with respect to the Confidential Information and the Company Work Product as set forth herein. This Confidentiality and Inventions Agreement are subject to the terms of the Standard Terms and Conditions attached as Exhibit A to the Grant Notice to which this Confidentiality and Inventions Agreement is attached; provided however, that in the event of any conflict between the Standard Terms and Conditions and this Confidentiality and Inventions Agreement, this Confidentiality and Inventions Agreement shall control.</w:t>
      </w:r>
    </w:p>
    <w:p>
      <w:pPr>
        <w:spacing w:after="0" w:line="153" w:lineRule="exact"/>
        <w:rPr>
          <w:sz w:val="20"/>
          <w:szCs w:val="20"/>
          <w:color w:val="auto"/>
        </w:rPr>
      </w:pPr>
    </w:p>
    <w:p>
      <w:pPr>
        <w:ind w:left="520" w:hanging="512"/>
        <w:spacing w:after="0"/>
        <w:tabs>
          <w:tab w:leader="none" w:pos="520"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Capitalized terms not otherwise defined herein shall have the meaning set forth in the Petco Health and Wellness Company, Inc.</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2021 Equity Incentive Plan, as amended from time to time. For purposes of this Confidentiality and Inventions Agreement:</w:t>
      </w:r>
    </w:p>
    <w:p>
      <w:pPr>
        <w:spacing w:after="0" w:line="175" w:lineRule="exact"/>
        <w:rPr>
          <w:sz w:val="20"/>
          <w:szCs w:val="20"/>
          <w:color w:val="auto"/>
        </w:rPr>
      </w:pPr>
    </w:p>
    <w:p>
      <w:pPr>
        <w:jc w:val="both"/>
        <w:ind w:right="80" w:firstLine="749"/>
        <w:spacing w:after="0" w:line="257" w:lineRule="auto"/>
        <w:rPr>
          <w:sz w:val="20"/>
          <w:szCs w:val="20"/>
          <w:color w:val="auto"/>
        </w:rPr>
      </w:pPr>
      <w:r>
        <w:rPr>
          <w:rFonts w:ascii="Times New Roman" w:cs="Times New Roman" w:eastAsia="Times New Roman" w:hAnsi="Times New Roman"/>
          <w:sz w:val="20"/>
          <w:szCs w:val="20"/>
          <w:color w:val="auto"/>
        </w:rPr>
        <w:t>(n)“</w:t>
      </w:r>
      <w:r>
        <w:rPr>
          <w:rFonts w:ascii="Times New Roman" w:cs="Times New Roman" w:eastAsia="Times New Roman" w:hAnsi="Times New Roman"/>
          <w:sz w:val="20"/>
          <w:szCs w:val="20"/>
          <w:b w:val="1"/>
          <w:bCs w:val="1"/>
          <w:i w:val="1"/>
          <w:iCs w:val="1"/>
          <w:color w:val="auto"/>
        </w:rPr>
        <w:t>Confidential Information</w:t>
      </w:r>
      <w:r>
        <w:rPr>
          <w:rFonts w:ascii="Times New Roman" w:cs="Times New Roman" w:eastAsia="Times New Roman" w:hAnsi="Times New Roman"/>
          <w:sz w:val="20"/>
          <w:szCs w:val="20"/>
          <w:color w:val="auto"/>
        </w:rPr>
        <w:t>” shall mean information or material (i) that is proprietary to the Company or confidential to the Company, whether or not designated or labeled as such, and (ii) that the Participant creates, discovers or develops, or of which the Participant obtains knowledge of or access to, in the course of the Participant’s employment with the Company. Confidential Information may include, but is not limited to, designs, works of authorship, formulae, ideas, concepts, techniques, inventions, devices, improvements, know-how, methods, processes, drawings, specifications, models, data, diagrams, flow charts, research, procedures, computer programs, marketing techniques and materials, business, marketing, development and product plans, financial information, customer lists and contact information, personnel information, and other confidential business or technical information created on behalf of the Company or obtained as a result of or in the course of employment with the Company. For purposes of this Confidentiality and Inventions Agreement,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shall mean the Company or any of its Affiliates. To the extent that the participant can demonstrate by competent proof that one of the following exceptions applies, the Participant shall have no obligation under this Confidentiality and Inventions Agreement to maintain in confidence any: (I) INFORMATION THAT IS OR BECOMES GENERALLY PUBLICLY KNOWN OTHER THAN AS A RESULT OF THE PARTICIPANT’S DISCLOSURE IN VIOLATION OF THIS AGREEMENT, (II) INFORMATION THAT WAS KNOWN BY THE PARTICIPANT OR AVAILABLE TO THE PARTICIPANT WITHOUT RESTRICTION PRIOR TO DISCLOSURE TO THE PARTICIPANT BY THE COMPANY, (III) INFORMATION THAT BECOMES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B</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4"/>
          <w:szCs w:val="14"/>
          <w:color w:val="auto"/>
        </w:rPr>
        <w:t>onfidentiality and</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nventions</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462280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54" w:name="page55"/>
    <w:bookmarkEnd w:id="54"/>
    <w:p>
      <w:pPr>
        <w:spacing w:after="0" w:line="18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AVAILABLE TO THE PARTICIPANT ON A NON-CONFIDENTIAL BASIS FROM A THIRD PARTY THAT IS NOT SUBJECT TO CONFIDENTIALITY OBLIGATIONS IN FAVOR, OR THAT INURE TO THE BENEFIT, OF THE COMPANY, AND (IV) INFORMATION THAT WAS DEVELOPED INDEPENDENTLY BY OR FOR THE PARTICIPANT WITHOUT REFERENCE TO THE CONFIDENTIAL INFORMATION, USE OF COMPANY RESOURCES OR BREACH OF THIS AGREEMENT, INCLUDING, WITHOUT LIMITATION, THE “PRE-EMPLOYMENT WORK PRODUCT” (AS DEFINED BELOW).</w:t>
      </w:r>
    </w:p>
    <w:p>
      <w:pPr>
        <w:spacing w:after="0" w:line="173"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20"/>
          <w:szCs w:val="20"/>
          <w:b w:val="1"/>
          <w:bCs w:val="1"/>
          <w:i w:val="1"/>
          <w:iCs w:val="1"/>
          <w:color w:val="auto"/>
        </w:rPr>
        <w:t>Work Product</w:t>
      </w:r>
      <w:r>
        <w:rPr>
          <w:rFonts w:ascii="Times New Roman" w:cs="Times New Roman" w:eastAsia="Times New Roman" w:hAnsi="Times New Roman"/>
          <w:sz w:val="20"/>
          <w:szCs w:val="20"/>
          <w:color w:val="auto"/>
        </w:rPr>
        <w:t>” shall mean inventions, data, ideas, designs, drawings, works of authorship, trademarks, service marks, trade names, service names, logos, developments, formulae, concepts, techniques, devices, improvements, know-how, methods, processes, programs and discoveries, whether or not patentable or protectable under applicable copyright or trademark law, or under other similar law, and whether or not reduced to practice or tangible form, together with any improvements thereon or thereto, derivative works therefrom, and intellectual property rights therein created on behalf of the Company as part of the obligation of employment in performing work for the Company or otherwise in the course of employment with the Company.</w:t>
      </w:r>
    </w:p>
    <w:p>
      <w:pPr>
        <w:spacing w:after="0" w:line="150" w:lineRule="exact"/>
        <w:rPr>
          <w:sz w:val="20"/>
          <w:szCs w:val="20"/>
          <w:color w:val="auto"/>
        </w:rPr>
      </w:pPr>
    </w:p>
    <w:p>
      <w:pPr>
        <w:ind w:left="520" w:hanging="512"/>
        <w:spacing w:after="0"/>
        <w:tabs>
          <w:tab w:leader="none" w:pos="520"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CONFIDENTIALITY</w:t>
      </w:r>
    </w:p>
    <w:p>
      <w:pPr>
        <w:spacing w:after="0" w:line="209"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(p)During the term of the Participant’s employment by the Company and at all times thereafter, The Participant will keep in strict confidence and trust all Confidential Information, and the Participant will not, directly or indirectly, disclose, distribute, sell, transfer, use, lecture upon or publish any Confidential Information, except as may be necessary in the course of performing the Participant’s duties as an employee of the Company or as the Company authorizes or permits. Notwithstanding the foregoing, the Participant shall be entitled to continue to use Confidential Information of the Company transferred to a purchaser (“</w:t>
      </w:r>
      <w:r>
        <w:rPr>
          <w:rFonts w:ascii="Times New Roman" w:cs="Times New Roman" w:eastAsia="Times New Roman" w:hAnsi="Times New Roman"/>
          <w:sz w:val="22"/>
          <w:szCs w:val="22"/>
          <w:b w:val="1"/>
          <w:bCs w:val="1"/>
          <w:i w:val="1"/>
          <w:iCs w:val="1"/>
          <w:color w:val="auto"/>
        </w:rPr>
        <w:t>Purchaser</w:t>
      </w:r>
      <w:r>
        <w:rPr>
          <w:rFonts w:ascii="Times New Roman" w:cs="Times New Roman" w:eastAsia="Times New Roman" w:hAnsi="Times New Roman"/>
          <w:sz w:val="22"/>
          <w:szCs w:val="22"/>
          <w:color w:val="auto"/>
        </w:rPr>
        <w:t>”) of all or substantially all of the assets of a business (“</w:t>
      </w:r>
      <w:r>
        <w:rPr>
          <w:rFonts w:ascii="Times New Roman" w:cs="Times New Roman" w:eastAsia="Times New Roman" w:hAnsi="Times New Roman"/>
          <w:sz w:val="22"/>
          <w:szCs w:val="22"/>
          <w:b w:val="1"/>
          <w:bCs w:val="1"/>
          <w:i w:val="1"/>
          <w:iCs w:val="1"/>
          <w:color w:val="auto"/>
        </w:rPr>
        <w:t>Business</w:t>
      </w:r>
      <w:r>
        <w:rPr>
          <w:rFonts w:ascii="Times New Roman" w:cs="Times New Roman" w:eastAsia="Times New Roman" w:hAnsi="Times New Roman"/>
          <w:sz w:val="22"/>
          <w:szCs w:val="22"/>
          <w:color w:val="auto"/>
        </w:rPr>
        <w:t>”) of Company (an “</w:t>
      </w:r>
      <w:r>
        <w:rPr>
          <w:rFonts w:ascii="Times New Roman" w:cs="Times New Roman" w:eastAsia="Times New Roman" w:hAnsi="Times New Roman"/>
          <w:sz w:val="22"/>
          <w:szCs w:val="22"/>
          <w:b w:val="1"/>
          <w:bCs w:val="1"/>
          <w:i w:val="1"/>
          <w:iCs w:val="1"/>
          <w:color w:val="auto"/>
        </w:rPr>
        <w:t>Acquisition</w:t>
      </w:r>
      <w:r>
        <w:rPr>
          <w:rFonts w:ascii="Times New Roman" w:cs="Times New Roman" w:eastAsia="Times New Roman" w:hAnsi="Times New Roman"/>
          <w:sz w:val="22"/>
          <w:szCs w:val="22"/>
          <w:color w:val="auto"/>
        </w:rPr>
        <w:t>”) solely to the extent that the Participant becomes an employee of such Purchaser or Purchaser’s designated affiliate upon consummation of the Acquisition and such Confidential Information is used in the Business prior to consummation of the Acquisition. The Participant acknowledges and agrees that, upon consummation of the Acquisition, the Confidential Information shall be deemed the Confidential Information of the Purchaser and subject to the Participant’s applicable employment, confidentiality and inventions assignment agreement with such Purchaser.</w:t>
      </w:r>
    </w:p>
    <w:p>
      <w:pPr>
        <w:spacing w:after="0" w:line="184"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(q)The Participant recognizes that the Company has received and in the future will receive information from third parties which is subject to an obligation on the Company’s part to maintain the confidentiality of such information and to use it only for certain limited purposes. The Participant agrees, during the term of the Participant’s employment and thereafter, to hold all such confidential or proprietary information of third parties in the strictest confidence and not to disclose or use it, except as necessary in performing the Participant’s duties as an employee of the Company consistent with the Company’s agreement with such third party. The Participant agrees that such information will be subject to the terms of this Confidentiality and Inventions Agreement as Confidential Information.</w:t>
      </w:r>
    </w:p>
    <w:p>
      <w:pPr>
        <w:spacing w:after="0" w:line="181" w:lineRule="exact"/>
        <w:rPr>
          <w:sz w:val="20"/>
          <w:szCs w:val="20"/>
          <w:color w:val="auto"/>
        </w:rPr>
      </w:pPr>
    </w:p>
    <w:p>
      <w:pPr>
        <w:ind w:left="5460" w:right="3100" w:hanging="4704"/>
        <w:spacing w:after="0" w:line="846" w:lineRule="auto"/>
        <w:tabs>
          <w:tab w:leader="none" w:pos="1022"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Protected Disclosures</w:t>
      </w:r>
      <w:r>
        <w:rPr>
          <w:rFonts w:ascii="Times New Roman" w:cs="Times New Roman" w:eastAsia="Times New Roman" w:hAnsi="Times New Roman"/>
          <w:sz w:val="22"/>
          <w:szCs w:val="22"/>
          <w:color w:val="auto"/>
        </w:rPr>
        <w:t>. 18 U.S.C. § 1833(b) provides: “An individual shall not be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55" w:name="page56"/>
    <w:bookmarkEnd w:id="55"/>
    <w:p>
      <w:pPr>
        <w:spacing w:after="0" w:line="102" w:lineRule="exact"/>
        <w:rPr>
          <w:sz w:val="20"/>
          <w:szCs w:val="20"/>
          <w:color w:val="auto"/>
        </w:rPr>
      </w:pPr>
    </w:p>
    <w:p>
      <w:pPr>
        <w:jc w:val="both"/>
        <w:ind w:right="80"/>
        <w:spacing w:after="0" w:line="232" w:lineRule="auto"/>
        <w:rPr>
          <w:sz w:val="20"/>
          <w:szCs w:val="20"/>
          <w:color w:val="auto"/>
        </w:rPr>
      </w:pPr>
      <w:r>
        <w:rPr>
          <w:rFonts w:ascii="Times New Roman" w:cs="Times New Roman" w:eastAsia="Times New Roman" w:hAnsi="Times New Roman"/>
          <w:sz w:val="22"/>
          <w:szCs w:val="22"/>
          <w:color w:val="auto"/>
        </w:rPr>
        <w:t>held criminally or civilly liable under any Federal or State trade secret law for the disclosure of a trade secret that—(A)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Nothing in this Agreement is intended to conflict with 18 U.S.C. § 1833(b) or create liability for disclosures of trade secrets that are expressly allowed by 18 U.S.C. § 1833(b). Accordingly, the parties to this Agreement have the right to disclose in confidence trade secrets to federal, state, and local government officials, or to an attorney, for the sole purpose of reporting or investigating a suspected violation of law. The parties also have the right to disclose trade secrets in a document filed in a lawsuit or other proceeding, but only if the filing is made under seal and protected from public disclosure. Nothing in this Confidentiality and Inventions Agreement prevents the Participant from discussing or disclosing information about unlawful acts in the workplace, such as harassment or discrimination or any other conduct that the Participant has reason to believe is unlawful. Furthermore, and for the avoidance of doubt, nothing in this Confidentiality and Inventions Agreement limits or restricts the Participant’s ability to communicate with the Securities and Exchange Commission or any other federal, state or local governmental agency or commission (each a “</w:t>
      </w:r>
      <w:r>
        <w:rPr>
          <w:rFonts w:ascii="Times New Roman" w:cs="Times New Roman" w:eastAsia="Times New Roman" w:hAnsi="Times New Roman"/>
          <w:sz w:val="22"/>
          <w:szCs w:val="22"/>
          <w:b w:val="1"/>
          <w:bCs w:val="1"/>
          <w:i w:val="1"/>
          <w:iCs w:val="1"/>
          <w:color w:val="auto"/>
        </w:rPr>
        <w:t>Government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Agency</w:t>
      </w:r>
      <w:r>
        <w:rPr>
          <w:rFonts w:ascii="Times New Roman" w:cs="Times New Roman" w:eastAsia="Times New Roman" w:hAnsi="Times New Roman"/>
          <w:sz w:val="22"/>
          <w:szCs w:val="22"/>
          <w:color w:val="auto"/>
        </w:rPr>
        <w:t>”) or otherwise participate in any investigation or proceeding that may be conducted by any Government Agency,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including providing documents or other information and reporting possible violations of law or regulation or other disclosures protected under the whistleblower provisions of applicable law or regulation, without notice to the Company.</w:t>
      </w:r>
    </w:p>
    <w:p>
      <w:pPr>
        <w:spacing w:after="0" w:line="182" w:lineRule="exact"/>
        <w:rPr>
          <w:sz w:val="20"/>
          <w:szCs w:val="20"/>
          <w:color w:val="auto"/>
        </w:rPr>
      </w:pPr>
    </w:p>
    <w:p>
      <w:pPr>
        <w:ind w:left="520" w:hanging="512"/>
        <w:spacing w:after="0"/>
        <w:tabs>
          <w:tab w:leader="none" w:pos="520" w:val="left"/>
        </w:tabs>
        <w:numPr>
          <w:ilvl w:val="0"/>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COMPANY PROPERTY</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All apparatus, computers, computer files and media, notes, data, documents, reference materials, sketches, memoranda, records, drawings, engineering log books, equipment, lab/inventor notebooks, programs, prototypes, samples, equipment, tangible embodiments of information, and other physical property, whether or not pertaining to Confidential Information, furnished to the Participant or produced by the Participant or others in connection with the Participant’s employment, shall be and remain the sole property of the Company and any such property actually in the Participant’s possession or control shall be returned promptly to the Company as and when requested in writing by the Company. Should the Company not so request, the Participant shall return and deliver all such property to the Company upon termination of the Participant’s employment. The Participant may not retain any such property or any reproduction of such property upon such termination. The Participant further agrees that any property situated on the Company’s premises and owned, leased, maintained or otherwise contracted for by the Company, including, but not limited to, computers, computer files, e-mail, voicemail, disks and other electronic storage media, filing cabinets, desks or other work areas, are subject to inspection by the Company’s representatives at any time with or without notice.</w:t>
      </w:r>
    </w:p>
    <w:p>
      <w:pPr>
        <w:spacing w:after="0" w:line="162" w:lineRule="exact"/>
        <w:rPr>
          <w:sz w:val="20"/>
          <w:szCs w:val="20"/>
          <w:color w:val="auto"/>
        </w:rPr>
      </w:pPr>
    </w:p>
    <w:p>
      <w:pPr>
        <w:ind w:left="520" w:hanging="512"/>
        <w:spacing w:after="0"/>
        <w:tabs>
          <w:tab w:leader="none" w:pos="520" w:val="left"/>
        </w:tabs>
        <w:numPr>
          <w:ilvl w:val="0"/>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COMPANY WORK PRODUCT</w:t>
      </w:r>
    </w:p>
    <w:p>
      <w:pPr>
        <w:spacing w:after="0" w:line="20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Subject to Section 6 and 7 below, the Participant agrees that any Work Product, in whole or in part, conceived, developed, made or reduced to practice by the Participant (either solely or in conjunction with others) during the term of his or her employment with the Company (collectively, the “</w:t>
      </w:r>
      <w:r>
        <w:rPr>
          <w:rFonts w:ascii="Times New Roman" w:cs="Times New Roman" w:eastAsia="Times New Roman" w:hAnsi="Times New Roman"/>
          <w:sz w:val="20"/>
          <w:szCs w:val="20"/>
          <w:b w:val="1"/>
          <w:bCs w:val="1"/>
          <w:i w:val="1"/>
          <w:iCs w:val="1"/>
          <w:color w:val="auto"/>
        </w:rPr>
        <w:t>Company Work Product</w:t>
      </w:r>
      <w:r>
        <w:rPr>
          <w:rFonts w:ascii="Times New Roman" w:cs="Times New Roman" w:eastAsia="Times New Roman" w:hAnsi="Times New Roman"/>
          <w:sz w:val="20"/>
          <w:szCs w:val="20"/>
          <w:color w:val="auto"/>
        </w:rPr>
        <w:t>”) shall be owned exclusively by the Company (or, to the extent</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83"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applicable, a Purchaser pursuant to an Acquisition). Without limiting the foregoing, the Participant agrees that any of the Company Work Product shall be deemed to be “works made for hire” as defined in U.S. Copyright Act §101, and all right, title, and interest therein shall vest solely in the Company from conception. The Participant hereby irrevocably assigns and transfers, and agrees to assign and transfer in the future on the Company’s request, to the Company all right, title and interest in and to any Company Work Product, including, but not limited to, patents, copyrights and other intellectual property rights therein. The Participant shall treat any such Company Work Product as Confidential Information. The Participant will execute all applications, assignments, instruments and other documents and perform all acts consistent herewith as the Company or its counsel may deem necessary or desirable to obtain, perfect or enforce any patents, copyright registrations or other protections on such Company Work Product and to otherwise protect the interests of the Company therein. The Participant’s obligation to reasonably assist the Company in obtaining and enforcing the intellectual property and other rights in the Company Work Product in any and all jurisdictions shall continue beyond the termination of the Participant’s employment. The Participant acknowledges that the Company may need to secure the Participant’s signature for lawful and necessary documents required to apply for, maintain or enforce intellectual property and other rights with respect to the Company Work Product (including, but not limited to, renewals, extensions, continuations, divisions or continuations in part of patent applications). The Participant hereby irrevocably designates and appoints the Company and its duly authorized officers and agents, as the Participant’s agents and attorneys-in-fact, to act for and on the Participant’s behalf and instead of the Participant, to execute and file any such document(s) and to do all other lawfully permitted acts to further the prosecution, issuance and enforcement of patents, copyright registrations and other protections on the Company Work Product with the same legal force and effect as if executed by the Participant. The Participant further hereby waives and relinquishes any and all moral rights that the Participant may have in the Company Work Product.</w:t>
      </w:r>
    </w:p>
    <w:p>
      <w:pPr>
        <w:spacing w:after="0" w:line="175" w:lineRule="exact"/>
        <w:rPr>
          <w:sz w:val="20"/>
          <w:szCs w:val="20"/>
          <w:color w:val="auto"/>
        </w:rPr>
      </w:pPr>
    </w:p>
    <w:p>
      <w:pPr>
        <w:ind w:left="520" w:hanging="512"/>
        <w:spacing w:after="0"/>
        <w:tabs>
          <w:tab w:leader="none" w:pos="520"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EXCEPTION TO ASSIGNMENTS</w:t>
      </w:r>
    </w:p>
    <w:p>
      <w:pPr>
        <w:spacing w:after="0" w:line="20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Pursuant to Section 2870 of the California Labor Code, the requirements set forth in Section 5 of this Agreement shall not apply to an invention that the Participant develops entirely on his or her own time without using the Company’s equipment, supplies, facilities, or trade secret information except for those inventions that either: (i) relate at the time of conception or reduction to practice of the invention to the Company’s business, or actual or demonstrably anticipated research or development of the Company; or (ii) result from any work performed by the Participant for the Company.</w:t>
      </w:r>
    </w:p>
    <w:p>
      <w:pPr>
        <w:spacing w:after="0" w:line="176" w:lineRule="exact"/>
        <w:rPr>
          <w:sz w:val="20"/>
          <w:szCs w:val="20"/>
          <w:color w:val="auto"/>
        </w:rPr>
      </w:pPr>
    </w:p>
    <w:p>
      <w:pPr>
        <w:ind w:left="520" w:hanging="512"/>
        <w:spacing w:after="0"/>
        <w:tabs>
          <w:tab w:leader="none" w:pos="520" w:val="left"/>
        </w:tabs>
        <w:numPr>
          <w:ilvl w:val="0"/>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PRE-EMPLOYMENT WORK PRODUCT</w:t>
      </w:r>
    </w:p>
    <w:p>
      <w:pPr>
        <w:spacing w:after="0" w:line="209" w:lineRule="exact"/>
        <w:rPr>
          <w:rFonts w:ascii="Times New Roman" w:cs="Times New Roman" w:eastAsia="Times New Roman" w:hAnsi="Times New Roman"/>
          <w:sz w:val="22"/>
          <w:szCs w:val="22"/>
          <w:b w:val="1"/>
          <w:bCs w:val="1"/>
          <w:color w:val="auto"/>
        </w:rPr>
      </w:pPr>
    </w:p>
    <w:p>
      <w:pPr>
        <w:ind w:left="1020" w:hanging="264"/>
        <w:spacing w:after="0"/>
        <w:tabs>
          <w:tab w:leader="none" w:pos="1020"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Work Product includes only things done for the Company in performing work for the Company.</w:t>
      </w:r>
    </w:p>
    <w:p>
      <w:pPr>
        <w:spacing w:after="0" w:line="205" w:lineRule="exact"/>
        <w:rPr>
          <w:rFonts w:ascii="Times New Roman" w:cs="Times New Roman" w:eastAsia="Times New Roman" w:hAnsi="Times New Roman"/>
          <w:sz w:val="22"/>
          <w:szCs w:val="22"/>
          <w:color w:val="auto"/>
        </w:rPr>
      </w:pPr>
    </w:p>
    <w:p>
      <w:pPr>
        <w:jc w:val="both"/>
        <w:ind w:right="80" w:firstLine="756"/>
        <w:spacing w:after="0" w:line="237" w:lineRule="auto"/>
        <w:tabs>
          <w:tab w:leader="none" w:pos="1016"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acknowledges that the Company has a strict policy against using proprietary information belonging to any other person or entity without the express permission of the owner of that information. The Participant represents and warrants that the Participant’s performance of all of the terms of this Confidentiality and Inventions Agreement and as an employee of the Company does not and will not result in a breach of any duty owed by the Participant to a third party to keep in confidence any information, knowledge or data. The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02" w:lineRule="exact"/>
        <w:rPr>
          <w:sz w:val="20"/>
          <w:szCs w:val="20"/>
          <w:color w:val="auto"/>
        </w:rPr>
      </w:pPr>
    </w:p>
    <w:p>
      <w:pPr>
        <w:jc w:val="both"/>
        <w:ind w:right="80"/>
        <w:spacing w:after="0" w:line="237" w:lineRule="auto"/>
        <w:rPr>
          <w:sz w:val="20"/>
          <w:szCs w:val="20"/>
          <w:color w:val="auto"/>
        </w:rPr>
      </w:pPr>
      <w:r>
        <w:rPr>
          <w:rFonts w:ascii="Times New Roman" w:cs="Times New Roman" w:eastAsia="Times New Roman" w:hAnsi="Times New Roman"/>
          <w:sz w:val="22"/>
          <w:szCs w:val="22"/>
          <w:color w:val="auto"/>
        </w:rPr>
        <w:t>Participant has not brought or used, and will not bring to the Company, or use, induce the Company to use, or disclose in the performance of the Participant’s duties, nor has the Participant used or disclosed in the performance of any services for the Company prior to the effective date of the Participant’s employment with the Company (if any), any equipment, supplies, facility, electronic media, software, trade secret or other information or property of any former employer or any other person or entity, unless the Participant has obtained their written authorization for its possession and use.</w:t>
      </w:r>
    </w:p>
    <w:p>
      <w:pPr>
        <w:spacing w:after="0" w:line="176" w:lineRule="exact"/>
        <w:rPr>
          <w:sz w:val="20"/>
          <w:szCs w:val="20"/>
          <w:color w:val="auto"/>
        </w:rPr>
      </w:pPr>
    </w:p>
    <w:p>
      <w:pPr>
        <w:ind w:left="520" w:hanging="512"/>
        <w:spacing w:after="0"/>
        <w:tabs>
          <w:tab w:leader="none" w:pos="520" w:val="left"/>
        </w:tabs>
        <w:numPr>
          <w:ilvl w:val="0"/>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RECORDS</w:t>
      </w:r>
    </w:p>
    <w:p>
      <w:pPr>
        <w:spacing w:after="0" w:line="20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Participant agrees that he or he or she will keep and maintain adequate and current written records (in the form of notes, sketches, drawings or such other form(s) as may be specified by the Company) of all the Company Work Product made by the Participant during the term of his or his or her employment with the Company, which records shall be available at all times to the Company and shall remain the sole property of the Company.</w:t>
      </w:r>
    </w:p>
    <w:p>
      <w:pPr>
        <w:spacing w:after="0" w:line="175" w:lineRule="exact"/>
        <w:rPr>
          <w:sz w:val="20"/>
          <w:szCs w:val="20"/>
          <w:color w:val="auto"/>
        </w:rPr>
      </w:pPr>
    </w:p>
    <w:p>
      <w:pPr>
        <w:ind w:left="520" w:hanging="512"/>
        <w:spacing w:after="0"/>
        <w:tabs>
          <w:tab w:leader="none" w:pos="520" w:val="left"/>
        </w:tabs>
        <w:numPr>
          <w:ilvl w:val="0"/>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PRESUMPTION</w:t>
      </w:r>
    </w:p>
    <w:p>
      <w:pPr>
        <w:spacing w:after="0" w:line="20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If any application for any United States or foreign patent related to or useful in the business of the Company or any customer of the Company shall be filed by or for the Participant during the period of one year after the Participant’s employment is terminated, the subject matter covered by such application shall be presumed to have been conceived during the Participant’s employment with the Company.</w:t>
      </w:r>
    </w:p>
    <w:p>
      <w:pPr>
        <w:spacing w:after="0" w:line="175" w:lineRule="exact"/>
        <w:rPr>
          <w:sz w:val="20"/>
          <w:szCs w:val="20"/>
          <w:color w:val="auto"/>
        </w:rPr>
      </w:pPr>
    </w:p>
    <w:p>
      <w:pPr>
        <w:ind w:left="520" w:hanging="512"/>
        <w:spacing w:after="0"/>
        <w:tabs>
          <w:tab w:leader="none" w:pos="520" w:val="left"/>
        </w:tabs>
        <w:numPr>
          <w:ilvl w:val="0"/>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AGREEMENTS WITH THIRD PARTIES OR THE U.S. GOVERNMENT.</w:t>
      </w:r>
    </w:p>
    <w:p>
      <w:pPr>
        <w:spacing w:after="0" w:line="20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The Participant acknowledges that the Company from time to time may have agreements with other persons or entities, or with the U.S. Government or agencies thereof, which impose obligations or restrictions on the Company regarding inventions made during the course of work thereunder or regarding the confidential nature of such work. The Participant agrees to be bound by all such obligations and restrictions of which the Participant has been made aware of by the Company and to take all action necessary to discharge the obligations of the Company thereunder.</w:t>
      </w:r>
    </w:p>
    <w:p>
      <w:pPr>
        <w:spacing w:after="0" w:line="176" w:lineRule="exact"/>
        <w:rPr>
          <w:sz w:val="20"/>
          <w:szCs w:val="20"/>
          <w:color w:val="auto"/>
        </w:rPr>
      </w:pPr>
    </w:p>
    <w:p>
      <w:pPr>
        <w:ind w:left="520" w:hanging="512"/>
        <w:spacing w:after="0"/>
        <w:tabs>
          <w:tab w:leader="none" w:pos="520" w:val="left"/>
        </w:tabs>
        <w:numPr>
          <w:ilvl w:val="0"/>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INJUNCTIVE RELIEF</w:t>
      </w:r>
    </w:p>
    <w:p>
      <w:pPr>
        <w:spacing w:after="0" w:line="20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Because of the unique nature of the Confidential Information and the Company Work Product, the Participant understands and agrees that the Company may suffer immediate and irreparable harm if the Participant fails to comply with any of his or her obligations under this Confidentiality and Inventions Agreement and that monetary damages may be inadequate to compensate the Company for such breach. Accordingly, the Participant agrees that in the event of a breach or threatened breach of this Confidentiality and Inventions Agreement, in addition to any other remedies available to it at law or in equity, the Company will be entitled, without posting bond or other security, to seek injunctive relief to enforce the terms of this Confidentiality and Inventions Agreement, including, but not limited to, restraining the Participant from violating this Confidentiality and Inventions Agreement or compelling the Participant to cease and desist all unauthorized use and disclosure of the Confidential Information and the Company Work Product. The Participant will indemnify the Company against any costs, including, but not limited to, reasonable outside legal fees and costs, incurred in obtaining relief against the Participant’s breach</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of this Confidentiality and Inventions Agreement. Nothing in this Section 11 shall be construed as prohibiting the Company from pursuing any other remedies available to it for such breach or threatened breach, including, but not limited to, recovery of damages.</w:t>
      </w:r>
    </w:p>
    <w:p>
      <w:pPr>
        <w:spacing w:after="0" w:line="168" w:lineRule="exact"/>
        <w:rPr>
          <w:sz w:val="20"/>
          <w:szCs w:val="20"/>
          <w:color w:val="auto"/>
        </w:rPr>
      </w:pPr>
    </w:p>
    <w:p>
      <w:pPr>
        <w:ind w:left="520" w:hanging="512"/>
        <w:spacing w:after="0"/>
        <w:tabs>
          <w:tab w:leader="none" w:pos="520" w:val="left"/>
        </w:tabs>
        <w:numPr>
          <w:ilvl w:val="0"/>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DISCLOSURE OF OBLIGATIONS</w:t>
      </w:r>
    </w:p>
    <w:p>
      <w:pPr>
        <w:spacing w:after="0" w:line="209"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22"/>
          <w:szCs w:val="22"/>
          <w:color w:val="auto"/>
        </w:rPr>
        <w:t>The Participant is hereby permitted and the Participant authorizes the Company to provide a copy of this Confidentiality and Inventions Agreement and any exhibits hereto to any of the Participant’s future employers, and to notify any such future employers of the Participant’s obligations and the Company’s rights hereunder, provided that neither party is under any obligation to do so.</w:t>
      </w:r>
    </w:p>
    <w:p>
      <w:pPr>
        <w:spacing w:after="0" w:line="175" w:lineRule="exact"/>
        <w:rPr>
          <w:sz w:val="20"/>
          <w:szCs w:val="20"/>
          <w:color w:val="auto"/>
        </w:rPr>
      </w:pPr>
    </w:p>
    <w:p>
      <w:pPr>
        <w:ind w:left="520" w:hanging="512"/>
        <w:spacing w:after="0"/>
        <w:tabs>
          <w:tab w:leader="none" w:pos="520"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JURISDICTION AND VENUE</w:t>
      </w:r>
    </w:p>
    <w:p>
      <w:pPr>
        <w:spacing w:after="0" w:line="20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This Confidentiality and Inventions Agreement will be governed by the laws of the State of California without regard to any conflicts-of-law rules. To the extent that any lawsuit is permitted under this Confidentiality and Inventions Agreement, the Participant hereby expressly consents to the personal and exclusive jurisdiction and venue of the state and federal courts located in San Diego, California for any lawsuit filed against the Participant by the Company. Nothing herein shall limit the right of the Company to seek and obtain injunctive relief in any jurisdiction for violation of the portions of this Confidentiality and Inventions Agreement dealing with protection of Confidential Information or the Company Work Product.</w:t>
      </w:r>
    </w:p>
    <w:p>
      <w:pPr>
        <w:spacing w:after="0" w:line="175" w:lineRule="exact"/>
        <w:rPr>
          <w:sz w:val="20"/>
          <w:szCs w:val="20"/>
          <w:color w:val="auto"/>
        </w:rPr>
      </w:pPr>
    </w:p>
    <w:p>
      <w:pPr>
        <w:ind w:left="520" w:hanging="512"/>
        <w:spacing w:after="0"/>
        <w:tabs>
          <w:tab w:leader="none" w:pos="520"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ASSIGNMENT; INUREMENT</w:t>
      </w:r>
    </w:p>
    <w:p>
      <w:pPr>
        <w:spacing w:after="0" w:line="20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Neither this Confidentiality and Inventions Agreement nor any duties or obligations under this Confidentiality and Inventions Agreement may be assigned by the Participant without the prior written consent of the Company. The Participant understands and agrees that the Company may freely assign this Confidentiality and Inventions Agreement. This Agreement shall inure to the benefit of, and shall be binding upon, the permitted assigns, successors in interest (including any Purchaser upon consummation of an Acquisition), personal representatives, estates, heirs, and legatees of each of the parties hereto. Any assignment in violation of this Section 14 shall be null and void.</w:t>
      </w:r>
    </w:p>
    <w:p>
      <w:pPr>
        <w:spacing w:after="0" w:line="175" w:lineRule="exact"/>
        <w:rPr>
          <w:sz w:val="20"/>
          <w:szCs w:val="20"/>
          <w:color w:val="auto"/>
        </w:rPr>
      </w:pPr>
    </w:p>
    <w:p>
      <w:pPr>
        <w:ind w:left="520" w:hanging="512"/>
        <w:spacing w:after="0"/>
        <w:tabs>
          <w:tab w:leader="none" w:pos="520"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SURVIVORSHIP</w:t>
      </w:r>
    </w:p>
    <w:p>
      <w:pPr>
        <w:spacing w:after="0" w:line="20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rights and obligations of the parties to this Confidentiality and Inventions Agreement will survive termination of my employment with the Company.</w:t>
      </w:r>
    </w:p>
    <w:p>
      <w:pPr>
        <w:spacing w:after="0" w:line="153" w:lineRule="exact"/>
        <w:rPr>
          <w:sz w:val="20"/>
          <w:szCs w:val="20"/>
          <w:color w:val="auto"/>
        </w:rPr>
      </w:pPr>
    </w:p>
    <w:p>
      <w:pPr>
        <w:ind w:left="520" w:hanging="512"/>
        <w:spacing w:after="0"/>
        <w:tabs>
          <w:tab w:leader="none" w:pos="520" w:val="left"/>
        </w:tabs>
        <w:numPr>
          <w:ilvl w:val="0"/>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w:t>
      </w:r>
    </w:p>
    <w:p>
      <w:pPr>
        <w:spacing w:after="0" w:line="20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In the event that any provision hereof or any obligation or grant of rights by the Participant hereunder is found invalid or unenforceable pursuant to judicial decree or decision, any such provision, obligation or grant of rights shall be deemed and construed to extend only to the maximum permitted by law, the invalid or unenforceable portions shall be severed, and the remainder of this Confidentiality and Inventions Agreement shall remain valid and enforceable according to its terms. This Confidentiality and Inventions Agreement may not be amended, waived or modified, except by an instrument in writing executed by the Participant and a duly authorized representative of the Company.</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79" w:lineRule="exact"/>
        <w:rPr>
          <w:sz w:val="20"/>
          <w:szCs w:val="20"/>
          <w:color w:val="auto"/>
        </w:rPr>
      </w:pPr>
    </w:p>
    <w:p>
      <w:pPr>
        <w:ind w:left="520" w:hanging="512"/>
        <w:spacing w:after="0"/>
        <w:tabs>
          <w:tab w:leader="none" w:pos="520"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ACKNOWLEDGMENT</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EMPLOYEE ACKNOWLEDGES THAT, IN EXECUTING THE GRANT NOTICE TO WHICH THIS CONFIDENTIALITY AND INVENTIONS AGREEMENT IS ATTACHED, EMPLOYEE HAS HAD THE OPPORTUNITY TO SEEK THE ADVICE OF INDEPENDENT LEGAL COUNSEL, AND EMPLOYEE HAS READ AND UNDERSTOOD ALL OF THE</w:t>
      </w:r>
    </w:p>
    <w:p>
      <w:pPr>
        <w:spacing w:after="0" w:line="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TERMS AND PROVISIONS OF THIS CONFIDENTIALITY AND INVENTIONS AGREEMENT. THIS CONFIDENTIALITY AND INVENTIONS AGREEMENT SHALL NOT BE CONSTRUED AGAINST ANY PARTY BY REASON OF THE DRAFTING OR PREPARATION HEREOF.</w:t>
      </w:r>
    </w:p>
    <w:p>
      <w:pPr>
        <w:spacing w:after="0" w:line="200" w:lineRule="exact"/>
        <w:rPr>
          <w:sz w:val="20"/>
          <w:szCs w:val="20"/>
          <w:color w:val="auto"/>
        </w:rPr>
      </w:pPr>
    </w:p>
    <w:p>
      <w:pPr>
        <w:spacing w:after="0" w:line="38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60" w:name="page61"/>
    <w:bookmarkEnd w:id="60"/>
    <w:p>
      <w:pPr>
        <w:ind w:left="6440"/>
        <w:spacing w:after="0"/>
        <w:tabs>
          <w:tab w:leader="none" w:pos="9440" w:val="left"/>
        </w:tabs>
        <w:rPr>
          <w:sz w:val="20"/>
          <w:szCs w:val="20"/>
          <w:color w:val="auto"/>
        </w:rPr>
      </w:pPr>
      <w:r>
        <w:rPr>
          <w:rFonts w:ascii="Times New Roman" w:cs="Times New Roman" w:eastAsia="Times New Roman" w:hAnsi="Times New Roman"/>
          <w:sz w:val="22"/>
          <w:szCs w:val="22"/>
          <w:b w:val="1"/>
          <w:bCs w:val="1"/>
          <w:color w:val="auto"/>
        </w:rPr>
        <w:t>INTERIM CEO FORM</w:t>
      </w:r>
      <w:r>
        <w:rPr>
          <w:sz w:val="20"/>
          <w:szCs w:val="20"/>
          <w:color w:val="auto"/>
        </w:rPr>
        <w:tab/>
      </w:r>
      <w:r>
        <w:rPr>
          <w:rFonts w:ascii="Times New Roman" w:cs="Times New Roman" w:eastAsia="Times New Roman" w:hAnsi="Times New Roman"/>
          <w:sz w:val="20"/>
          <w:szCs w:val="20"/>
          <w:b w:val="1"/>
          <w:bCs w:val="1"/>
          <w:color w:val="auto"/>
        </w:rPr>
        <w:t>EXHIBIT 10.4</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PETCO HEALTH AND WELLNESS COMPANY,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2021 EQUITY INCENTIVE PLAN</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GRANT NOTICE FOR</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NONQUALIFIED STOCK OPTIONS</w:t>
      </w:r>
    </w:p>
    <w:p>
      <w:pPr>
        <w:spacing w:after="0" w:line="21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FOR GOOD AND VALUABLE CONSIDERATION, Petco Health and Wellness Company,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hereby grants to Participant named below the Nonqualified Stock Option (the “</w:t>
      </w:r>
      <w:r>
        <w:rPr>
          <w:rFonts w:ascii="Times New Roman" w:cs="Times New Roman" w:eastAsia="Times New Roman" w:hAnsi="Times New Roman"/>
          <w:sz w:val="22"/>
          <w:szCs w:val="22"/>
          <w:b w:val="1"/>
          <w:bCs w:val="1"/>
          <w:i w:val="1"/>
          <w:iCs w:val="1"/>
          <w:color w:val="auto"/>
        </w:rPr>
        <w:t>Option</w:t>
      </w:r>
      <w:r>
        <w:rPr>
          <w:rFonts w:ascii="Times New Roman" w:cs="Times New Roman" w:eastAsia="Times New Roman" w:hAnsi="Times New Roman"/>
          <w:sz w:val="22"/>
          <w:szCs w:val="22"/>
          <w:color w:val="auto"/>
        </w:rPr>
        <w:t>”) to purchase any part or all of the number of shares of Common Stock that are covered by this Option at the Exercise Price per share, each specified below, and upon the terms and subject to the conditions set forth in this Grant Notice, the Petco Health and Wellness Company, Inc. 2021 Equity Incentive Plan (as amended from time to time,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the Standard Terms and Conditions (the “</w:t>
      </w:r>
      <w:r>
        <w:rPr>
          <w:rFonts w:ascii="Times New Roman" w:cs="Times New Roman" w:eastAsia="Times New Roman" w:hAnsi="Times New Roman"/>
          <w:sz w:val="22"/>
          <w:szCs w:val="22"/>
          <w:b w:val="1"/>
          <w:bCs w:val="1"/>
          <w:i w:val="1"/>
          <w:iCs w:val="1"/>
          <w:color w:val="auto"/>
        </w:rPr>
        <w:t>Standard Terms and Conditions</w:t>
      </w:r>
      <w:r>
        <w:rPr>
          <w:rFonts w:ascii="Times New Roman" w:cs="Times New Roman" w:eastAsia="Times New Roman" w:hAnsi="Times New Roman"/>
          <w:sz w:val="22"/>
          <w:szCs w:val="22"/>
          <w:color w:val="auto"/>
        </w:rPr>
        <w:t xml:space="preserve">”) promulgated under such Plan and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the Confidentiality and Inventions Agreement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This Option is granted pursuant to the Plan and is subject to and qualified in its entirety by the Standard Terms and Conditions. This Option is not intended to qualify as an incentive stock option under Section 422 of the Code. Capitalized terms not otherwise defined herein shall have the meanings set forth in the Plan.</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393"/>
        </w:trPr>
        <w:tc>
          <w:tcPr>
            <w:tcW w:w="392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 of Participant:</w:t>
            </w:r>
          </w:p>
        </w:tc>
        <w:tc>
          <w:tcPr>
            <w:tcW w:w="7320" w:type="dxa"/>
            <w:vAlign w:val="bottom"/>
            <w:tcBorders>
              <w:top w:val="single" w:sz="8" w:color="auto"/>
              <w:right w:val="single" w:sz="8" w:color="auto"/>
            </w:tcBorders>
          </w:tcPr>
          <w:p>
            <w:pPr>
              <w:spacing w:after="0"/>
              <w:rPr>
                <w:sz w:val="24"/>
                <w:szCs w:val="24"/>
                <w:color w:val="auto"/>
              </w:rPr>
            </w:pPr>
          </w:p>
        </w:tc>
      </w:tr>
      <w:tr>
        <w:trPr>
          <w:trHeight w:val="106"/>
        </w:trPr>
        <w:tc>
          <w:tcPr>
            <w:tcW w:w="3920" w:type="dxa"/>
            <w:vAlign w:val="bottom"/>
            <w:tcBorders>
              <w:left w:val="single" w:sz="8" w:color="auto"/>
              <w:bottom w:val="single" w:sz="8" w:color="auto"/>
              <w:right w:val="single" w:sz="8" w:color="auto"/>
            </w:tcBorders>
          </w:tcPr>
          <w:p>
            <w:pPr>
              <w:spacing w:after="0"/>
              <w:rPr>
                <w:sz w:val="9"/>
                <w:szCs w:val="9"/>
                <w:color w:val="auto"/>
              </w:rPr>
            </w:pPr>
          </w:p>
        </w:tc>
        <w:tc>
          <w:tcPr>
            <w:tcW w:w="7320" w:type="dxa"/>
            <w:vAlign w:val="bottom"/>
            <w:tcBorders>
              <w:bottom w:val="single" w:sz="8" w:color="auto"/>
              <w:right w:val="single" w:sz="8" w:color="auto"/>
            </w:tcBorders>
          </w:tcPr>
          <w:p>
            <w:pPr>
              <w:spacing w:after="0"/>
              <w:rPr>
                <w:sz w:val="9"/>
                <w:szCs w:val="9"/>
                <w:color w:val="auto"/>
              </w:rPr>
            </w:pPr>
          </w:p>
        </w:tc>
      </w:tr>
      <w:tr>
        <w:trPr>
          <w:trHeight w:val="373"/>
        </w:trPr>
        <w:tc>
          <w:tcPr>
            <w:tcW w:w="39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Grant Date:</w:t>
            </w:r>
          </w:p>
        </w:tc>
        <w:tc>
          <w:tcPr>
            <w:tcW w:w="7320" w:type="dxa"/>
            <w:vAlign w:val="bottom"/>
            <w:tcBorders>
              <w:right w:val="single" w:sz="8" w:color="auto"/>
            </w:tcBorders>
          </w:tcPr>
          <w:p>
            <w:pPr>
              <w:spacing w:after="0"/>
              <w:rPr>
                <w:sz w:val="24"/>
                <w:szCs w:val="24"/>
                <w:color w:val="auto"/>
              </w:rPr>
            </w:pPr>
          </w:p>
        </w:tc>
      </w:tr>
      <w:tr>
        <w:trPr>
          <w:trHeight w:val="109"/>
        </w:trPr>
        <w:tc>
          <w:tcPr>
            <w:tcW w:w="3920" w:type="dxa"/>
            <w:vAlign w:val="bottom"/>
            <w:tcBorders>
              <w:left w:val="single" w:sz="8" w:color="auto"/>
              <w:bottom w:val="single" w:sz="8" w:color="auto"/>
              <w:right w:val="single" w:sz="8" w:color="auto"/>
            </w:tcBorders>
          </w:tcPr>
          <w:p>
            <w:pPr>
              <w:spacing w:after="0"/>
              <w:rPr>
                <w:sz w:val="9"/>
                <w:szCs w:val="9"/>
                <w:color w:val="auto"/>
              </w:rPr>
            </w:pPr>
          </w:p>
        </w:tc>
        <w:tc>
          <w:tcPr>
            <w:tcW w:w="7320" w:type="dxa"/>
            <w:vAlign w:val="bottom"/>
            <w:tcBorders>
              <w:bottom w:val="single" w:sz="8" w:color="auto"/>
              <w:right w:val="single" w:sz="8" w:color="auto"/>
            </w:tcBorders>
          </w:tcPr>
          <w:p>
            <w:pPr>
              <w:spacing w:after="0"/>
              <w:rPr>
                <w:sz w:val="9"/>
                <w:szCs w:val="9"/>
                <w:color w:val="auto"/>
              </w:rPr>
            </w:pPr>
          </w:p>
        </w:tc>
      </w:tr>
      <w:tr>
        <w:trPr>
          <w:trHeight w:val="330"/>
        </w:trPr>
        <w:tc>
          <w:tcPr>
            <w:tcW w:w="39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Number of Shares of Common Stock</w:t>
            </w:r>
          </w:p>
        </w:tc>
        <w:tc>
          <w:tcPr>
            <w:tcW w:w="7320" w:type="dxa"/>
            <w:vAlign w:val="bottom"/>
            <w:tcBorders>
              <w:right w:val="single" w:sz="8" w:color="auto"/>
            </w:tcBorders>
          </w:tcPr>
          <w:p>
            <w:pPr>
              <w:spacing w:after="0"/>
              <w:rPr>
                <w:sz w:val="24"/>
                <w:szCs w:val="24"/>
                <w:color w:val="auto"/>
              </w:rPr>
            </w:pPr>
          </w:p>
        </w:tc>
      </w:tr>
      <w:tr>
        <w:trPr>
          <w:trHeight w:val="282"/>
        </w:trPr>
        <w:tc>
          <w:tcPr>
            <w:tcW w:w="39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covered by Option:</w:t>
            </w:r>
          </w:p>
        </w:tc>
        <w:tc>
          <w:tcPr>
            <w:tcW w:w="7320" w:type="dxa"/>
            <w:vAlign w:val="bottom"/>
            <w:tcBorders>
              <w:right w:val="single" w:sz="8" w:color="auto"/>
            </w:tcBorders>
          </w:tcPr>
          <w:p>
            <w:pPr>
              <w:spacing w:after="0"/>
              <w:rPr>
                <w:sz w:val="24"/>
                <w:szCs w:val="24"/>
                <w:color w:val="auto"/>
              </w:rPr>
            </w:pPr>
          </w:p>
        </w:tc>
      </w:tr>
      <w:tr>
        <w:trPr>
          <w:trHeight w:val="109"/>
        </w:trPr>
        <w:tc>
          <w:tcPr>
            <w:tcW w:w="3920" w:type="dxa"/>
            <w:vAlign w:val="bottom"/>
            <w:tcBorders>
              <w:left w:val="single" w:sz="8" w:color="auto"/>
              <w:bottom w:val="single" w:sz="8" w:color="auto"/>
              <w:right w:val="single" w:sz="8" w:color="auto"/>
            </w:tcBorders>
          </w:tcPr>
          <w:p>
            <w:pPr>
              <w:spacing w:after="0"/>
              <w:rPr>
                <w:sz w:val="9"/>
                <w:szCs w:val="9"/>
                <w:color w:val="auto"/>
              </w:rPr>
            </w:pPr>
          </w:p>
        </w:tc>
        <w:tc>
          <w:tcPr>
            <w:tcW w:w="7320" w:type="dxa"/>
            <w:vAlign w:val="bottom"/>
            <w:tcBorders>
              <w:bottom w:val="single" w:sz="8" w:color="auto"/>
              <w:right w:val="single" w:sz="8" w:color="auto"/>
            </w:tcBorders>
          </w:tcPr>
          <w:p>
            <w:pPr>
              <w:spacing w:after="0"/>
              <w:rPr>
                <w:sz w:val="9"/>
                <w:szCs w:val="9"/>
                <w:color w:val="auto"/>
              </w:rPr>
            </w:pPr>
          </w:p>
        </w:tc>
      </w:tr>
      <w:tr>
        <w:trPr>
          <w:trHeight w:val="370"/>
        </w:trPr>
        <w:tc>
          <w:tcPr>
            <w:tcW w:w="39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Exercise Price Per Share:</w:t>
            </w:r>
          </w:p>
        </w:tc>
        <w:tc>
          <w:tcPr>
            <w:tcW w:w="7320" w:type="dxa"/>
            <w:vAlign w:val="bottom"/>
            <w:tcBorders>
              <w:right w:val="single" w:sz="8" w:color="auto"/>
            </w:tcBorders>
          </w:tcPr>
          <w:p>
            <w:pPr>
              <w:spacing w:after="0"/>
              <w:rPr>
                <w:sz w:val="24"/>
                <w:szCs w:val="24"/>
                <w:color w:val="auto"/>
              </w:rPr>
            </w:pPr>
          </w:p>
        </w:tc>
      </w:tr>
      <w:tr>
        <w:trPr>
          <w:trHeight w:val="109"/>
        </w:trPr>
        <w:tc>
          <w:tcPr>
            <w:tcW w:w="3920" w:type="dxa"/>
            <w:vAlign w:val="bottom"/>
            <w:tcBorders>
              <w:left w:val="single" w:sz="8" w:color="auto"/>
              <w:bottom w:val="single" w:sz="8" w:color="auto"/>
              <w:right w:val="single" w:sz="8" w:color="auto"/>
            </w:tcBorders>
          </w:tcPr>
          <w:p>
            <w:pPr>
              <w:spacing w:after="0"/>
              <w:rPr>
                <w:sz w:val="9"/>
                <w:szCs w:val="9"/>
                <w:color w:val="auto"/>
              </w:rPr>
            </w:pPr>
          </w:p>
        </w:tc>
        <w:tc>
          <w:tcPr>
            <w:tcW w:w="7320" w:type="dxa"/>
            <w:vAlign w:val="bottom"/>
            <w:tcBorders>
              <w:bottom w:val="single" w:sz="8" w:color="auto"/>
              <w:right w:val="single" w:sz="8" w:color="auto"/>
            </w:tcBorders>
          </w:tcPr>
          <w:p>
            <w:pPr>
              <w:spacing w:after="0"/>
              <w:rPr>
                <w:sz w:val="9"/>
                <w:szCs w:val="9"/>
                <w:color w:val="auto"/>
              </w:rPr>
            </w:pPr>
          </w:p>
        </w:tc>
      </w:tr>
      <w:tr>
        <w:trPr>
          <w:trHeight w:val="370"/>
        </w:trPr>
        <w:tc>
          <w:tcPr>
            <w:tcW w:w="39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Expiration Date:</w:t>
            </w:r>
          </w:p>
        </w:tc>
        <w:tc>
          <w:tcPr>
            <w:tcW w:w="7320" w:type="dxa"/>
            <w:vAlign w:val="bottom"/>
            <w:tcBorders>
              <w:right w:val="single" w:sz="8" w:color="auto"/>
            </w:tcBorders>
          </w:tcPr>
          <w:p>
            <w:pPr>
              <w:spacing w:after="0"/>
              <w:rPr>
                <w:sz w:val="24"/>
                <w:szCs w:val="24"/>
                <w:color w:val="auto"/>
              </w:rPr>
            </w:pPr>
          </w:p>
        </w:tc>
      </w:tr>
      <w:tr>
        <w:trPr>
          <w:trHeight w:val="109"/>
        </w:trPr>
        <w:tc>
          <w:tcPr>
            <w:tcW w:w="3920" w:type="dxa"/>
            <w:vAlign w:val="bottom"/>
            <w:tcBorders>
              <w:left w:val="single" w:sz="8" w:color="auto"/>
              <w:bottom w:val="single" w:sz="8" w:color="auto"/>
              <w:right w:val="single" w:sz="8" w:color="auto"/>
            </w:tcBorders>
          </w:tcPr>
          <w:p>
            <w:pPr>
              <w:spacing w:after="0"/>
              <w:rPr>
                <w:sz w:val="9"/>
                <w:szCs w:val="9"/>
                <w:color w:val="auto"/>
              </w:rPr>
            </w:pPr>
          </w:p>
        </w:tc>
        <w:tc>
          <w:tcPr>
            <w:tcW w:w="7320" w:type="dxa"/>
            <w:vAlign w:val="bottom"/>
            <w:tcBorders>
              <w:bottom w:val="single" w:sz="8" w:color="auto"/>
              <w:right w:val="single" w:sz="8" w:color="auto"/>
            </w:tcBorders>
          </w:tcPr>
          <w:p>
            <w:pPr>
              <w:spacing w:after="0"/>
              <w:rPr>
                <w:sz w:val="9"/>
                <w:szCs w:val="9"/>
                <w:color w:val="auto"/>
              </w:rPr>
            </w:pPr>
          </w:p>
        </w:tc>
      </w:tr>
      <w:tr>
        <w:trPr>
          <w:trHeight w:val="370"/>
        </w:trPr>
        <w:tc>
          <w:tcPr>
            <w:tcW w:w="39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Vesting Commencement Date:</w:t>
            </w:r>
          </w:p>
        </w:tc>
        <w:tc>
          <w:tcPr>
            <w:tcW w:w="7320" w:type="dxa"/>
            <w:vAlign w:val="bottom"/>
            <w:tcBorders>
              <w:right w:val="single" w:sz="8" w:color="auto"/>
            </w:tcBorders>
          </w:tcPr>
          <w:p>
            <w:pPr>
              <w:spacing w:after="0"/>
              <w:rPr>
                <w:sz w:val="24"/>
                <w:szCs w:val="24"/>
                <w:color w:val="auto"/>
              </w:rPr>
            </w:pPr>
          </w:p>
        </w:tc>
      </w:tr>
      <w:tr>
        <w:trPr>
          <w:trHeight w:val="109"/>
        </w:trPr>
        <w:tc>
          <w:tcPr>
            <w:tcW w:w="3920" w:type="dxa"/>
            <w:vAlign w:val="bottom"/>
            <w:tcBorders>
              <w:left w:val="single" w:sz="8" w:color="auto"/>
              <w:bottom w:val="single" w:sz="8" w:color="auto"/>
              <w:right w:val="single" w:sz="8" w:color="auto"/>
            </w:tcBorders>
          </w:tcPr>
          <w:p>
            <w:pPr>
              <w:spacing w:after="0"/>
              <w:rPr>
                <w:sz w:val="9"/>
                <w:szCs w:val="9"/>
                <w:color w:val="auto"/>
              </w:rPr>
            </w:pPr>
          </w:p>
        </w:tc>
        <w:tc>
          <w:tcPr>
            <w:tcW w:w="7320" w:type="dxa"/>
            <w:vAlign w:val="bottom"/>
            <w:tcBorders>
              <w:bottom w:val="single" w:sz="8" w:color="auto"/>
              <w:right w:val="single" w:sz="8" w:color="auto"/>
            </w:tcBorders>
          </w:tcPr>
          <w:p>
            <w:pPr>
              <w:spacing w:after="0"/>
              <w:rPr>
                <w:sz w:val="9"/>
                <w:szCs w:val="9"/>
                <w:color w:val="auto"/>
              </w:rPr>
            </w:pPr>
          </w:p>
        </w:tc>
      </w:tr>
      <w:tr>
        <w:trPr>
          <w:trHeight w:val="330"/>
        </w:trPr>
        <w:tc>
          <w:tcPr>
            <w:tcW w:w="39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Vesting Schedule:</w:t>
            </w: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Subject to the Plan and the Standard Terms and Conditions, the Option shall vest</w:t>
            </w:r>
          </w:p>
        </w:tc>
      </w:tr>
      <w:tr>
        <w:trPr>
          <w:trHeight w:val="243"/>
        </w:trPr>
        <w:tc>
          <w:tcPr>
            <w:tcW w:w="3920" w:type="dxa"/>
            <w:vAlign w:val="bottom"/>
            <w:tcBorders>
              <w:left w:val="single" w:sz="8" w:color="auto"/>
              <w:right w:val="single" w:sz="8" w:color="auto"/>
            </w:tcBorders>
          </w:tcPr>
          <w:p>
            <w:pPr>
              <w:spacing w:after="0"/>
              <w:rPr>
                <w:sz w:val="21"/>
                <w:szCs w:val="21"/>
                <w:color w:val="auto"/>
              </w:rPr>
            </w:pPr>
          </w:p>
        </w:tc>
        <w:tc>
          <w:tcPr>
            <w:tcW w:w="7320" w:type="dxa"/>
            <w:vAlign w:val="bottom"/>
            <w:tcBorders>
              <w:right w:val="single" w:sz="8" w:color="auto"/>
            </w:tcBorders>
          </w:tcPr>
          <w:p>
            <w:pPr>
              <w:ind w:left="60"/>
              <w:spacing w:after="0" w:line="243" w:lineRule="exact"/>
              <w:rPr>
                <w:sz w:val="20"/>
                <w:szCs w:val="20"/>
                <w:color w:val="auto"/>
              </w:rPr>
            </w:pPr>
            <w:r>
              <w:rPr>
                <w:rFonts w:ascii="Times New Roman" w:cs="Times New Roman" w:eastAsia="Times New Roman" w:hAnsi="Times New Roman"/>
                <w:sz w:val="22"/>
                <w:szCs w:val="22"/>
                <w:color w:val="auto"/>
              </w:rPr>
              <w:t>, so long as Participant remains continuously employed by the Company or its</w:t>
            </w:r>
          </w:p>
        </w:tc>
      </w:tr>
      <w:tr>
        <w:trPr>
          <w:trHeight w:val="243"/>
        </w:trPr>
        <w:tc>
          <w:tcPr>
            <w:tcW w:w="3920" w:type="dxa"/>
            <w:vAlign w:val="bottom"/>
            <w:tcBorders>
              <w:left w:val="single" w:sz="8" w:color="auto"/>
              <w:right w:val="single" w:sz="8" w:color="auto"/>
            </w:tcBorders>
          </w:tcPr>
          <w:p>
            <w:pPr>
              <w:spacing w:after="0"/>
              <w:rPr>
                <w:sz w:val="21"/>
                <w:szCs w:val="21"/>
                <w:color w:val="auto"/>
              </w:rPr>
            </w:pPr>
          </w:p>
        </w:tc>
        <w:tc>
          <w:tcPr>
            <w:tcW w:w="7320" w:type="dxa"/>
            <w:vAlign w:val="bottom"/>
            <w:tcBorders>
              <w:right w:val="single" w:sz="8" w:color="auto"/>
            </w:tcBorders>
          </w:tcPr>
          <w:p>
            <w:pPr>
              <w:ind w:left="60"/>
              <w:spacing w:after="0" w:line="243" w:lineRule="exact"/>
              <w:rPr>
                <w:sz w:val="20"/>
                <w:szCs w:val="20"/>
                <w:color w:val="auto"/>
              </w:rPr>
            </w:pPr>
            <w:r>
              <w:rPr>
                <w:rFonts w:ascii="Times New Roman" w:cs="Times New Roman" w:eastAsia="Times New Roman" w:hAnsi="Times New Roman"/>
                <w:sz w:val="22"/>
                <w:szCs w:val="22"/>
                <w:color w:val="auto"/>
              </w:rPr>
              <w:t>Subsidiaries from the Grant Date through such vesting date; provided, however,</w:t>
            </w:r>
          </w:p>
        </w:tc>
      </w:tr>
      <w:tr>
        <w:trPr>
          <w:trHeight w:val="243"/>
        </w:trPr>
        <w:tc>
          <w:tcPr>
            <w:tcW w:w="3920" w:type="dxa"/>
            <w:vAlign w:val="bottom"/>
            <w:tcBorders>
              <w:left w:val="single" w:sz="8" w:color="auto"/>
              <w:right w:val="single" w:sz="8" w:color="auto"/>
            </w:tcBorders>
          </w:tcPr>
          <w:p>
            <w:pPr>
              <w:spacing w:after="0"/>
              <w:rPr>
                <w:sz w:val="21"/>
                <w:szCs w:val="21"/>
                <w:color w:val="auto"/>
              </w:rPr>
            </w:pPr>
          </w:p>
        </w:tc>
        <w:tc>
          <w:tcPr>
            <w:tcW w:w="7320" w:type="dxa"/>
            <w:vAlign w:val="bottom"/>
            <w:tcBorders>
              <w:right w:val="single" w:sz="8" w:color="auto"/>
            </w:tcBorders>
          </w:tcPr>
          <w:p>
            <w:pPr>
              <w:ind w:left="60"/>
              <w:spacing w:after="0" w:line="243" w:lineRule="exact"/>
              <w:rPr>
                <w:sz w:val="20"/>
                <w:szCs w:val="20"/>
                <w:color w:val="auto"/>
              </w:rPr>
            </w:pPr>
            <w:r>
              <w:rPr>
                <w:rFonts w:ascii="Times New Roman" w:cs="Times New Roman" w:eastAsia="Times New Roman" w:hAnsi="Times New Roman"/>
                <w:sz w:val="22"/>
                <w:szCs w:val="22"/>
                <w:color w:val="auto"/>
              </w:rPr>
              <w:t>if the Participant’s employment with the Company and its Subsidiaries is</w:t>
            </w:r>
          </w:p>
        </w:tc>
      </w:tr>
      <w:tr>
        <w:trPr>
          <w:trHeight w:val="243"/>
        </w:trPr>
        <w:tc>
          <w:tcPr>
            <w:tcW w:w="3920" w:type="dxa"/>
            <w:vAlign w:val="bottom"/>
            <w:tcBorders>
              <w:left w:val="single" w:sz="8" w:color="auto"/>
              <w:right w:val="single" w:sz="8" w:color="auto"/>
            </w:tcBorders>
          </w:tcPr>
          <w:p>
            <w:pPr>
              <w:spacing w:after="0"/>
              <w:rPr>
                <w:sz w:val="21"/>
                <w:szCs w:val="21"/>
                <w:color w:val="auto"/>
              </w:rPr>
            </w:pPr>
          </w:p>
        </w:tc>
        <w:tc>
          <w:tcPr>
            <w:tcW w:w="7320" w:type="dxa"/>
            <w:vAlign w:val="bottom"/>
            <w:tcBorders>
              <w:right w:val="single" w:sz="8" w:color="auto"/>
            </w:tcBorders>
          </w:tcPr>
          <w:p>
            <w:pPr>
              <w:ind w:left="60"/>
              <w:spacing w:after="0" w:line="243" w:lineRule="exact"/>
              <w:rPr>
                <w:sz w:val="20"/>
                <w:szCs w:val="20"/>
                <w:color w:val="auto"/>
              </w:rPr>
            </w:pPr>
            <w:r>
              <w:rPr>
                <w:rFonts w:ascii="Times New Roman" w:cs="Times New Roman" w:eastAsia="Times New Roman" w:hAnsi="Times New Roman"/>
                <w:sz w:val="22"/>
                <w:szCs w:val="22"/>
                <w:color w:val="auto"/>
              </w:rPr>
              <w:t>terminated as a result of an Early Termination, subject to the Participant’s</w:t>
            </w:r>
          </w:p>
        </w:tc>
      </w:tr>
      <w:tr>
        <w:trPr>
          <w:trHeight w:val="243"/>
        </w:trPr>
        <w:tc>
          <w:tcPr>
            <w:tcW w:w="3920" w:type="dxa"/>
            <w:vAlign w:val="bottom"/>
            <w:tcBorders>
              <w:left w:val="single" w:sz="8" w:color="auto"/>
              <w:right w:val="single" w:sz="8" w:color="auto"/>
            </w:tcBorders>
          </w:tcPr>
          <w:p>
            <w:pPr>
              <w:spacing w:after="0"/>
              <w:rPr>
                <w:sz w:val="21"/>
                <w:szCs w:val="21"/>
                <w:color w:val="auto"/>
              </w:rPr>
            </w:pPr>
          </w:p>
        </w:tc>
        <w:tc>
          <w:tcPr>
            <w:tcW w:w="7320" w:type="dxa"/>
            <w:vAlign w:val="bottom"/>
            <w:tcBorders>
              <w:right w:val="single" w:sz="8" w:color="auto"/>
            </w:tcBorders>
          </w:tcPr>
          <w:p>
            <w:pPr>
              <w:ind w:left="60"/>
              <w:spacing w:after="0" w:line="243" w:lineRule="exact"/>
              <w:rPr>
                <w:sz w:val="20"/>
                <w:szCs w:val="20"/>
                <w:color w:val="auto"/>
              </w:rPr>
            </w:pPr>
            <w:r>
              <w:rPr>
                <w:rFonts w:ascii="Times New Roman" w:cs="Times New Roman" w:eastAsia="Times New Roman" w:hAnsi="Times New Roman"/>
                <w:sz w:val="22"/>
                <w:szCs w:val="22"/>
                <w:color w:val="auto"/>
              </w:rPr>
              <w:t>execution and nonrevocation of a general release of claims in a form provided</w:t>
            </w:r>
          </w:p>
        </w:tc>
      </w:tr>
      <w:tr>
        <w:trPr>
          <w:trHeight w:val="243"/>
        </w:trPr>
        <w:tc>
          <w:tcPr>
            <w:tcW w:w="3920" w:type="dxa"/>
            <w:vAlign w:val="bottom"/>
            <w:tcBorders>
              <w:left w:val="single" w:sz="8" w:color="auto"/>
              <w:right w:val="single" w:sz="8" w:color="auto"/>
            </w:tcBorders>
          </w:tcPr>
          <w:p>
            <w:pPr>
              <w:spacing w:after="0"/>
              <w:rPr>
                <w:sz w:val="21"/>
                <w:szCs w:val="21"/>
                <w:color w:val="auto"/>
              </w:rPr>
            </w:pPr>
          </w:p>
        </w:tc>
        <w:tc>
          <w:tcPr>
            <w:tcW w:w="7320" w:type="dxa"/>
            <w:vAlign w:val="bottom"/>
            <w:tcBorders>
              <w:right w:val="single" w:sz="8" w:color="auto"/>
            </w:tcBorders>
          </w:tcPr>
          <w:p>
            <w:pPr>
              <w:ind w:left="60"/>
              <w:spacing w:after="0" w:line="243" w:lineRule="exact"/>
              <w:rPr>
                <w:sz w:val="20"/>
                <w:szCs w:val="20"/>
                <w:color w:val="auto"/>
              </w:rPr>
            </w:pPr>
            <w:r>
              <w:rPr>
                <w:rFonts w:ascii="Times New Roman" w:cs="Times New Roman" w:eastAsia="Times New Roman" w:hAnsi="Times New Roman"/>
                <w:sz w:val="22"/>
                <w:szCs w:val="22"/>
                <w:color w:val="auto"/>
              </w:rPr>
              <w:t>by the Company, the portion of the Option that would have vested on or prior to</w:t>
            </w:r>
          </w:p>
        </w:tc>
      </w:tr>
      <w:tr>
        <w:trPr>
          <w:trHeight w:val="243"/>
        </w:trPr>
        <w:tc>
          <w:tcPr>
            <w:tcW w:w="3920" w:type="dxa"/>
            <w:vAlign w:val="bottom"/>
            <w:tcBorders>
              <w:left w:val="single" w:sz="8" w:color="auto"/>
              <w:right w:val="single" w:sz="8" w:color="auto"/>
            </w:tcBorders>
          </w:tcPr>
          <w:p>
            <w:pPr>
              <w:spacing w:after="0"/>
              <w:rPr>
                <w:sz w:val="21"/>
                <w:szCs w:val="21"/>
                <w:color w:val="auto"/>
              </w:rPr>
            </w:pPr>
          </w:p>
        </w:tc>
        <w:tc>
          <w:tcPr>
            <w:tcW w:w="7320" w:type="dxa"/>
            <w:vAlign w:val="bottom"/>
            <w:tcBorders>
              <w:right w:val="single" w:sz="8" w:color="auto"/>
            </w:tcBorders>
          </w:tcPr>
          <w:p>
            <w:pPr>
              <w:ind w:left="60"/>
              <w:spacing w:after="0" w:line="243" w:lineRule="exact"/>
              <w:rPr>
                <w:sz w:val="20"/>
                <w:szCs w:val="20"/>
                <w:color w:val="auto"/>
              </w:rPr>
            </w:pPr>
            <w:r>
              <w:rPr>
                <w:rFonts w:ascii="Times New Roman" w:cs="Times New Roman" w:eastAsia="Times New Roman" w:hAnsi="Times New Roman"/>
                <w:sz w:val="22"/>
                <w:szCs w:val="22"/>
                <w:color w:val="auto"/>
              </w:rPr>
              <w:t>shall become vested as of the date of such termination and any remaining</w:t>
            </w:r>
          </w:p>
        </w:tc>
      </w:tr>
      <w:tr>
        <w:trPr>
          <w:trHeight w:val="282"/>
        </w:trPr>
        <w:tc>
          <w:tcPr>
            <w:tcW w:w="3920" w:type="dxa"/>
            <w:vAlign w:val="bottom"/>
            <w:tcBorders>
              <w:left w:val="single" w:sz="8" w:color="auto"/>
              <w:right w:val="single" w:sz="8" w:color="auto"/>
            </w:tcBorders>
          </w:tcPr>
          <w:p>
            <w:pPr>
              <w:spacing w:after="0"/>
              <w:rPr>
                <w:sz w:val="24"/>
                <w:szCs w:val="24"/>
                <w:color w:val="auto"/>
              </w:rPr>
            </w:pP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unvested portion of the Option shall be forfeited.</w:t>
            </w:r>
          </w:p>
        </w:tc>
      </w:tr>
      <w:tr>
        <w:trPr>
          <w:trHeight w:val="311"/>
        </w:trPr>
        <w:tc>
          <w:tcPr>
            <w:tcW w:w="3920" w:type="dxa"/>
            <w:vAlign w:val="bottom"/>
            <w:tcBorders>
              <w:left w:val="single" w:sz="8" w:color="auto"/>
              <w:right w:val="single" w:sz="8" w:color="auto"/>
            </w:tcBorders>
          </w:tcPr>
          <w:p>
            <w:pPr>
              <w:spacing w:after="0"/>
              <w:rPr>
                <w:sz w:val="24"/>
                <w:szCs w:val="24"/>
                <w:color w:val="auto"/>
              </w:rPr>
            </w:pP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As used herein, “</w:t>
            </w:r>
            <w:r>
              <w:rPr>
                <w:rFonts w:ascii="Times New Roman" w:cs="Times New Roman" w:eastAsia="Times New Roman" w:hAnsi="Times New Roman"/>
                <w:sz w:val="22"/>
                <w:szCs w:val="22"/>
                <w:b w:val="1"/>
                <w:bCs w:val="1"/>
                <w:i w:val="1"/>
                <w:iCs w:val="1"/>
                <w:color w:val="auto"/>
              </w:rPr>
              <w:t>Early Termination</w:t>
            </w:r>
            <w:r>
              <w:rPr>
                <w:rFonts w:ascii="Times New Roman" w:cs="Times New Roman" w:eastAsia="Times New Roman" w:hAnsi="Times New Roman"/>
                <w:sz w:val="22"/>
                <w:szCs w:val="22"/>
                <w:color w:val="auto"/>
              </w:rPr>
              <w:t>” has the meaning set forth in that certain</w:t>
            </w:r>
          </w:p>
        </w:tc>
      </w:tr>
      <w:tr>
        <w:trPr>
          <w:trHeight w:val="243"/>
        </w:trPr>
        <w:tc>
          <w:tcPr>
            <w:tcW w:w="3920" w:type="dxa"/>
            <w:vAlign w:val="bottom"/>
            <w:tcBorders>
              <w:left w:val="single" w:sz="8" w:color="auto"/>
              <w:right w:val="single" w:sz="8" w:color="auto"/>
            </w:tcBorders>
          </w:tcPr>
          <w:p>
            <w:pPr>
              <w:spacing w:after="0"/>
              <w:rPr>
                <w:sz w:val="21"/>
                <w:szCs w:val="21"/>
                <w:color w:val="auto"/>
              </w:rPr>
            </w:pPr>
          </w:p>
        </w:tc>
        <w:tc>
          <w:tcPr>
            <w:tcW w:w="7320" w:type="dxa"/>
            <w:vAlign w:val="bottom"/>
            <w:tcBorders>
              <w:right w:val="single" w:sz="8" w:color="auto"/>
            </w:tcBorders>
          </w:tcPr>
          <w:p>
            <w:pPr>
              <w:ind w:left="60"/>
              <w:spacing w:after="0" w:line="243" w:lineRule="exact"/>
              <w:rPr>
                <w:sz w:val="20"/>
                <w:szCs w:val="20"/>
                <w:color w:val="auto"/>
              </w:rPr>
            </w:pPr>
            <w:r>
              <w:rPr>
                <w:rFonts w:ascii="Times New Roman" w:cs="Times New Roman" w:eastAsia="Times New Roman" w:hAnsi="Times New Roman"/>
                <w:sz w:val="22"/>
                <w:szCs w:val="22"/>
                <w:color w:val="auto"/>
              </w:rPr>
              <w:t>employment letter between the Company and Participant effective as of March</w:t>
            </w:r>
          </w:p>
        </w:tc>
      </w:tr>
      <w:tr>
        <w:trPr>
          <w:trHeight w:val="282"/>
        </w:trPr>
        <w:tc>
          <w:tcPr>
            <w:tcW w:w="3920" w:type="dxa"/>
            <w:vAlign w:val="bottom"/>
            <w:tcBorders>
              <w:left w:val="single" w:sz="8" w:color="auto"/>
              <w:right w:val="single" w:sz="8" w:color="auto"/>
            </w:tcBorders>
          </w:tcPr>
          <w:p>
            <w:pPr>
              <w:spacing w:after="0"/>
              <w:rPr>
                <w:sz w:val="24"/>
                <w:szCs w:val="24"/>
                <w:color w:val="auto"/>
              </w:rPr>
            </w:pPr>
          </w:p>
        </w:tc>
        <w:tc>
          <w:tcPr>
            <w:tcW w:w="7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13, 2024.</w:t>
            </w:r>
          </w:p>
        </w:tc>
      </w:tr>
      <w:tr>
        <w:trPr>
          <w:trHeight w:val="109"/>
        </w:trPr>
        <w:tc>
          <w:tcPr>
            <w:tcW w:w="3920" w:type="dxa"/>
            <w:vAlign w:val="bottom"/>
            <w:tcBorders>
              <w:left w:val="single" w:sz="8" w:color="auto"/>
              <w:bottom w:val="single" w:sz="8" w:color="auto"/>
              <w:right w:val="single" w:sz="8" w:color="auto"/>
            </w:tcBorders>
          </w:tcPr>
          <w:p>
            <w:pPr>
              <w:spacing w:after="0"/>
              <w:rPr>
                <w:sz w:val="9"/>
                <w:szCs w:val="9"/>
                <w:color w:val="auto"/>
              </w:rPr>
            </w:pPr>
          </w:p>
        </w:tc>
        <w:tc>
          <w:tcPr>
            <w:tcW w:w="7320" w:type="dxa"/>
            <w:vAlign w:val="bottom"/>
            <w:tcBorders>
              <w:bottom w:val="single" w:sz="8" w:color="auto"/>
              <w:right w:val="single" w:sz="8" w:color="auto"/>
            </w:tcBorders>
          </w:tcPr>
          <w:p>
            <w:pPr>
              <w:spacing w:after="0"/>
              <w:rPr>
                <w:sz w:val="9"/>
                <w:szCs w:val="9"/>
                <w:color w:val="auto"/>
              </w:rPr>
            </w:pPr>
          </w:p>
        </w:tc>
      </w:tr>
      <w:tr>
        <w:trPr>
          <w:trHeight w:val="1497"/>
        </w:trPr>
        <w:tc>
          <w:tcPr>
            <w:tcW w:w="3920" w:type="dxa"/>
            <w:vAlign w:val="bottom"/>
            <w:tcBorders>
              <w:bottom w:val="single" w:sz="8" w:color="9A9A9A"/>
            </w:tcBorders>
          </w:tcPr>
          <w:p>
            <w:pPr>
              <w:spacing w:after="0"/>
              <w:rPr>
                <w:sz w:val="24"/>
                <w:szCs w:val="24"/>
                <w:color w:val="auto"/>
              </w:rPr>
            </w:pPr>
          </w:p>
        </w:tc>
        <w:tc>
          <w:tcPr>
            <w:tcW w:w="7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sectPr>
      </w:pPr>
    </w:p>
    <w:bookmarkStart w:id="61" w:name="page62"/>
    <w:bookmarkEnd w:id="61"/>
    <w:p>
      <w:pPr>
        <w:spacing w:after="0" w:line="22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IN ORDER TO RECEIVE THE BENEFITS OF THIS AGREEMENT, PARTICIPANT MUST EXECUTE AND RETURN THIS GRANT NOTICE (THE “</w:t>
      </w:r>
      <w:r>
        <w:rPr>
          <w:rFonts w:ascii="Times New Roman" w:cs="Times New Roman" w:eastAsia="Times New Roman" w:hAnsi="Times New Roman"/>
          <w:sz w:val="22"/>
          <w:szCs w:val="22"/>
          <w:b w:val="1"/>
          <w:bCs w:val="1"/>
          <w:i w:val="1"/>
          <w:iCs w:val="1"/>
          <w:color w:val="auto"/>
        </w:rPr>
        <w:t>ACCEPTANCE REQUIREMENTS</w:t>
      </w:r>
      <w:r>
        <w:rPr>
          <w:rFonts w:ascii="Times New Roman" w:cs="Times New Roman" w:eastAsia="Times New Roman" w:hAnsi="Times New Roman"/>
          <w:sz w:val="22"/>
          <w:szCs w:val="22"/>
          <w:color w:val="auto"/>
        </w:rPr>
        <w:t>”). IF PARTICIPANT FAILS TO SATISFY THE ACCEPTANCE REQUIREMENTS WITHIN 60 DAYS AFTER THE GRANT DATE, THEN (1) THIS GRANT NOTICE WILL BE OF NO FORCE OR EFFECT AND THE OPTION GRANTED HEREIN WILL BE AUTOMATICALLY FORFEITED TO THE COMPANY WITHOUT CONSIDERATION, AND (2) NEITHER PARTICIPANT NOR THE COMPANY WILL HAVE ANY FUTURE RIGHTS OR OBLIGATIONS UNDER THIS GRANT NOTICE OR THE STANDARD TERMS AND CONDITIONS.</w:t>
      </w:r>
    </w:p>
    <w:p>
      <w:pPr>
        <w:spacing w:after="0" w:line="22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By accepting this Grant Notice, Participant acknowledges that he or she has received and read, and agrees that this Option shall be subject to, the terms of this Grant Notice, the Plan, and the Standard Terms and Conditions and the Confidentiality and Inventions Agreement.</w:t>
      </w:r>
    </w:p>
    <w:p>
      <w:pPr>
        <w:spacing w:after="0" w:line="200" w:lineRule="exact"/>
        <w:rPr>
          <w:sz w:val="20"/>
          <w:szCs w:val="20"/>
          <w:color w:val="auto"/>
        </w:rPr>
      </w:pPr>
    </w:p>
    <w:p>
      <w:pPr>
        <w:spacing w:after="0" w:line="21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auto"/>
        </w:rPr>
        <w:t>PETCO HEALTH AND WELLNESS COMPANY, INC.</w:t>
      </w:r>
    </w:p>
    <w:p>
      <w:pPr>
        <w:spacing w:after="0" w:line="200" w:lineRule="exact"/>
        <w:rPr>
          <w:sz w:val="20"/>
          <w:szCs w:val="20"/>
          <w:color w:val="auto"/>
        </w:rPr>
      </w:pPr>
    </w:p>
    <w:p>
      <w:pPr>
        <w:spacing w:after="0" w:line="27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3293745</wp:posOffset>
            </wp:positionH>
            <wp:positionV relativeFrom="paragraph">
              <wp:posOffset>-13970</wp:posOffset>
            </wp:positionV>
            <wp:extent cx="172021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3">
                      <a:extLst>
                        <a:ext uri="{28A0092B-C50C-407E-A947-70E740481C1C}"/>
                      </a:extLst>
                    </a:blip>
                    <a:srcRect/>
                    <a:stretch>
                      <a:fillRect/>
                    </a:stretch>
                  </pic:blipFill>
                  <pic:spPr bwMode="auto">
                    <a:xfrm>
                      <a:off x="0" y="0"/>
                      <a:ext cx="1720215" cy="8255"/>
                    </a:xfrm>
                    <a:prstGeom prst="rect">
                      <a:avLst/>
                    </a:prstGeom>
                    <a:noFill/>
                  </pic:spPr>
                </pic:pic>
              </a:graphicData>
            </a:graphic>
          </wp:anchor>
        </w:drawing>
      </w:r>
    </w:p>
    <w:p>
      <w:pPr>
        <w:ind w:left="4880"/>
        <w:spacing w:after="0"/>
        <w:rPr>
          <w:sz w:val="20"/>
          <w:szCs w:val="20"/>
          <w:color w:val="auto"/>
        </w:rPr>
      </w:pPr>
      <w:r>
        <w:rPr>
          <w:rFonts w:ascii="Times New Roman" w:cs="Times New Roman" w:eastAsia="Times New Roman" w:hAnsi="Times New Roman"/>
          <w:sz w:val="22"/>
          <w:szCs w:val="22"/>
          <w:color w:val="auto"/>
        </w:rPr>
        <w:t>Name:</w:t>
      </w:r>
    </w:p>
    <w:p>
      <w:pPr>
        <w:ind w:left="4880"/>
        <w:spacing w:after="0"/>
        <w:rPr>
          <w:sz w:val="20"/>
          <w:szCs w:val="20"/>
          <w:color w:val="auto"/>
        </w:rPr>
      </w:pPr>
      <w:r>
        <w:rPr>
          <w:rFonts w:ascii="Times New Roman" w:cs="Times New Roman" w:eastAsia="Times New Roman" w:hAnsi="Times New Roman"/>
          <w:sz w:val="22"/>
          <w:szCs w:val="22"/>
          <w:color w:val="auto"/>
        </w:rPr>
        <w:t>Title:</w:t>
      </w: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450215</wp:posOffset>
            </wp:positionV>
            <wp:extent cx="191770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4">
                      <a:extLst>
                        <a:ext uri="{28A0092B-C50C-407E-A947-70E740481C1C}"/>
                      </a:extLst>
                    </a:blip>
                    <a:srcRect/>
                    <a:stretch>
                      <a:fillRect/>
                    </a:stretch>
                  </pic:blipFill>
                  <pic:spPr bwMode="auto">
                    <a:xfrm>
                      <a:off x="0" y="0"/>
                      <a:ext cx="19177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[Name]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age to</w:t>
      </w:r>
    </w:p>
    <w:p>
      <w:pPr>
        <w:jc w:val="center"/>
        <w:spacing w:after="0" w:line="230" w:lineRule="auto"/>
        <w:rPr>
          <w:sz w:val="20"/>
          <w:szCs w:val="20"/>
          <w:color w:val="auto"/>
        </w:rPr>
      </w:pPr>
      <w:r>
        <w:rPr>
          <w:rFonts w:ascii="Times New Roman" w:cs="Times New Roman" w:eastAsia="Times New Roman" w:hAnsi="Times New Roman"/>
          <w:sz w:val="22"/>
          <w:szCs w:val="22"/>
          <w:color w:val="auto"/>
        </w:rPr>
        <w:t>G</w:t>
      </w:r>
      <w:r>
        <w:rPr>
          <w:rFonts w:ascii="Times New Roman" w:cs="Times New Roman" w:eastAsia="Times New Roman" w:hAnsi="Times New Roman"/>
          <w:sz w:val="14"/>
          <w:szCs w:val="14"/>
          <w:color w:val="auto"/>
        </w:rPr>
        <w:t>rant</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4"/>
          <w:szCs w:val="14"/>
          <w:color w:val="auto"/>
        </w:rPr>
        <w:t>otice for</w:t>
      </w:r>
    </w:p>
    <w:p>
      <w:pPr>
        <w:jc w:val="center"/>
        <w:spacing w:after="0"/>
        <w:rPr>
          <w:sz w:val="20"/>
          <w:szCs w:val="20"/>
          <w:color w:val="auto"/>
        </w:rPr>
      </w:pPr>
      <w:r>
        <w:rPr>
          <w:rFonts w:ascii="Times New Roman" w:cs="Times New Roman" w:eastAsia="Times New Roman" w:hAnsi="Times New Roman"/>
          <w:sz w:val="22"/>
          <w:szCs w:val="22"/>
          <w:color w:val="auto"/>
        </w:rPr>
        <w:t>N</w:t>
      </w:r>
      <w:r>
        <w:rPr>
          <w:rFonts w:ascii="Times New Roman" w:cs="Times New Roman" w:eastAsia="Times New Roman" w:hAnsi="Times New Roman"/>
          <w:sz w:val="14"/>
          <w:szCs w:val="14"/>
          <w:color w:val="auto"/>
        </w:rPr>
        <w:t>onqualified</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4"/>
          <w:szCs w:val="14"/>
          <w:color w:val="auto"/>
        </w:rPr>
        <w:t>tock</w:t>
      </w:r>
      <w:r>
        <w:rPr>
          <w:rFonts w:ascii="Times New Roman" w:cs="Times New Roman" w:eastAsia="Times New Roman" w:hAnsi="Times New Roman"/>
          <w:sz w:val="22"/>
          <w:szCs w:val="22"/>
          <w:color w:val="auto"/>
        </w:rPr>
        <w:t xml:space="preserve"> O</w:t>
      </w:r>
      <w:r>
        <w:rPr>
          <w:rFonts w:ascii="Times New Roman" w:cs="Times New Roman" w:eastAsia="Times New Roman" w:hAnsi="Times New Roman"/>
          <w:sz w:val="14"/>
          <w:szCs w:val="14"/>
          <w:color w:val="auto"/>
        </w:rPr>
        <w:t>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462280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PETCO HEALTH AND WELLNESS COMPANY,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2021 EQUITY INCENTIVE PLAN</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STANDARD TERMS AND CONDITIONS FOR</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NONQUALIFIED STOCK OPTIONS</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These Standard Terms and Conditions apply to the Options granted pursuant to the Petco Health and Wellness Company, Inc. 2021 Equity Incentive Plan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which are identified as nonqualified stock options and are evidenced by a Grant Notice or an action of the Committee that specifically refers to these Standard Terms and Conditions. In addition to these Standard Terms and Conditions, the Option shall be subject to the terms of the Plan, which are incorporated into these Standard Terms and Conditions by this reference. Capitalized terms not otherwise defined herein shall have the meaning set forth in the Plan.</w:t>
      </w:r>
    </w:p>
    <w:p>
      <w:pPr>
        <w:spacing w:after="0" w:line="151" w:lineRule="exact"/>
        <w:rPr>
          <w:sz w:val="20"/>
          <w:szCs w:val="20"/>
          <w:color w:val="auto"/>
        </w:rPr>
      </w:pPr>
    </w:p>
    <w:p>
      <w:pPr>
        <w:ind w:left="520" w:hanging="512"/>
        <w:spacing w:after="0"/>
        <w:tabs>
          <w:tab w:leader="none" w:pos="520"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TERMS OF OPTION</w:t>
      </w:r>
    </w:p>
    <w:p>
      <w:pPr>
        <w:spacing w:after="0" w:line="20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Petco Health and Wellness Company,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has granted to the Participant named in the Grant Notice provided to said Participant herewith (the “</w:t>
      </w:r>
      <w:r>
        <w:rPr>
          <w:rFonts w:ascii="Times New Roman" w:cs="Times New Roman" w:eastAsia="Times New Roman" w:hAnsi="Times New Roman"/>
          <w:sz w:val="22"/>
          <w:szCs w:val="22"/>
          <w:b w:val="1"/>
          <w:bCs w:val="1"/>
          <w:i w:val="1"/>
          <w:iCs w:val="1"/>
          <w:color w:val="auto"/>
        </w:rPr>
        <w:t>Grant Notice</w:t>
      </w:r>
      <w:r>
        <w:rPr>
          <w:rFonts w:ascii="Times New Roman" w:cs="Times New Roman" w:eastAsia="Times New Roman" w:hAnsi="Times New Roman"/>
          <w:sz w:val="22"/>
          <w:szCs w:val="22"/>
          <w:color w:val="auto"/>
        </w:rPr>
        <w:t>”) a Nonqualified Stock Option (the “</w:t>
      </w:r>
      <w:r>
        <w:rPr>
          <w:rFonts w:ascii="Times New Roman" w:cs="Times New Roman" w:eastAsia="Times New Roman" w:hAnsi="Times New Roman"/>
          <w:sz w:val="22"/>
          <w:szCs w:val="22"/>
          <w:b w:val="1"/>
          <w:bCs w:val="1"/>
          <w:i w:val="1"/>
          <w:iCs w:val="1"/>
          <w:color w:val="auto"/>
        </w:rPr>
        <w:t>Option</w:t>
      </w:r>
      <w:r>
        <w:rPr>
          <w:rFonts w:ascii="Times New Roman" w:cs="Times New Roman" w:eastAsia="Times New Roman" w:hAnsi="Times New Roman"/>
          <w:sz w:val="22"/>
          <w:szCs w:val="22"/>
          <w:color w:val="auto"/>
        </w:rPr>
        <w:t>”) to purchase up to the number of shares of Common Stock at an exercise price per share, each as set forth in the Grant Notice. The Option is subject to the conditions set forth in the Grant Notice, these Standard Terms and Conditions, and the Plan. For purposes of these Standard Terms and Conditions and the Grant Notice, any reference to the Company shall include a reference to any Subsidiary.</w:t>
      </w:r>
    </w:p>
    <w:p>
      <w:pPr>
        <w:spacing w:after="0" w:line="177" w:lineRule="exact"/>
        <w:rPr>
          <w:sz w:val="20"/>
          <w:szCs w:val="20"/>
          <w:color w:val="auto"/>
        </w:rPr>
      </w:pPr>
    </w:p>
    <w:p>
      <w:pPr>
        <w:ind w:left="520" w:hanging="512"/>
        <w:spacing w:after="0"/>
        <w:tabs>
          <w:tab w:leader="none" w:pos="520"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NONQUALIFIED STOCK OPTION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Option is not intended to be an incentive stock option under Section 422 of the Code and will be interpreted accordingly.</w:t>
      </w:r>
    </w:p>
    <w:p>
      <w:pPr>
        <w:spacing w:after="0" w:line="201" w:lineRule="exact"/>
        <w:rPr>
          <w:sz w:val="20"/>
          <w:szCs w:val="20"/>
          <w:color w:val="auto"/>
        </w:rPr>
      </w:pPr>
    </w:p>
    <w:p>
      <w:pPr>
        <w:ind w:left="520" w:hanging="512"/>
        <w:spacing w:after="0"/>
        <w:tabs>
          <w:tab w:leader="none" w:pos="520" w:val="left"/>
        </w:tabs>
        <w:numPr>
          <w:ilvl w:val="0"/>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VESTING AND EXERCISE OF OPTION</w:t>
      </w:r>
    </w:p>
    <w:p>
      <w:pPr>
        <w:spacing w:after="0" w:line="209" w:lineRule="exact"/>
        <w:rPr>
          <w:rFonts w:ascii="Times New Roman" w:cs="Times New Roman" w:eastAsia="Times New Roman" w:hAnsi="Times New Roman"/>
          <w:sz w:val="22"/>
          <w:szCs w:val="22"/>
          <w:b w:val="1"/>
          <w:bCs w:val="1"/>
          <w:color w:val="auto"/>
        </w:rPr>
      </w:pPr>
    </w:p>
    <w:p>
      <w:pPr>
        <w:jc w:val="both"/>
        <w:ind w:firstLine="757"/>
        <w:spacing w:after="0" w:line="236" w:lineRule="auto"/>
        <w:tabs>
          <w:tab w:leader="none" w:pos="1018" w:val="left"/>
        </w:tabs>
        <w:numPr>
          <w:ilvl w:val="1"/>
          <w:numId w:val="8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Option shall not be exercisable as of the Grant Date set forth in the Grant Notice. After the Grant Date, to the extent not previously exercised, and subject to termination or acceleration as provided in these Standard Terms and Conditions and the Plan, the Option shall be exercisable only to the extent it becomes vested, as described in the Grant Notice or the terms of the Plan, to purchase up to that number of shares of Common Stock as set forth in the Grant Notice. The vesting period and/or exercisability of an Option may be adjusted by the Committee to reflect the decreased level of employment during any period in which the Participant is on an approved leave of absence or is employed on a less than full time basis.</w:t>
      </w:r>
    </w:p>
    <w:p>
      <w:pPr>
        <w:spacing w:after="0" w:line="179" w:lineRule="exact"/>
        <w:rPr>
          <w:rFonts w:ascii="Times New Roman" w:cs="Times New Roman" w:eastAsia="Times New Roman" w:hAnsi="Times New Roman"/>
          <w:sz w:val="22"/>
          <w:szCs w:val="22"/>
          <w:color w:val="010000"/>
        </w:rPr>
      </w:pPr>
    </w:p>
    <w:p>
      <w:pPr>
        <w:jc w:val="both"/>
        <w:ind w:firstLine="757"/>
        <w:spacing w:after="0" w:line="261" w:lineRule="auto"/>
        <w:tabs>
          <w:tab w:leader="none" w:pos="1018" w:val="left"/>
        </w:tabs>
        <w:numPr>
          <w:ilvl w:val="1"/>
          <w:numId w:val="8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To exercise the Option (or any part thereof), the Participant shall deliver to the Company a “Notice of Exercise” in a form specified by the Committee, specifying the number of whole shares of Common Stock the Participant wishes to purchase and how the Participant’s shares of Common Stock should be registered (in the Participant’s name only or in the Participant’s and</w:t>
      </w:r>
    </w:p>
    <w:p>
      <w:pPr>
        <w:ind w:left="5200"/>
        <w:spacing w:after="0" w:line="232" w:lineRule="auto"/>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A</w:t>
      </w:r>
    </w:p>
    <w:p>
      <w:pPr>
        <w:ind w:left="4020"/>
        <w:spacing w:after="0" w:line="230" w:lineRule="auto"/>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tandard</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erms and</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onditions for</w:t>
      </w:r>
    </w:p>
    <w:p>
      <w:pPr>
        <w:ind w:left="4400"/>
        <w:spacing w:after="0"/>
        <w:rPr>
          <w:sz w:val="20"/>
          <w:szCs w:val="20"/>
          <w:color w:val="auto"/>
        </w:rPr>
      </w:pPr>
      <w:r>
        <w:rPr>
          <w:rFonts w:ascii="Times New Roman" w:cs="Times New Roman" w:eastAsia="Times New Roman" w:hAnsi="Times New Roman"/>
          <w:sz w:val="22"/>
          <w:szCs w:val="22"/>
          <w:color w:val="auto"/>
        </w:rPr>
        <w:t>N</w:t>
      </w:r>
      <w:r>
        <w:rPr>
          <w:rFonts w:ascii="Times New Roman" w:cs="Times New Roman" w:eastAsia="Times New Roman" w:hAnsi="Times New Roman"/>
          <w:sz w:val="14"/>
          <w:szCs w:val="14"/>
          <w:color w:val="auto"/>
        </w:rPr>
        <w:t>onqualified</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4"/>
          <w:szCs w:val="14"/>
          <w:color w:val="auto"/>
        </w:rPr>
        <w:t>tock</w:t>
      </w:r>
      <w:r>
        <w:rPr>
          <w:rFonts w:ascii="Times New Roman" w:cs="Times New Roman" w:eastAsia="Times New Roman" w:hAnsi="Times New Roman"/>
          <w:sz w:val="22"/>
          <w:szCs w:val="22"/>
          <w:color w:val="auto"/>
        </w:rPr>
        <w:t xml:space="preserve"> O</w:t>
      </w:r>
      <w:r>
        <w:rPr>
          <w:rFonts w:ascii="Times New Roman" w:cs="Times New Roman" w:eastAsia="Times New Roman" w:hAnsi="Times New Roman"/>
          <w:sz w:val="14"/>
          <w:szCs w:val="14"/>
          <w:color w:val="auto"/>
        </w:rPr>
        <w:t>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462280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63" w:name="page64"/>
    <w:bookmarkEnd w:id="63"/>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Participant’s spouse’s names as community property or as joint tenants with right of survivorship).</w:t>
      </w:r>
    </w:p>
    <w:p>
      <w:pPr>
        <w:spacing w:after="0" w:line="199" w:lineRule="exact"/>
        <w:rPr>
          <w:sz w:val="20"/>
          <w:szCs w:val="20"/>
          <w:color w:val="auto"/>
        </w:rPr>
      </w:pPr>
    </w:p>
    <w:p>
      <w:pPr>
        <w:jc w:val="both"/>
        <w:ind w:firstLine="757"/>
        <w:spacing w:after="0" w:line="236" w:lineRule="auto"/>
        <w:tabs>
          <w:tab w:leader="none" w:pos="1018" w:val="left"/>
        </w:tabs>
        <w:numPr>
          <w:ilvl w:val="1"/>
          <w:numId w:val="8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exercise price (the “</w:t>
      </w:r>
      <w:r>
        <w:rPr>
          <w:rFonts w:ascii="Times New Roman" w:cs="Times New Roman" w:eastAsia="Times New Roman" w:hAnsi="Times New Roman"/>
          <w:sz w:val="22"/>
          <w:szCs w:val="22"/>
          <w:b w:val="1"/>
          <w:bCs w:val="1"/>
          <w:i w:val="1"/>
          <w:iCs w:val="1"/>
          <w:color w:val="auto"/>
        </w:rPr>
        <w:t>Exercise Price</w:t>
      </w:r>
      <w:r>
        <w:rPr>
          <w:rFonts w:ascii="Times New Roman" w:cs="Times New Roman" w:eastAsia="Times New Roman" w:hAnsi="Times New Roman"/>
          <w:sz w:val="22"/>
          <w:szCs w:val="22"/>
          <w:color w:val="auto"/>
        </w:rPr>
        <w:t>”) of the Option is set forth in the Grant Notice. The Company shall not be obligated to issue any shares of Common Stock until the Participant shall have paid the total Exercise Price for that number of shares of Common Stock. The Exercise Price may be paid in Common Stock, cash or a combination thereof, including an irrevocable commitment by a broker to pay over such amount from a sale of the Common Stock issuable under the Option, the delivery of previously owned Common Stock, withholding of shares of Common Stock deliverable upon exercise of the Option (but only to the extent share withholding is made available to the Participant by the Company), or in such other manners as may be permitted by the Committee.</w:t>
      </w:r>
    </w:p>
    <w:p>
      <w:pPr>
        <w:spacing w:after="0" w:line="179" w:lineRule="exact"/>
        <w:rPr>
          <w:rFonts w:ascii="Times New Roman" w:cs="Times New Roman" w:eastAsia="Times New Roman" w:hAnsi="Times New Roman"/>
          <w:sz w:val="22"/>
          <w:szCs w:val="22"/>
          <w:color w:val="010000"/>
        </w:rPr>
      </w:pPr>
    </w:p>
    <w:p>
      <w:pPr>
        <w:jc w:val="both"/>
        <w:ind w:firstLine="757"/>
        <w:spacing w:after="0" w:line="239" w:lineRule="auto"/>
        <w:tabs>
          <w:tab w:leader="none" w:pos="1018" w:val="left"/>
        </w:tabs>
        <w:numPr>
          <w:ilvl w:val="1"/>
          <w:numId w:val="8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Fractional shares may not be exercised. Shares of Common Stock will be issued as soon as practical after exercise. Notwithstanding the above, the Company shall not be obligated to deliver any shares of Common Stock during any period when the Company determines that the exercisability of the Option or the delivery of shares of Common Stock hereunder would violate Company policy or any federal, state or other applicable laws.</w:t>
      </w:r>
    </w:p>
    <w:p>
      <w:pPr>
        <w:spacing w:after="0" w:line="174" w:lineRule="exact"/>
        <w:rPr>
          <w:rFonts w:ascii="Times New Roman" w:cs="Times New Roman" w:eastAsia="Times New Roman" w:hAnsi="Times New Roman"/>
          <w:sz w:val="22"/>
          <w:szCs w:val="22"/>
          <w:color w:val="010000"/>
        </w:rPr>
      </w:pPr>
    </w:p>
    <w:p>
      <w:pPr>
        <w:ind w:left="520" w:hanging="512"/>
        <w:spacing w:after="0"/>
        <w:tabs>
          <w:tab w:leader="none" w:pos="520" w:val="left"/>
        </w:tabs>
        <w:numPr>
          <w:ilvl w:val="0"/>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EXPIRATION OF OPTION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Option shall expire and cease to be exercisable as of the earlier of (i) the Expiration Date set forth in the Grant Notice or (ii)</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date specified below in connection with the Participant’s Termination of Employment:</w:t>
      </w:r>
    </w:p>
    <w:p>
      <w:pPr>
        <w:spacing w:after="0" w:line="181" w:lineRule="exact"/>
        <w:rPr>
          <w:sz w:val="20"/>
          <w:szCs w:val="20"/>
          <w:color w:val="auto"/>
        </w:rPr>
      </w:pPr>
    </w:p>
    <w:p>
      <w:pPr>
        <w:jc w:val="both"/>
        <w:ind w:firstLine="757"/>
        <w:spacing w:after="0" w:line="280" w:lineRule="auto"/>
        <w:tabs>
          <w:tab w:leader="none" w:pos="1018" w:val="left"/>
        </w:tabs>
        <w:numPr>
          <w:ilvl w:val="0"/>
          <w:numId w:val="8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the Participant’s Termination of Employment is as a result of the Participant’s death or Disability, the Participant’s (or the Participant’s personal representative’s) may exercise any portion of the Option that is vested and exercisable at the time of such Termination of Employment until the first anniversary of the Termination Date (as defined below).</w:t>
      </w:r>
    </w:p>
    <w:p>
      <w:pPr>
        <w:spacing w:after="0" w:line="138" w:lineRule="exact"/>
        <w:rPr>
          <w:rFonts w:ascii="Times New Roman" w:cs="Times New Roman" w:eastAsia="Times New Roman" w:hAnsi="Times New Roman"/>
          <w:sz w:val="20"/>
          <w:szCs w:val="20"/>
          <w:color w:val="010000"/>
        </w:rPr>
      </w:pPr>
    </w:p>
    <w:p>
      <w:pPr>
        <w:ind w:right="20" w:firstLine="757"/>
        <w:spacing w:after="0" w:line="258" w:lineRule="auto"/>
        <w:tabs>
          <w:tab w:leader="none" w:pos="1018" w:val="left"/>
        </w:tabs>
        <w:numPr>
          <w:ilvl w:val="0"/>
          <w:numId w:val="8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the Participant’s Termination of Employment is by the Company for Cause, the entire Option, whether or not then vested and exercisable, shall be immediately forfeited and canceled as of the Termination Date.</w:t>
      </w:r>
    </w:p>
    <w:p>
      <w:pPr>
        <w:spacing w:after="0" w:line="157" w:lineRule="exact"/>
        <w:rPr>
          <w:rFonts w:ascii="Times New Roman" w:cs="Times New Roman" w:eastAsia="Times New Roman" w:hAnsi="Times New Roman"/>
          <w:sz w:val="22"/>
          <w:szCs w:val="22"/>
          <w:color w:val="010000"/>
        </w:rPr>
      </w:pPr>
    </w:p>
    <w:p>
      <w:pPr>
        <w:jc w:val="both"/>
        <w:ind w:firstLine="757"/>
        <w:spacing w:after="0" w:line="244" w:lineRule="auto"/>
        <w:tabs>
          <w:tab w:leader="none" w:pos="1018" w:val="left"/>
        </w:tabs>
        <w:numPr>
          <w:ilvl w:val="0"/>
          <w:numId w:val="8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If the Participant’s Termination of Employment is for any reason other than as set forth in </w:t>
      </w:r>
      <w:r>
        <w:rPr>
          <w:rFonts w:ascii="Times New Roman" w:cs="Times New Roman" w:eastAsia="Times New Roman" w:hAnsi="Times New Roman"/>
          <w:sz w:val="22"/>
          <w:szCs w:val="22"/>
          <w:u w:val="single" w:color="auto"/>
          <w:color w:val="auto"/>
        </w:rPr>
        <w:t>Section 4(a)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4(b)</w:t>
      </w:r>
      <w:r>
        <w:rPr>
          <w:rFonts w:ascii="Times New Roman" w:cs="Times New Roman" w:eastAsia="Times New Roman" w:hAnsi="Times New Roman"/>
          <w:sz w:val="22"/>
          <w:szCs w:val="22"/>
          <w:color w:val="auto"/>
        </w:rPr>
        <w:t>, the Participant may exercise any portion of the Option that is vested and exercisable at the time of such Termination of Employment until the date that is 90 days following the Termination Date.</w:t>
      </w:r>
    </w:p>
    <w:p>
      <w:pPr>
        <w:spacing w:after="0" w:line="172" w:lineRule="exact"/>
        <w:rPr>
          <w:rFonts w:ascii="Times New Roman" w:cs="Times New Roman" w:eastAsia="Times New Roman" w:hAnsi="Times New Roman"/>
          <w:sz w:val="22"/>
          <w:szCs w:val="22"/>
          <w:color w:val="010000"/>
        </w:rPr>
      </w:pPr>
    </w:p>
    <w:p>
      <w:pPr>
        <w:jc w:val="both"/>
        <w:ind w:firstLine="757"/>
        <w:spacing w:after="0" w:line="235" w:lineRule="auto"/>
        <w:tabs>
          <w:tab w:leader="none" w:pos="1018" w:val="left"/>
        </w:tabs>
        <w:numPr>
          <w:ilvl w:val="0"/>
          <w:numId w:val="8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portion of the Option that is not vested and exercisable at the time the Participant’s employment with the Company and its Subsidiaries is terminated (after taking into account any accelerated vesting under the Grant Notice, Section 15 of the Plan or any other agreement between the Participant and the Company) shall be forfeited and canceled as of the date of such termination. For the avoidance of doubt, the Participant’s transition from employment with the Company and its Subsidiaries to a non-employee member of the Board shall not constitute a “Termination of Employment” for purposes of exercisability of the Option, but shall be considered a termination of employment with the Company and its Subsidiaries for purposes of vesting of the Option.</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77" w:lineRule="exact"/>
        <w:rPr>
          <w:sz w:val="20"/>
          <w:szCs w:val="20"/>
          <w:color w:val="auto"/>
        </w:rPr>
      </w:pPr>
    </w:p>
    <w:p>
      <w:pPr>
        <w:jc w:val="both"/>
        <w:ind w:firstLine="757"/>
        <w:spacing w:after="0" w:line="246" w:lineRule="auto"/>
        <w:tabs>
          <w:tab w:leader="none" w:pos="1018" w:val="left"/>
        </w:tabs>
        <w:numPr>
          <w:ilvl w:val="1"/>
          <w:numId w:val="8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As used in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Termination Date</w:t>
      </w:r>
      <w:r>
        <w:rPr>
          <w:rFonts w:ascii="Times New Roman" w:cs="Times New Roman" w:eastAsia="Times New Roman" w:hAnsi="Times New Roman"/>
          <w:sz w:val="22"/>
          <w:szCs w:val="22"/>
          <w:color w:val="auto"/>
        </w:rPr>
        <w:t>” means the date of the Participant’s Termination of Employment, which, for the avoidance of doubt, shall not occur upon the Participant’s transition from employment with the Company and its Subsidiaries to a non-employee member of the Board.</w:t>
      </w:r>
    </w:p>
    <w:p>
      <w:pPr>
        <w:spacing w:after="0" w:line="167" w:lineRule="exact"/>
        <w:rPr>
          <w:rFonts w:ascii="Times New Roman" w:cs="Times New Roman" w:eastAsia="Times New Roman" w:hAnsi="Times New Roman"/>
          <w:sz w:val="22"/>
          <w:szCs w:val="22"/>
          <w:color w:val="010000"/>
        </w:rPr>
      </w:pPr>
    </w:p>
    <w:p>
      <w:pPr>
        <w:ind w:left="520" w:hanging="512"/>
        <w:spacing w:after="0"/>
        <w:tabs>
          <w:tab w:leader="none" w:pos="520" w:val="left"/>
        </w:tabs>
        <w:numPr>
          <w:ilvl w:val="0"/>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RESTRICTIONS ON RESALES OF SHARES ACQUIRED PURSUANT TO OPTION EXERCISE</w:t>
      </w:r>
    </w:p>
    <w:p>
      <w:pPr>
        <w:spacing w:after="0" w:line="20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The Company may impose such restrictions, conditions or limitations as it determines appropriate as to the timing and manner of any resales by the Participant or other subsequent transfers by the Participant of any shares of Common Stock issued as a result of the exercise of the Option, including (a) restrictions under an insider trading policy, (b) restrictions designed to delay and/or coordinate the timing and manner of sales by Participant and other option holders and (c) restrictions as to the use of a specified brokerage firm for such resales or other transfers.</w:t>
      </w:r>
    </w:p>
    <w:p>
      <w:pPr>
        <w:spacing w:after="0" w:line="176" w:lineRule="exact"/>
        <w:rPr>
          <w:sz w:val="20"/>
          <w:szCs w:val="20"/>
          <w:color w:val="auto"/>
        </w:rPr>
      </w:pPr>
    </w:p>
    <w:p>
      <w:pPr>
        <w:ind w:left="520" w:hanging="512"/>
        <w:spacing w:after="0"/>
        <w:tabs>
          <w:tab w:leader="none" w:pos="520"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INCOME TAXES</w:t>
      </w:r>
    </w:p>
    <w:p>
      <w:pPr>
        <w:spacing w:after="0" w:line="20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Company shall not deliver shares of Common Stock in respect of the exercise of any Option unless and until the Participant has made arrangements satisfactory to the Company to satisfy applicable withholding tax obligations. Unless the Participant pays the withholding tax obligations to the Company by cash or check in connection with the exercise of the Option (including an irrevocable commitment by a broker to pay over such amount from a sale of the Common Stock issuable under the Option), withholding may be effected, at the Company’s election, withholding Common Stock issuable in connection with the exercise of the Option (provided that shares of Common Stock may be withheld only to the extent that such withholding will not result in adverse accounting treatment for the Company). The Participant acknowledges that the Company shall have the right to deduct any taxes required to be withheld by law in connection with the exercise of the Option from any amounts payable by it to the Participant (including future cash wages).</w:t>
      </w:r>
    </w:p>
    <w:p>
      <w:pPr>
        <w:spacing w:after="0" w:line="176" w:lineRule="exact"/>
        <w:rPr>
          <w:sz w:val="20"/>
          <w:szCs w:val="20"/>
          <w:color w:val="auto"/>
        </w:rPr>
      </w:pPr>
    </w:p>
    <w:p>
      <w:pPr>
        <w:ind w:left="520" w:hanging="512"/>
        <w:spacing w:after="0"/>
        <w:tabs>
          <w:tab w:leader="none" w:pos="520"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NON­TRANSFERABILITY OF OPTION</w:t>
      </w:r>
    </w:p>
    <w:p>
      <w:pPr>
        <w:spacing w:after="0" w:line="20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Except as permitted by the Committee or as permitted under the Plan, the Participant may not assign or transfer the Option to anyone other than by will or the laws of descent and distribution and the Option shall be exercisable only by the Participant during his or her lifetime. The Company may cancel the Participant’s Option if the Participant attempts to assign or transfer it in a manner inconsistent with this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Notwithstanding the foregoing, (a) the Participant shall be permitted to transfer the Option as a gift to an Assignee Entity in accordance with and subject to the limits of Section 17 of the Plan and (b) if not previously so transferred, upon the Participant’s death, the Option shall be transferred to the Participant’s designated beneficiary or, if none, to the Participant’s estate.</w:t>
      </w:r>
    </w:p>
    <w:p>
      <w:pPr>
        <w:spacing w:after="0" w:line="177" w:lineRule="exact"/>
        <w:rPr>
          <w:sz w:val="20"/>
          <w:szCs w:val="20"/>
          <w:color w:val="auto"/>
        </w:rPr>
      </w:pPr>
    </w:p>
    <w:p>
      <w:pPr>
        <w:ind w:left="520" w:hanging="512"/>
        <w:spacing w:after="0"/>
        <w:tabs>
          <w:tab w:leader="none" w:pos="520" w:val="left"/>
        </w:tabs>
        <w:numPr>
          <w:ilvl w:val="0"/>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OTHER AGREEMENTS SUPERSEDED</w:t>
      </w:r>
    </w:p>
    <w:p>
      <w:pPr>
        <w:spacing w:after="0" w:line="20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Grant Notice, these Standard Terms and Conditions, the Confidentiality and Inventions Agreement and the Plan constitute the entire understanding between the Participant and the Company regarding the Option. Any prior agreements, commitments or negotiations concerning the Option are superseded; provided, however, that the terms of the Confidentiality and Inventions Agreement are in addition to and complement (and do not replace or supersede) all other</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agreements and obligations between the Company and any of its affiliates and the Participant with respect to confidentiality and intellectual property.</w:t>
      </w:r>
    </w:p>
    <w:p>
      <w:pPr>
        <w:spacing w:after="0" w:line="153" w:lineRule="exact"/>
        <w:rPr>
          <w:sz w:val="20"/>
          <w:szCs w:val="20"/>
          <w:color w:val="auto"/>
        </w:rPr>
      </w:pPr>
    </w:p>
    <w:p>
      <w:pPr>
        <w:ind w:left="520" w:hanging="512"/>
        <w:spacing w:after="0"/>
        <w:tabs>
          <w:tab w:leader="none" w:pos="520" w:val="left"/>
        </w:tabs>
        <w:numPr>
          <w:ilvl w:val="0"/>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LIMITATION OF INTEREST IN SHARES SUBJECT TO OPTION</w:t>
      </w:r>
    </w:p>
    <w:p>
      <w:pPr>
        <w:spacing w:after="0" w:line="20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Neither the Participant (individually or as a member of a group) nor any beneficiary or other person claiming under or through the Participant shall have any right, title, interest, or privilege in or to any shares of Common Stock allocated or reserved for the purpose of the Plan or subject to the Grant Notice or these Standard Terms and Conditions except as to such shares of Common Stock, if any, as shall have been issued to such person upon exercise of the Option or any part of it. Nothing in the Plan, in the Grant Notice, these Standard Terms and Conditions or any other instrument executed pursuant to the Plan shall confer upon the Participant any right to continue in the Company’s employ or service nor limit in any way the Company’s right to terminate the Participant’s employment at any time for any reason.</w:t>
      </w:r>
    </w:p>
    <w:p>
      <w:pPr>
        <w:spacing w:after="0" w:line="177" w:lineRule="exact"/>
        <w:rPr>
          <w:sz w:val="20"/>
          <w:szCs w:val="20"/>
          <w:color w:val="auto"/>
        </w:rPr>
      </w:pPr>
    </w:p>
    <w:p>
      <w:pPr>
        <w:ind w:left="520" w:hanging="512"/>
        <w:spacing w:after="0"/>
        <w:tabs>
          <w:tab w:leader="none" w:pos="520" w:val="left"/>
        </w:tabs>
        <w:numPr>
          <w:ilvl w:val="0"/>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LIABILITY OF COMPANY</w:t>
      </w:r>
    </w:p>
    <w:p>
      <w:pPr>
        <w:spacing w:after="0" w:line="20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The Company and any affiliate which is in existence or hereafter comes into existence shall not be liable to the Participant or any other person as to: (a) the nonissuance­ or sale of shares of Common Stock as to which the Company has been unable to obtain from any regulatory body having jurisdiction the authority deemed by the Company’s counsel to be necessary to the lawful issuance and sale of any shares hereunder; and (b) any tax consequence expected, but not realized, by the Participant or other person due to the receipt, exercise or settlement of any Option granted hereunder.</w:t>
      </w:r>
    </w:p>
    <w:p>
      <w:pPr>
        <w:spacing w:after="0" w:line="176" w:lineRule="exact"/>
        <w:rPr>
          <w:sz w:val="20"/>
          <w:szCs w:val="20"/>
          <w:color w:val="auto"/>
        </w:rPr>
      </w:pPr>
    </w:p>
    <w:p>
      <w:pPr>
        <w:ind w:left="520" w:hanging="512"/>
        <w:spacing w:after="0"/>
        <w:tabs>
          <w:tab w:leader="none" w:pos="520"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w:t>
      </w:r>
    </w:p>
    <w:p>
      <w:pPr>
        <w:spacing w:after="0" w:line="209" w:lineRule="exact"/>
        <w:rPr>
          <w:rFonts w:ascii="Times New Roman" w:cs="Times New Roman" w:eastAsia="Times New Roman" w:hAnsi="Times New Roman"/>
          <w:sz w:val="22"/>
          <w:szCs w:val="22"/>
          <w:b w:val="1"/>
          <w:bCs w:val="1"/>
          <w:color w:val="auto"/>
        </w:rPr>
      </w:pPr>
    </w:p>
    <w:p>
      <w:pPr>
        <w:jc w:val="both"/>
        <w:ind w:firstLine="757"/>
        <w:spacing w:after="0" w:line="271" w:lineRule="auto"/>
        <w:tabs>
          <w:tab w:leader="none" w:pos="1018" w:val="left"/>
        </w:tabs>
        <w:numPr>
          <w:ilvl w:val="1"/>
          <w:numId w:val="9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the event that any provision of these Standard Terms and Conditions is declared to be illegal, invalid or otherwise unenforceable by a court of competent jurisdiction, such provision shall be reformed, if possible, to the extent necessary to render it legal, valid and enforceable, or otherwise deleted, and the remainder of these Standard Terms and Conditions shall not be affected except to the extent necessary to reform or delete such illegal, invalid or unenforceable provision.</w:t>
      </w:r>
    </w:p>
    <w:p>
      <w:pPr>
        <w:spacing w:after="0" w:line="147" w:lineRule="exact"/>
        <w:rPr>
          <w:rFonts w:ascii="Times New Roman" w:cs="Times New Roman" w:eastAsia="Times New Roman" w:hAnsi="Times New Roman"/>
          <w:sz w:val="20"/>
          <w:szCs w:val="20"/>
          <w:color w:val="010000"/>
        </w:rPr>
      </w:pPr>
    </w:p>
    <w:p>
      <w:pPr>
        <w:jc w:val="both"/>
        <w:ind w:firstLine="757"/>
        <w:spacing w:after="0" w:line="260" w:lineRule="auto"/>
        <w:tabs>
          <w:tab w:leader="none" w:pos="1018" w:val="left"/>
        </w:tabs>
        <w:numPr>
          <w:ilvl w:val="1"/>
          <w:numId w:val="9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headings preceding the text of the sections hereof are inserted solely for convenience of reference, and shall not constitute a part of these Standard Terms and Conditions, nor shall they affect its meaning, construction or effect. Words in the masculine gender shall include the feminine gender, and where appropriate, the plural shall include the singular and the singular shall include the plural.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References herein to any agreement, instrument or other document means such agreement, instrument or other document as amended, supplemented and modified</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from time to time to the extent permitted by the provisions thereof and not prohibited by the Plan or these Standard Terms and Conditions.</w:t>
      </w:r>
    </w:p>
    <w:p>
      <w:pPr>
        <w:spacing w:after="0" w:line="157" w:lineRule="exact"/>
        <w:rPr>
          <w:sz w:val="20"/>
          <w:szCs w:val="20"/>
          <w:color w:val="auto"/>
        </w:rPr>
      </w:pPr>
    </w:p>
    <w:p>
      <w:pPr>
        <w:ind w:right="20" w:firstLine="757"/>
        <w:spacing w:after="0" w:line="258" w:lineRule="auto"/>
        <w:tabs>
          <w:tab w:leader="none" w:pos="1018" w:val="left"/>
        </w:tabs>
        <w:numPr>
          <w:ilvl w:val="0"/>
          <w:numId w:val="9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These Standard Terms and Conditions shall inure to the benefit of and be binding upon the parties hereto and their respective permitted heirs, beneficiaries, successors and assigns.</w:t>
      </w:r>
    </w:p>
    <w:p>
      <w:pPr>
        <w:spacing w:after="0" w:line="157" w:lineRule="exact"/>
        <w:rPr>
          <w:rFonts w:ascii="Times New Roman" w:cs="Times New Roman" w:eastAsia="Times New Roman" w:hAnsi="Times New Roman"/>
          <w:sz w:val="22"/>
          <w:szCs w:val="22"/>
          <w:color w:val="010000"/>
        </w:rPr>
      </w:pPr>
    </w:p>
    <w:p>
      <w:pPr>
        <w:ind w:firstLine="757"/>
        <w:spacing w:after="0" w:line="258" w:lineRule="auto"/>
        <w:tabs>
          <w:tab w:leader="none" w:pos="1018" w:val="left"/>
        </w:tabs>
        <w:numPr>
          <w:ilvl w:val="0"/>
          <w:numId w:val="9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These Standard Terms and Conditions shall be construed in accordance with and governed by the laws of the State of Delaware, without regard to principles of conflicts of law.</w:t>
      </w:r>
    </w:p>
    <w:p>
      <w:pPr>
        <w:spacing w:after="0" w:line="157" w:lineRule="exact"/>
        <w:rPr>
          <w:rFonts w:ascii="Times New Roman" w:cs="Times New Roman" w:eastAsia="Times New Roman" w:hAnsi="Times New Roman"/>
          <w:sz w:val="22"/>
          <w:szCs w:val="22"/>
          <w:color w:val="010000"/>
        </w:rPr>
      </w:pPr>
    </w:p>
    <w:p>
      <w:pPr>
        <w:jc w:val="both"/>
        <w:ind w:firstLine="757"/>
        <w:spacing w:after="0" w:line="244" w:lineRule="auto"/>
        <w:tabs>
          <w:tab w:leader="none" w:pos="1018" w:val="left"/>
        </w:tabs>
        <w:numPr>
          <w:ilvl w:val="0"/>
          <w:numId w:val="9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the event of any conflict between the Grant Notice, these Standard Terms and Conditions and the Plan, the Grant Notice and these Standard Terms and Conditions shall control. In the event of any conflict between the Grant Notice and these Standard Terms and Conditions, the Grant Notice shall control.</w:t>
      </w:r>
    </w:p>
    <w:p>
      <w:pPr>
        <w:spacing w:after="0" w:line="172" w:lineRule="exact"/>
        <w:rPr>
          <w:rFonts w:ascii="Times New Roman" w:cs="Times New Roman" w:eastAsia="Times New Roman" w:hAnsi="Times New Roman"/>
          <w:sz w:val="22"/>
          <w:szCs w:val="22"/>
          <w:color w:val="010000"/>
        </w:rPr>
      </w:pPr>
    </w:p>
    <w:p>
      <w:pPr>
        <w:ind w:firstLine="757"/>
        <w:spacing w:after="0" w:line="258" w:lineRule="auto"/>
        <w:tabs>
          <w:tab w:leader="none" w:pos="1018" w:val="left"/>
        </w:tabs>
        <w:numPr>
          <w:ilvl w:val="0"/>
          <w:numId w:val="9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questions arising under the Plan or under these Standard Terms and Conditions shall be decided by the Committee in its total and absolute discretion.</w:t>
      </w:r>
    </w:p>
    <w:p>
      <w:pPr>
        <w:spacing w:after="0" w:line="153" w:lineRule="exact"/>
        <w:rPr>
          <w:sz w:val="20"/>
          <w:szCs w:val="20"/>
          <w:color w:val="auto"/>
        </w:rPr>
      </w:pPr>
    </w:p>
    <w:p>
      <w:pPr>
        <w:ind w:left="520" w:hanging="512"/>
        <w:spacing w:after="0"/>
        <w:tabs>
          <w:tab w:leader="none" w:pos="520" w:val="left"/>
        </w:tabs>
        <w:numPr>
          <w:ilvl w:val="0"/>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CLAWBACK</w:t>
      </w:r>
    </w:p>
    <w:p>
      <w:pPr>
        <w:spacing w:after="0" w:line="20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The Option and any shares of Common Stock received upon exercise of the Option will be subject to recoupment in accordance with any clawback policy adopted by the Company. No recovery of compensation under such a clawback policy will be an event giving rise to a right to resign for “good reason” or “constructive termination” (or similar term) under any agreement with the Company. By accepting the Option, the Participant is agreeing to be bound by any such clawback policy, as in effect or as may be adopted and/or modified from time to time by the Company in its discretion.</w:t>
      </w:r>
    </w:p>
    <w:p>
      <w:pPr>
        <w:spacing w:after="0" w:line="176" w:lineRule="exact"/>
        <w:rPr>
          <w:sz w:val="20"/>
          <w:szCs w:val="20"/>
          <w:color w:val="auto"/>
        </w:rPr>
      </w:pPr>
    </w:p>
    <w:p>
      <w:pPr>
        <w:ind w:left="520" w:hanging="512"/>
        <w:spacing w:after="0"/>
        <w:tabs>
          <w:tab w:leader="none" w:pos="520" w:val="left"/>
        </w:tabs>
        <w:numPr>
          <w:ilvl w:val="0"/>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ELECTRONIC DELIVERY</w:t>
      </w:r>
    </w:p>
    <w:p>
      <w:pPr>
        <w:spacing w:after="0" w:line="20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By executing the Grant Notice, the Participant hereby consents to the delivery of information (including information required to be delivered to the Participant pursuant to applicable securities laws) regarding the Company and the Subsidiaries, the Plan, the Option and the Common Stock via Company web site or other electronic delivery.</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CONFIDENTIALITY AND INVENTIONS AGREEMENT</w:t>
      </w:r>
    </w:p>
    <w:p>
      <w:pPr>
        <w:spacing w:after="0" w:line="20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As a condition to the receipt of the Option grants pursuant to the Grant Notice to which this Confidentiality and Inventions Agreement is attached and in consideration of the Participant’s continued employment with the Company, the Participant hereby confirms the Participant’s agreement as follows:</w:t>
      </w:r>
    </w:p>
    <w:p>
      <w:pPr>
        <w:spacing w:after="0" w:line="168" w:lineRule="exact"/>
        <w:rPr>
          <w:sz w:val="20"/>
          <w:szCs w:val="20"/>
          <w:color w:val="auto"/>
        </w:rPr>
      </w:pPr>
    </w:p>
    <w:p>
      <w:pPr>
        <w:ind w:left="520" w:hanging="512"/>
        <w:spacing w:after="0"/>
        <w:tabs>
          <w:tab w:leader="none" w:pos="520" w:val="left"/>
        </w:tabs>
        <w:numPr>
          <w:ilvl w:val="0"/>
          <w:numId w:val="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w:t>
      </w:r>
    </w:p>
    <w:p>
      <w:pPr>
        <w:spacing w:after="0" w:line="20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0"/>
          <w:szCs w:val="20"/>
          <w:color w:val="auto"/>
        </w:rPr>
        <w:t>The Participant’s employment by the Company is in a capacity in which he or she may have access to, or contribute to the production of, Confidential Information and the Company Work Product (both as defined below). The Participant’s employment creates a relationship of confidence and trust between the Company and the Participant with respect to the Confidential Information and the Company Work Product as set forth herein. This Confidentiality and Inventions Agreement are subject to the terms of the Standard Terms and Conditions attached as Exhibit A to the Grant Notice to which this Confidentiality and Inventions Agreement is attached; provided however, that in the event of any conflict between the Standard Terms and Conditions and this Confidentiality and Inventions Agreement, this Confidentiality and Inventions Agreement shall control.</w:t>
      </w:r>
    </w:p>
    <w:p>
      <w:pPr>
        <w:spacing w:after="0" w:line="153" w:lineRule="exact"/>
        <w:rPr>
          <w:sz w:val="20"/>
          <w:szCs w:val="20"/>
          <w:color w:val="auto"/>
        </w:rPr>
      </w:pPr>
    </w:p>
    <w:p>
      <w:pPr>
        <w:ind w:left="520" w:hanging="512"/>
        <w:spacing w:after="0"/>
        <w:tabs>
          <w:tab w:leader="none" w:pos="520" w:val="left"/>
        </w:tabs>
        <w:numPr>
          <w:ilvl w:val="0"/>
          <w:numId w:val="9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Capitalized terms not otherwise defined herein shall have the meaning set forth in the Petco Health and Wellness Company, Inc.</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2021 Equity Incentive Plan, as amended from time to time. For purposes of this Confidentiality and Inventions Agreement:</w:t>
      </w:r>
    </w:p>
    <w:p>
      <w:pPr>
        <w:spacing w:after="0" w:line="175" w:lineRule="exact"/>
        <w:rPr>
          <w:sz w:val="20"/>
          <w:szCs w:val="20"/>
          <w:color w:val="auto"/>
        </w:rPr>
      </w:pPr>
    </w:p>
    <w:p>
      <w:pPr>
        <w:jc w:val="both"/>
        <w:ind w:firstLine="757"/>
        <w:spacing w:after="0" w:line="256" w:lineRule="auto"/>
        <w:tabs>
          <w:tab w:leader="none" w:pos="1018" w:val="left"/>
        </w:tabs>
        <w:numPr>
          <w:ilvl w:val="0"/>
          <w:numId w:val="9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Confidential Information</w:t>
      </w:r>
      <w:r>
        <w:rPr>
          <w:rFonts w:ascii="Times New Roman" w:cs="Times New Roman" w:eastAsia="Times New Roman" w:hAnsi="Times New Roman"/>
          <w:sz w:val="20"/>
          <w:szCs w:val="20"/>
          <w:color w:val="auto"/>
        </w:rPr>
        <w:t>” shall mean information or material (i) that is proprietary to the Company or confidential to the Company, whether or not designated or labeled as such, and (ii) that the Participant creates, discovers or develops, or of which the Participant obtains knowledge of or access to, in the course of the Participant’s employment with the Company. Confidential Information may include, but is not limited to, designs, works of authorship, formulae, ideas, concepts, techniques, inventions, devices, improvements, know-how, methods, processes, drawings, specifications, models, data, diagrams, flow charts, research, procedures, computer programs, marketing techniques and materials, business, marketing, development and product plans, financial information, customer lists and contact information, personnel information, and other confidential business or technical information created on behalf of the Company or obtained as a result of or in the course of employment with the Company. For purposes of this Confidentiality and Inventions Agreement,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shall mean the Company or any of its Affiliates. To the extent that the participant can demonstrate by competent proof that one of the following exceptions applies, the Participant shall have no obligation under this Confidentiality and Inventions Agreement to maintain in confidence any: (I)</w:t>
      </w:r>
    </w:p>
    <w:p>
      <w:pPr>
        <w:spacing w:after="0" w:line="1" w:lineRule="exact"/>
        <w:rPr>
          <w:rFonts w:ascii="Times New Roman" w:cs="Times New Roman" w:eastAsia="Times New Roman" w:hAnsi="Times New Roman"/>
          <w:sz w:val="20"/>
          <w:szCs w:val="20"/>
          <w:color w:val="010000"/>
        </w:rPr>
      </w:pPr>
    </w:p>
    <w:p>
      <w:pPr>
        <w:jc w:val="both"/>
        <w:spacing w:after="0" w:line="233" w:lineRule="auto"/>
        <w:rPr>
          <w:rFonts w:ascii="Times New Roman" w:cs="Times New Roman" w:eastAsia="Times New Roman" w:hAnsi="Times New Roman"/>
          <w:sz w:val="20"/>
          <w:szCs w:val="20"/>
          <w:color w:val="010000"/>
        </w:rPr>
      </w:pPr>
      <w:r>
        <w:rPr>
          <w:rFonts w:ascii="Times New Roman" w:cs="Times New Roman" w:eastAsia="Times New Roman" w:hAnsi="Times New Roman"/>
          <w:sz w:val="22"/>
          <w:szCs w:val="22"/>
          <w:color w:val="auto"/>
        </w:rPr>
        <w:t>INFORMATION THAT IS OR BECOMES GENERALLY PUBLICLY KNOWN OTHER THAN AS A RESULT OF THE PARTICIPANT’S DISCLOSURE IN VIOLATION OF THIS AGREEMENT, (II) INFORMATION THAT WAS KNOWN BY THE PARTICIPANT OR AVAILABLE TO THE PARTICIPANT WITHOUT RESTRICTION PRIOR TO DISCLOSURE TO THE PARTICIPANT BY THE COMPANY, (III) INFORMATION THAT BECOMES AVAILABLE</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B</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4"/>
          <w:szCs w:val="14"/>
          <w:color w:val="auto"/>
        </w:rPr>
        <w:t>onfidentiality and</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nventions</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462280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68" w:name="page69"/>
    <w:bookmarkEnd w:id="68"/>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TO THE PARTICIPANT ON A NON -CONFIDENTIAL BASIS FROM A THIRD PARTY THAT IS NOT SUBJECT TO CONFIDENTIALITY OBLIGATIONS IN FAVOR, OR THAT INURE TO THE BENEFIT, OF THE COMPANY, AND (IV) INFORMATION THAT WAS DEVELOPED INDEPENDENTLY BY OR FOR THE PARTICIPANT WITHOUT REFERENCE TO THE CONFIDENTIAL INFORMATION, USE OF COMPANY RESOURCES OR BREACH OF THIS AGREEMENT, INCLUDING, WITHOUT LIMITATION, THE “PRE-EMPLOYMENT WORK PRODUCT” (AS DEFINED BELOW).</w:t>
      </w:r>
    </w:p>
    <w:p>
      <w:pPr>
        <w:spacing w:after="0" w:line="149" w:lineRule="exact"/>
        <w:rPr>
          <w:sz w:val="20"/>
          <w:szCs w:val="20"/>
          <w:color w:val="auto"/>
        </w:rPr>
      </w:pPr>
    </w:p>
    <w:p>
      <w:pPr>
        <w:jc w:val="both"/>
        <w:ind w:firstLine="757"/>
        <w:spacing w:after="0" w:line="265" w:lineRule="auto"/>
        <w:tabs>
          <w:tab w:leader="none" w:pos="1018" w:val="left"/>
        </w:tabs>
        <w:numPr>
          <w:ilvl w:val="1"/>
          <w:numId w:val="9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Work Product</w:t>
      </w:r>
      <w:r>
        <w:rPr>
          <w:rFonts w:ascii="Times New Roman" w:cs="Times New Roman" w:eastAsia="Times New Roman" w:hAnsi="Times New Roman"/>
          <w:sz w:val="20"/>
          <w:szCs w:val="20"/>
          <w:color w:val="auto"/>
        </w:rPr>
        <w:t>” shall mean inventions, data, ideas, designs, drawings, works of authorship, trademarks, service marks, trade names, service names, logos, developments, formulae, concepts, techniques, devices, improvements, know-how, methods, processes, programs and discoveries, whether or not patentable or protectable under applicable copyright or trademark law, or under other similar law, and whether or not reduced to practice or tangible form, together with any improvements thereon or thereto, derivative works therefrom, and intellectual property rights therein created on behalf of the Company as part of the obligation of employment in performing work for the Company or otherwise in the course of employment with the Company.</w:t>
      </w:r>
    </w:p>
    <w:p>
      <w:pPr>
        <w:spacing w:after="0" w:line="150" w:lineRule="exact"/>
        <w:rPr>
          <w:rFonts w:ascii="Times New Roman" w:cs="Times New Roman" w:eastAsia="Times New Roman" w:hAnsi="Times New Roman"/>
          <w:sz w:val="20"/>
          <w:szCs w:val="20"/>
          <w:color w:val="010000"/>
        </w:rPr>
      </w:pPr>
    </w:p>
    <w:p>
      <w:pPr>
        <w:ind w:left="520" w:hanging="512"/>
        <w:spacing w:after="0"/>
        <w:tabs>
          <w:tab w:leader="none" w:pos="520" w:val="left"/>
        </w:tabs>
        <w:numPr>
          <w:ilvl w:val="0"/>
          <w:numId w:val="1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CONFIDENTIALITY</w:t>
      </w:r>
    </w:p>
    <w:p>
      <w:pPr>
        <w:spacing w:after="0" w:line="209" w:lineRule="exact"/>
        <w:rPr>
          <w:rFonts w:ascii="Times New Roman" w:cs="Times New Roman" w:eastAsia="Times New Roman" w:hAnsi="Times New Roman"/>
          <w:sz w:val="22"/>
          <w:szCs w:val="22"/>
          <w:b w:val="1"/>
          <w:bCs w:val="1"/>
          <w:color w:val="auto"/>
        </w:rPr>
      </w:pPr>
    </w:p>
    <w:p>
      <w:pPr>
        <w:jc w:val="both"/>
        <w:ind w:firstLine="757"/>
        <w:spacing w:after="0" w:line="233" w:lineRule="auto"/>
        <w:tabs>
          <w:tab w:leader="none" w:pos="1018" w:val="left"/>
        </w:tabs>
        <w:numPr>
          <w:ilvl w:val="1"/>
          <w:numId w:val="10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During the term of the Participant’s employment by the Company and at all times thereafter, The Participant will keep in strict confidence and trust all Confidential Information, and the Participant will not, directly or indirectly, disclose, distribute, sell, transfer, use, lecture upon or publish any Confidential Information, except as may be necessary in the course of performing the Participant’s duties as an employee of the Company or as the Company authorizes or permits. Notwithstanding the foregoing, the Participant shall be entitled to continue to use Confidential Information of the Company transferred to a purchaser (“</w:t>
      </w:r>
      <w:r>
        <w:rPr>
          <w:rFonts w:ascii="Times New Roman" w:cs="Times New Roman" w:eastAsia="Times New Roman" w:hAnsi="Times New Roman"/>
          <w:sz w:val="22"/>
          <w:szCs w:val="22"/>
          <w:b w:val="1"/>
          <w:bCs w:val="1"/>
          <w:i w:val="1"/>
          <w:iCs w:val="1"/>
          <w:color w:val="auto"/>
        </w:rPr>
        <w:t>Purchaser</w:t>
      </w:r>
      <w:r>
        <w:rPr>
          <w:rFonts w:ascii="Times New Roman" w:cs="Times New Roman" w:eastAsia="Times New Roman" w:hAnsi="Times New Roman"/>
          <w:sz w:val="22"/>
          <w:szCs w:val="22"/>
          <w:color w:val="auto"/>
        </w:rPr>
        <w:t>”) of all or substantially all of the assets of a business (“</w:t>
      </w:r>
      <w:r>
        <w:rPr>
          <w:rFonts w:ascii="Times New Roman" w:cs="Times New Roman" w:eastAsia="Times New Roman" w:hAnsi="Times New Roman"/>
          <w:sz w:val="22"/>
          <w:szCs w:val="22"/>
          <w:b w:val="1"/>
          <w:bCs w:val="1"/>
          <w:i w:val="1"/>
          <w:iCs w:val="1"/>
          <w:color w:val="auto"/>
        </w:rPr>
        <w:t>Business</w:t>
      </w:r>
      <w:r>
        <w:rPr>
          <w:rFonts w:ascii="Times New Roman" w:cs="Times New Roman" w:eastAsia="Times New Roman" w:hAnsi="Times New Roman"/>
          <w:sz w:val="22"/>
          <w:szCs w:val="22"/>
          <w:color w:val="auto"/>
        </w:rPr>
        <w:t>”) of Company (an “</w:t>
      </w:r>
      <w:r>
        <w:rPr>
          <w:rFonts w:ascii="Times New Roman" w:cs="Times New Roman" w:eastAsia="Times New Roman" w:hAnsi="Times New Roman"/>
          <w:sz w:val="22"/>
          <w:szCs w:val="22"/>
          <w:b w:val="1"/>
          <w:bCs w:val="1"/>
          <w:i w:val="1"/>
          <w:iCs w:val="1"/>
          <w:color w:val="auto"/>
        </w:rPr>
        <w:t>Acquisition</w:t>
      </w:r>
      <w:r>
        <w:rPr>
          <w:rFonts w:ascii="Times New Roman" w:cs="Times New Roman" w:eastAsia="Times New Roman" w:hAnsi="Times New Roman"/>
          <w:sz w:val="22"/>
          <w:szCs w:val="22"/>
          <w:color w:val="auto"/>
        </w:rPr>
        <w:t>”) solely to the extent that the Participant becomes an employee of such Purchaser or Purchaser’s designated affiliate upon consummation of the Acquisition and such Confidential Information is used in the Business prior to consummation of the Acquisition. The Participant acknowledges and agrees that, upon consummation of the Acquisition, the Confidential Information shall be deemed the Confidential Information of the Purchaser and subject to the Participant’s applicable employment, confidentiality and inventions assignment agreement with such Purchaser.</w:t>
      </w:r>
    </w:p>
    <w:p>
      <w:pPr>
        <w:spacing w:after="0" w:line="184" w:lineRule="exact"/>
        <w:rPr>
          <w:rFonts w:ascii="Times New Roman" w:cs="Times New Roman" w:eastAsia="Times New Roman" w:hAnsi="Times New Roman"/>
          <w:sz w:val="22"/>
          <w:szCs w:val="22"/>
          <w:color w:val="010000"/>
        </w:rPr>
      </w:pPr>
    </w:p>
    <w:p>
      <w:pPr>
        <w:jc w:val="both"/>
        <w:ind w:firstLine="757"/>
        <w:spacing w:after="0" w:line="235" w:lineRule="auto"/>
        <w:tabs>
          <w:tab w:leader="none" w:pos="1018" w:val="left"/>
        </w:tabs>
        <w:numPr>
          <w:ilvl w:val="1"/>
          <w:numId w:val="10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Participant recognizes that the Company has received and in the future will receive information from third parties which is subject to an obligation on the Company’s part to maintain the confidentiality of such information and to use it only for certain limited purposes. The Participant agrees, during the term of the Participant’s employment and thereafter, to hold all such confidential or proprietary information of third parties in the strictest confidence and not to disclose or use it, except as necessary in performing the Participant’s duties as an employee of the Company consistent with the Company’s agreement with such third party. The Participant agrees that such information will be subject to the terms of this Confidentiality and Inventions Agreement as Confidential Information.</w:t>
      </w:r>
    </w:p>
    <w:p>
      <w:pPr>
        <w:spacing w:after="0" w:line="180" w:lineRule="exact"/>
        <w:rPr>
          <w:rFonts w:ascii="Times New Roman" w:cs="Times New Roman" w:eastAsia="Times New Roman" w:hAnsi="Times New Roman"/>
          <w:sz w:val="22"/>
          <w:szCs w:val="22"/>
          <w:color w:val="010000"/>
        </w:rPr>
      </w:pPr>
    </w:p>
    <w:p>
      <w:pPr>
        <w:jc w:val="both"/>
        <w:ind w:firstLine="757"/>
        <w:spacing w:after="0" w:line="244" w:lineRule="auto"/>
        <w:tabs>
          <w:tab w:leader="none" w:pos="1018" w:val="left"/>
        </w:tabs>
        <w:numPr>
          <w:ilvl w:val="1"/>
          <w:numId w:val="10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Protected Disclosures</w:t>
      </w:r>
      <w:r>
        <w:rPr>
          <w:rFonts w:ascii="Times New Roman" w:cs="Times New Roman" w:eastAsia="Times New Roman" w:hAnsi="Times New Roman"/>
          <w:sz w:val="22"/>
          <w:szCs w:val="22"/>
          <w:color w:val="auto"/>
        </w:rPr>
        <w:t>. 18 U.S.C. § 1833(b) provides: “An individual shall not be held criminally or civilly liable under any Federal or State trade secret law for the disclosure of a trade secret that—(A) is made—(i) in confidence to a Federal, State, or local government official,</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83"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either directly or indirectly, or to an attorney; and (ii) solely for the purpose of reporting or investigating a suspected violation of law; or (B) is made in a complaint or other document filed in a lawsuit or other proceeding, if such filing is made under seal.” Nothing in this Agreement is intended to conflict with 18 U.S.C. § 1833(b) or create liability for disclosures of trade secrets that are expressly allowed by 18 U.S.C. § 1833(b). Accordingly, the parties to this Agreement have the right to disclose in confidence trade secrets to federal, state, and local government officials, or to an attorney, for the sole purpose of reporting or investigating a suspected violation of law. The parties also have the right to disclose trade secrets in a document filed in a lawsuit or other proceeding, but only if the filing is made under seal and protected from public disclosure. Nothing in this Confidentiality and Inventions Agreement prevents the Participant from discussing or disclosing information about unlawful acts in the workplace, such as harassment or discrimination or any other conduct that the Participant has reason to believe is unlawful. Furthermore, and for the avoidance of doubt, nothing in this Confidentiality and Inventions Agreement limits or restricts the Participant’s ability to communicate with the Securities and Exchange Commission or any other federal, state or local governmental agency or commission (each a “</w:t>
      </w:r>
      <w:r>
        <w:rPr>
          <w:rFonts w:ascii="Times New Roman" w:cs="Times New Roman" w:eastAsia="Times New Roman" w:hAnsi="Times New Roman"/>
          <w:sz w:val="22"/>
          <w:szCs w:val="22"/>
          <w:b w:val="1"/>
          <w:bCs w:val="1"/>
          <w:i w:val="1"/>
          <w:iCs w:val="1"/>
          <w:color w:val="auto"/>
        </w:rPr>
        <w:t>Government Agency</w:t>
      </w:r>
      <w:r>
        <w:rPr>
          <w:rFonts w:ascii="Times New Roman" w:cs="Times New Roman" w:eastAsia="Times New Roman" w:hAnsi="Times New Roman"/>
          <w:sz w:val="22"/>
          <w:szCs w:val="22"/>
          <w:color w:val="auto"/>
        </w:rPr>
        <w:t>”) or otherwise participate in any investigation or proceeding that may be conducted by any Government Agency, including providing documents or other information and reporting possible violations of law or regulation or other disclosures protected under the whistleblower provisions of applicable law or regulation, without notice to the Company.</w:t>
      </w:r>
    </w:p>
    <w:p>
      <w:pPr>
        <w:spacing w:after="0" w:line="184" w:lineRule="exact"/>
        <w:rPr>
          <w:sz w:val="20"/>
          <w:szCs w:val="20"/>
          <w:color w:val="auto"/>
        </w:rPr>
      </w:pPr>
    </w:p>
    <w:p>
      <w:pPr>
        <w:ind w:left="520" w:hanging="512"/>
        <w:spacing w:after="0"/>
        <w:tabs>
          <w:tab w:leader="none" w:pos="520" w:val="left"/>
        </w:tabs>
        <w:numPr>
          <w:ilvl w:val="0"/>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COMPANY PROPERTY</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All apparatus, computers, computer files and media, notes, data, documents, reference materials, sketches, memoranda, records, drawings, engineering log books, equipment, lab/inventor notebooks, programs, prototypes, samples, equipment, tangible embodiments of information, and other physical property, whether or not pertaining to Confidential Information, furnished to the Participant or produced by the Participant or others in connection with the Participant’s employment, shall be and remain the sole property of the Company and any such property actually in the Participant’s possession or control shall be returned promptly to the Company as and when requested in writing by the Company. Should the Company not so request, the Participant shall return and deliver all such property to the Company upon termination of the Participant’s employment. The Participant may not retain any such property or any reproduction of such property upon such termination. The Participant further agrees that any property situated on the Company’s premises and owned, leased, maintained or otherwise contracted for by the Company, including, but not limited to, computers, computer files, e-mail, voicemail, disks and other electronic storage media, filing cabinets, desks or other work areas, are subject to inspection by the Company’s representatives at any time with or without notice.</w:t>
      </w:r>
    </w:p>
    <w:p>
      <w:pPr>
        <w:spacing w:after="0" w:line="162" w:lineRule="exact"/>
        <w:rPr>
          <w:sz w:val="20"/>
          <w:szCs w:val="20"/>
          <w:color w:val="auto"/>
        </w:rPr>
      </w:pPr>
    </w:p>
    <w:p>
      <w:pPr>
        <w:ind w:left="520" w:hanging="512"/>
        <w:spacing w:after="0"/>
        <w:tabs>
          <w:tab w:leader="none" w:pos="520" w:val="left"/>
        </w:tabs>
        <w:numPr>
          <w:ilvl w:val="0"/>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COMPANY WORK PRODUCT</w:t>
      </w:r>
    </w:p>
    <w:p>
      <w:pPr>
        <w:spacing w:after="0" w:line="20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Subject to Section 6 and 7 below, the Participant agrees that any Work Product, in whole or in part, conceived, developed, made or reduced to practice by the Participant (either solely or in conjunction with others) during the term of his or her employment with the Company (collectively, the “</w:t>
      </w:r>
      <w:r>
        <w:rPr>
          <w:rFonts w:ascii="Times New Roman" w:cs="Times New Roman" w:eastAsia="Times New Roman" w:hAnsi="Times New Roman"/>
          <w:sz w:val="22"/>
          <w:szCs w:val="22"/>
          <w:b w:val="1"/>
          <w:bCs w:val="1"/>
          <w:i w:val="1"/>
          <w:iCs w:val="1"/>
          <w:color w:val="auto"/>
        </w:rPr>
        <w:t>Company Work Product</w:t>
      </w:r>
      <w:r>
        <w:rPr>
          <w:rFonts w:ascii="Times New Roman" w:cs="Times New Roman" w:eastAsia="Times New Roman" w:hAnsi="Times New Roman"/>
          <w:sz w:val="22"/>
          <w:szCs w:val="22"/>
          <w:color w:val="auto"/>
        </w:rPr>
        <w:t>”) shall be owned exclusively by the Company (or, to the extent applicable, a Purchaser pursuant to an Acquisition). Without limiting the foregoing, the Participant agrees that any of the Company Work Product shall be deemed to be “works made for hire” as defined in U.S. Copyright Act §101, and all right, title, and interest therein shall vest solely in the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Company from conception. The Participant hereby irrevocably assigns and transfers, and agrees to assign and transfer in the future on the Company’s request, to the Company all right, title and interest in and to any Company Work Product, including, but not limited to, patents, copyrights and other intellectual property rights therein. The Participant shall treat any such Company Work Product as Confidential Information. The Participant will execute all applications, assignments, instruments and other documents and perform all acts consistent herewith as the Company or its counsel may deem necessary or desirable to obtain, perfect or enforce any patents, copyright registrations or other protections on such Company Work Product and to otherwise protect the interests of the Company therein. The Participant’s obligation to reasonably assist the Company in obtaining and enforcing the intellectual property and other rights in the Company Work Product in any and all jurisdictions shall continue beyond the termination of the Participant’s employment. The Participant acknowledges that the Company may need to secure the Participant’s signature for lawful and necessary documents required to apply for, maintain or enforce intellectual property and other rights with respect to the Company Work Product (including, but not limited to, renewals, extensions, continuations, divisions or continuations in part of patent applications). The Participant hereby irrevocably designates and appoints the Company and its duly authorized officers and agents, as the Participant’s agents and attorneys-in-fact, to act for and on the Participant’s behalf and instead of the Participant, to execute and file any such document(s) and to do all other lawfully permitted acts to further the prosecution, issuance and enforcement of patents, copyright registrations and other protections on the Company Work Product with the same legal force and effect as if executed by the Participant. The Participant further hereby waives and relinquishes any and all moral rights that the Participant may have in the Company Work Product.</w:t>
      </w:r>
    </w:p>
    <w:p>
      <w:pPr>
        <w:spacing w:after="0" w:line="200" w:lineRule="exact"/>
        <w:rPr>
          <w:sz w:val="20"/>
          <w:szCs w:val="20"/>
          <w:color w:val="auto"/>
        </w:rPr>
      </w:pPr>
    </w:p>
    <w:p>
      <w:pPr>
        <w:spacing w:after="0" w:line="213" w:lineRule="exact"/>
        <w:rPr>
          <w:sz w:val="20"/>
          <w:szCs w:val="20"/>
          <w:color w:val="auto"/>
        </w:rPr>
      </w:pPr>
    </w:p>
    <w:p>
      <w:pPr>
        <w:ind w:left="520" w:hanging="512"/>
        <w:spacing w:after="0"/>
        <w:tabs>
          <w:tab w:leader="none" w:pos="520" w:val="left"/>
        </w:tabs>
        <w:numPr>
          <w:ilvl w:val="0"/>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EXCEPTION TO ASSIGNMENTS</w:t>
      </w:r>
    </w:p>
    <w:p>
      <w:pPr>
        <w:spacing w:after="0" w:line="20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Pursuant to Section 2870 of the California Labor Code, the requirements set forth in Section 5 of this Agreement shall not apply to an invention that the Participant develops entirely on his or her own time without using the Company’s equipment, supplies, facilities, or trade secret information except for those inventions that either: (i) relate at the time of conception or reduction to practice of the invention to the Company’s business, or actual or demonstrably anticipated research or development of the Company; or (ii) result from any work performed by the Participant for the Company.</w:t>
      </w:r>
    </w:p>
    <w:p>
      <w:pPr>
        <w:spacing w:after="0" w:line="176" w:lineRule="exact"/>
        <w:rPr>
          <w:sz w:val="20"/>
          <w:szCs w:val="20"/>
          <w:color w:val="auto"/>
        </w:rPr>
      </w:pPr>
    </w:p>
    <w:p>
      <w:pPr>
        <w:ind w:left="520" w:hanging="512"/>
        <w:spacing w:after="0"/>
        <w:tabs>
          <w:tab w:leader="none" w:pos="520" w:val="left"/>
        </w:tabs>
        <w:numPr>
          <w:ilvl w:val="0"/>
          <w:numId w:val="1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PRE-EMPLOYMENT WORK PRODUCT</w:t>
      </w:r>
    </w:p>
    <w:p>
      <w:pPr>
        <w:spacing w:after="0" w:line="209"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1"/>
          <w:numId w:val="10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Work Product includes only things done for the Company in performing work for the Company.</w:t>
      </w:r>
    </w:p>
    <w:p>
      <w:pPr>
        <w:spacing w:after="0" w:line="205" w:lineRule="exact"/>
        <w:rPr>
          <w:rFonts w:ascii="Times New Roman" w:cs="Times New Roman" w:eastAsia="Times New Roman" w:hAnsi="Times New Roman"/>
          <w:sz w:val="22"/>
          <w:szCs w:val="22"/>
          <w:color w:val="010000"/>
        </w:rPr>
      </w:pPr>
    </w:p>
    <w:p>
      <w:pPr>
        <w:jc w:val="both"/>
        <w:ind w:firstLine="757"/>
        <w:spacing w:after="0" w:line="235" w:lineRule="auto"/>
        <w:tabs>
          <w:tab w:leader="none" w:pos="1018" w:val="left"/>
        </w:tabs>
        <w:numPr>
          <w:ilvl w:val="1"/>
          <w:numId w:val="10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Participant acknowledges that the Company has a strict policy against using proprietary information belonging to any other person or entity without the express permission of the owner of that information. The Participant represents and warrants that the Participant’s performance of all of the terms of this Confidentiality and Inventions Agreement and as an employee of the Company does not and will not result in a breach of any duty owed by the Participant to a third party to keep in confidence any information, knowledge or data. The Participant has not brought or used, and will not bring to the Company, or use, induce the Company to use, or disclose in the performance of the Participant’s duties, nor has the Participant used or disclosed in the performance of any services for the Company prior to the effective date of the</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1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Participant’s employment with the Company (if any), any equipment, supplies, facility, electronic media, software, trade secret or other information or property of any former employer or any other person or entity, unless the Participant has obtained their written authorization for its possession and use.</w:t>
      </w:r>
    </w:p>
    <w:p>
      <w:pPr>
        <w:spacing w:after="0" w:line="168" w:lineRule="exact"/>
        <w:rPr>
          <w:sz w:val="20"/>
          <w:szCs w:val="20"/>
          <w:color w:val="auto"/>
        </w:rPr>
      </w:pPr>
    </w:p>
    <w:p>
      <w:pPr>
        <w:ind w:left="520" w:hanging="512"/>
        <w:spacing w:after="0"/>
        <w:tabs>
          <w:tab w:leader="none" w:pos="520" w:val="left"/>
        </w:tabs>
        <w:numPr>
          <w:ilvl w:val="0"/>
          <w:numId w:val="1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RECORDS</w:t>
      </w:r>
    </w:p>
    <w:p>
      <w:pPr>
        <w:spacing w:after="0" w:line="20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Participant agrees that he or he or she will keep and maintain adequate and current written records (in the form of notes, sketches, drawings or such other form(s) as may be specified by the Company) of all the Company Work Product made by the Participant during the term of his or his or her employment with the Company, which records shall be available at all times to the Company and shall remain the sole property of the Company.</w:t>
      </w:r>
    </w:p>
    <w:p>
      <w:pPr>
        <w:spacing w:after="0" w:line="175" w:lineRule="exact"/>
        <w:rPr>
          <w:sz w:val="20"/>
          <w:szCs w:val="20"/>
          <w:color w:val="auto"/>
        </w:rPr>
      </w:pPr>
    </w:p>
    <w:p>
      <w:pPr>
        <w:ind w:left="520" w:hanging="512"/>
        <w:spacing w:after="0"/>
        <w:tabs>
          <w:tab w:leader="none" w:pos="520" w:val="left"/>
        </w:tabs>
        <w:numPr>
          <w:ilvl w:val="0"/>
          <w:numId w:val="1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PRESUMPTION</w:t>
      </w:r>
    </w:p>
    <w:p>
      <w:pPr>
        <w:spacing w:after="0" w:line="20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If any application for any United States or foreign patent related to or useful in the business of the Company or any customer of the Company shall be filed by or for the Participant during the period of one year after the Participant’s employment is terminated, the subject matter covered by such application shall be presumed to have been conceived during the Participant’s employment with the Company.</w:t>
      </w:r>
    </w:p>
    <w:p>
      <w:pPr>
        <w:spacing w:after="0" w:line="175" w:lineRule="exact"/>
        <w:rPr>
          <w:sz w:val="20"/>
          <w:szCs w:val="20"/>
          <w:color w:val="auto"/>
        </w:rPr>
      </w:pPr>
    </w:p>
    <w:p>
      <w:pPr>
        <w:ind w:left="520" w:hanging="512"/>
        <w:spacing w:after="0"/>
        <w:tabs>
          <w:tab w:leader="none" w:pos="520" w:val="left"/>
        </w:tabs>
        <w:numPr>
          <w:ilvl w:val="0"/>
          <w:numId w:val="1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AGREEMENTS WITH THIRD PARTIES OR THE U.S. GOVERNMENT.</w:t>
      </w:r>
    </w:p>
    <w:p>
      <w:pPr>
        <w:spacing w:after="0" w:line="20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The Participant acknowledges that the Company from time to time may have agreements with other persons or entities, or with the U.S. Government or agencies thereof, which impose obligations or restrictions on the Company regarding inventions made during the course of work thereunder or regarding the confidential nature of such work. The Participant agrees to be bound by all such obligations and restrictions of which the Participant has been made aware of by the Company and to take all action necessary to discharge the obligations of the Company thereunder.</w:t>
      </w:r>
    </w:p>
    <w:p>
      <w:pPr>
        <w:spacing w:after="0" w:line="176" w:lineRule="exact"/>
        <w:rPr>
          <w:sz w:val="20"/>
          <w:szCs w:val="20"/>
          <w:color w:val="auto"/>
        </w:rPr>
      </w:pPr>
    </w:p>
    <w:p>
      <w:pPr>
        <w:ind w:left="520" w:hanging="512"/>
        <w:spacing w:after="0"/>
        <w:tabs>
          <w:tab w:leader="none" w:pos="520" w:val="left"/>
        </w:tabs>
        <w:numPr>
          <w:ilvl w:val="0"/>
          <w:numId w:val="1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INJUNCTIVE RELIEF</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Because of the unique nature of the Confidential Information and the Company Work Product, the Participant understands and agrees that the Company may suffer immediate and irreparable harm if the Participant fails to comply with any of his or her obligations under this Confidentiality and Inventions Agreement and that monetary damages may be inadequate to compensate the Company for such breach. Accordingly, the Participant agrees that in the event of a breach or threatened breach of this Confidentiality and Inventions Agreement, in addition to any other remedies available to it at law or in equity, the Company will be entitled, without posting bond or other security, to seek injunctive relief to enforce the terms of this Confidentiality and Inventions Agreement, including, but not limited to, restraining the Participant from violating this Confidentiality and Inventions Agreement or compelling the Participant to cease and desist all unauthorized use and disclosure of the Confidential Information and the Company Work Product. The Participant will indemnify the Company against any costs, including, but not limited to, reasonable outside legal fees and costs, incurred in obtaining relief against the Participant’s breach of this Confidentiality and Inventions Agreement. Nothing in this Section 11 shall be construed as prohibiting the Company from pursuing any other remedies available to it for such breach or threatened breach, including, but not limited to, recovery of damages.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179" w:lineRule="exact"/>
        <w:rPr>
          <w:sz w:val="20"/>
          <w:szCs w:val="20"/>
          <w:color w:val="auto"/>
        </w:rPr>
      </w:pPr>
    </w:p>
    <w:p>
      <w:pPr>
        <w:ind w:left="520" w:hanging="512"/>
        <w:spacing w:after="0"/>
        <w:tabs>
          <w:tab w:leader="none" w:pos="520" w:val="left"/>
        </w:tabs>
        <w:numPr>
          <w:ilvl w:val="0"/>
          <w:numId w:val="1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DISCLOSURE OF OBLIGATIONS</w:t>
      </w:r>
    </w:p>
    <w:p>
      <w:pPr>
        <w:spacing w:after="0" w:line="209"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22"/>
          <w:szCs w:val="22"/>
          <w:color w:val="auto"/>
        </w:rPr>
        <w:t>The Participant is hereby permitted and the Participant authorizes the Company to provide a copy of this Confidentiality and Inventions Agreement and any exhibits hereto to any of the Participant’s future employers, and to notify any such future employers of the Participant’s obligations and the Company’s rights hereunder, provided that neither party is under any obligation to do so.</w:t>
      </w:r>
    </w:p>
    <w:p>
      <w:pPr>
        <w:spacing w:after="0" w:line="175" w:lineRule="exact"/>
        <w:rPr>
          <w:sz w:val="20"/>
          <w:szCs w:val="20"/>
          <w:color w:val="auto"/>
        </w:rPr>
      </w:pPr>
    </w:p>
    <w:p>
      <w:pPr>
        <w:ind w:left="520" w:hanging="512"/>
        <w:spacing w:after="0"/>
        <w:tabs>
          <w:tab w:leader="none" w:pos="520" w:val="left"/>
        </w:tabs>
        <w:numPr>
          <w:ilvl w:val="0"/>
          <w:numId w:val="1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JURISDICTION AND VENUE</w:t>
      </w:r>
    </w:p>
    <w:p>
      <w:pPr>
        <w:spacing w:after="0" w:line="20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This Confidentiality and Inventions Agreement will be governed by the laws of the State of California without regard to any conflicts-of-law rules. To the extent that any lawsuit is permitted under this Confidentiality and Inventions Agreement, the Participant hereby expressly consents to the personal and exclusive jurisdiction and venue of the state and federal courts located in San Diego, California for any lawsuit filed against the Participant by the Company. Nothing herein shall limit the right of the Company to seek and obtain injunctive relief in any jurisdiction for violation of the portions of this Confidentiality and Inventions Agreement dealing with protection of Confidential Information or the Company Work Product.</w:t>
      </w:r>
    </w:p>
    <w:p>
      <w:pPr>
        <w:spacing w:after="0" w:line="175" w:lineRule="exact"/>
        <w:rPr>
          <w:sz w:val="20"/>
          <w:szCs w:val="20"/>
          <w:color w:val="auto"/>
        </w:rPr>
      </w:pPr>
    </w:p>
    <w:p>
      <w:pPr>
        <w:ind w:left="520" w:hanging="512"/>
        <w:spacing w:after="0"/>
        <w:tabs>
          <w:tab w:leader="none" w:pos="520" w:val="left"/>
        </w:tabs>
        <w:numPr>
          <w:ilvl w:val="0"/>
          <w:numId w:val="1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ASSIGNMENT; INUREMENT</w:t>
      </w:r>
    </w:p>
    <w:p>
      <w:pPr>
        <w:spacing w:after="0" w:line="20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Neither this Confidentiality and Inventions Agreement nor any duties or obligations under this Confidentiality and Inventions Agreement may be assigned by the Participant without the prior written consent of the Company. The Participant understands and agrees that the Company may freely assign this Confidentiality and Inventions Agreement. This Agreement shall inure to the benefit of, and shall be binding upon, the permitted assigns, successors in interest (including any Purchaser upon consummation of an Acquisition), personal representatives, estates, heirs, and legatees of each of the parties hereto. Any assignment in violation of this Section 14 shall be null and void.</w:t>
      </w:r>
    </w:p>
    <w:p>
      <w:pPr>
        <w:spacing w:after="0" w:line="175" w:lineRule="exact"/>
        <w:rPr>
          <w:sz w:val="20"/>
          <w:szCs w:val="20"/>
          <w:color w:val="auto"/>
        </w:rPr>
      </w:pPr>
    </w:p>
    <w:p>
      <w:pPr>
        <w:ind w:left="520" w:hanging="512"/>
        <w:spacing w:after="0"/>
        <w:tabs>
          <w:tab w:leader="none" w:pos="520" w:val="left"/>
        </w:tabs>
        <w:numPr>
          <w:ilvl w:val="0"/>
          <w:numId w:val="1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SURVIVORSHIP</w:t>
      </w:r>
    </w:p>
    <w:p>
      <w:pPr>
        <w:spacing w:after="0" w:line="20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rights and obligations of the parties to this Confidentiality and Inventions Agreement will survive termination of my employment with the Company.</w:t>
      </w:r>
    </w:p>
    <w:p>
      <w:pPr>
        <w:spacing w:after="0" w:line="153" w:lineRule="exact"/>
        <w:rPr>
          <w:sz w:val="20"/>
          <w:szCs w:val="20"/>
          <w:color w:val="auto"/>
        </w:rPr>
      </w:pPr>
    </w:p>
    <w:p>
      <w:pPr>
        <w:ind w:left="520" w:hanging="512"/>
        <w:spacing w:after="0"/>
        <w:tabs>
          <w:tab w:leader="none" w:pos="520" w:val="left"/>
        </w:tabs>
        <w:numPr>
          <w:ilvl w:val="0"/>
          <w:numId w:val="1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w:t>
      </w:r>
    </w:p>
    <w:p>
      <w:pPr>
        <w:spacing w:after="0" w:line="20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In the event that any provision hereof or any obligation or grant of rights by the Participant hereunder is found invalid or unenforceable pursuant to judicial decree or decision, any such provision, obligation or grant of rights shall be deemed and construed to extend only to the maximum permitted by law, the invalid or unenforceable portions shall be severed, and the remainder of this Confidentiality and Inventions Agreement shall remain valid and enforceable according to its terms. This Confidentiality and Inventions Agreement may not be amended, waived or modified, except by an instrument in writing executed by the Participant and a duly authorized representative of the Company.</w:t>
      </w:r>
    </w:p>
    <w:p>
      <w:pPr>
        <w:spacing w:after="0" w:line="175" w:lineRule="exact"/>
        <w:rPr>
          <w:sz w:val="20"/>
          <w:szCs w:val="20"/>
          <w:color w:val="auto"/>
        </w:rPr>
      </w:pPr>
    </w:p>
    <w:p>
      <w:pPr>
        <w:ind w:left="520" w:hanging="512"/>
        <w:spacing w:after="0"/>
        <w:tabs>
          <w:tab w:leader="none" w:pos="520" w:val="left"/>
        </w:tabs>
        <w:numPr>
          <w:ilvl w:val="0"/>
          <w:numId w:val="1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ACKNOWLEDGMENT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EMPLOYEE ACKNOWLEDGES THAT, IN EXECUTING THE GRANT NOTICE TO WHICH</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18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THIS CONFIDENTIALITY AND INVENTIONS AGREEMENT IS ATTACHED, EMPLOYEE HAS HAD THE OPPORTUNITY TO SEEK THE ADVICE OF INDEPENDENT LEGAL COUNSEL, AND EMPLOYEE HAS READ AND UNDERSTOOD ALL OF THE TERMS AND PROVISIONS OF THIS CONFIDENTIALITY AND INVENTIONS AGREEMENT. THIS CONFIDENTIALITY AND INVENTIONS AGREEMENT SHALL NOT BE CONSTRUED AGAINST ANY PARTY BY REASON OF THE DRAFTING OR PREPARATION HEREOF.</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ind w:left="5580"/>
        <w:spacing w:after="0"/>
        <w:tabs>
          <w:tab w:leader="none" w:pos="9440" w:val="left"/>
        </w:tabs>
        <w:rPr>
          <w:sz w:val="20"/>
          <w:szCs w:val="20"/>
          <w:color w:val="auto"/>
        </w:rPr>
      </w:pPr>
      <w:r>
        <w:rPr>
          <w:rFonts w:ascii="Times New Roman" w:cs="Times New Roman" w:eastAsia="Times New Roman" w:hAnsi="Times New Roman"/>
          <w:sz w:val="22"/>
          <w:szCs w:val="22"/>
          <w:b w:val="1"/>
          <w:bCs w:val="1"/>
          <w:color w:val="auto"/>
        </w:rPr>
        <w:t>EXECUTIVE OFFICER FORM</w:t>
      </w:r>
      <w:r>
        <w:rPr>
          <w:sz w:val="20"/>
          <w:szCs w:val="20"/>
          <w:color w:val="auto"/>
        </w:rPr>
        <w:tab/>
      </w:r>
      <w:r>
        <w:rPr>
          <w:rFonts w:ascii="Times New Roman" w:cs="Times New Roman" w:eastAsia="Times New Roman" w:hAnsi="Times New Roman"/>
          <w:sz w:val="20"/>
          <w:szCs w:val="20"/>
          <w:b w:val="1"/>
          <w:bCs w:val="1"/>
          <w:color w:val="auto"/>
        </w:rPr>
        <w:t>EXHIBIT 10.5</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PETCO HEALTH AND WELLNESS COMPANY,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2021 EQUITY INCENTIVE PLAN</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GRANT NOTICE FOR</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AWARD</w:t>
      </w:r>
    </w:p>
    <w:p>
      <w:pPr>
        <w:spacing w:after="0" w:line="21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FOR GOOD AND VALUABLE CONSIDERATION, Petco Health and Wellness Company,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hereby grants to the Participant named below the number of Restricted Stock Units (the “</w:t>
      </w:r>
      <w:r>
        <w:rPr>
          <w:rFonts w:ascii="Times New Roman" w:cs="Times New Roman" w:eastAsia="Times New Roman" w:hAnsi="Times New Roman"/>
          <w:sz w:val="22"/>
          <w:szCs w:val="22"/>
          <w:b w:val="1"/>
          <w:bCs w:val="1"/>
          <w:i w:val="1"/>
          <w:iCs w:val="1"/>
          <w:color w:val="auto"/>
        </w:rPr>
        <w:t>RSUs</w:t>
      </w:r>
      <w:r>
        <w:rPr>
          <w:rFonts w:ascii="Times New Roman" w:cs="Times New Roman" w:eastAsia="Times New Roman" w:hAnsi="Times New Roman"/>
          <w:sz w:val="22"/>
          <w:szCs w:val="22"/>
          <w:color w:val="auto"/>
        </w:rPr>
        <w:t>”) specified below (the “</w:t>
      </w:r>
      <w:r>
        <w:rPr>
          <w:rFonts w:ascii="Times New Roman" w:cs="Times New Roman" w:eastAsia="Times New Roman" w:hAnsi="Times New Roman"/>
          <w:sz w:val="22"/>
          <w:szCs w:val="22"/>
          <w:b w:val="1"/>
          <w:bCs w:val="1"/>
          <w:i w:val="1"/>
          <w:iCs w:val="1"/>
          <w:color w:val="auto"/>
        </w:rPr>
        <w:t>Award</w:t>
      </w:r>
      <w:r>
        <w:rPr>
          <w:rFonts w:ascii="Times New Roman" w:cs="Times New Roman" w:eastAsia="Times New Roman" w:hAnsi="Times New Roman"/>
          <w:sz w:val="22"/>
          <w:szCs w:val="22"/>
          <w:color w:val="auto"/>
        </w:rPr>
        <w:t>”) under the Petco Health and Wellness Company, Inc. 2021 Equity Incentive Plan (as amended from time to time,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Each RSU represents the right to receive one share of Common Stock, upon the terms and subject to the conditions set forth in this Grant Notice, the Plan and the Standard Terms and Conditions (the “</w:t>
      </w:r>
      <w:r>
        <w:rPr>
          <w:rFonts w:ascii="Times New Roman" w:cs="Times New Roman" w:eastAsia="Times New Roman" w:hAnsi="Times New Roman"/>
          <w:sz w:val="22"/>
          <w:szCs w:val="22"/>
          <w:b w:val="1"/>
          <w:bCs w:val="1"/>
          <w:i w:val="1"/>
          <w:iCs w:val="1"/>
          <w:color w:val="auto"/>
        </w:rPr>
        <w:t>Standard Terms and Conditions</w:t>
      </w:r>
      <w:r>
        <w:rPr>
          <w:rFonts w:ascii="Times New Roman" w:cs="Times New Roman" w:eastAsia="Times New Roman" w:hAnsi="Times New Roman"/>
          <w:sz w:val="22"/>
          <w:szCs w:val="22"/>
          <w:color w:val="auto"/>
        </w:rPr>
        <w:t xml:space="preserve">”) promulgated under such Plan and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the Confidentiality and Inventions Agreement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This Award is granted pursuant to the Plan and is subject to and qualified in its entirety by the Standard Terms and Conditions. Capitalized terms not otherwise defined herein shall have the meanings set forth in the Plan.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Participant:</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Grant Date: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 RSUs:</w:t>
      </w:r>
    </w:p>
    <w:p>
      <w:pPr>
        <w:spacing w:after="0" w:line="246" w:lineRule="exact"/>
        <w:rPr>
          <w:sz w:val="20"/>
          <w:szCs w:val="20"/>
          <w:color w:val="auto"/>
        </w:rPr>
      </w:pPr>
    </w:p>
    <w:p>
      <w:pPr>
        <w:jc w:val="both"/>
        <w:ind w:left="1740" w:right="600" w:hanging="2245"/>
        <w:spacing w:after="0" w:line="244" w:lineRule="auto"/>
        <w:tabs>
          <w:tab w:leader="none" w:pos="1720" w:val="left"/>
        </w:tabs>
        <w:rPr>
          <w:sz w:val="20"/>
          <w:szCs w:val="20"/>
          <w:color w:val="auto"/>
        </w:rPr>
      </w:pPr>
      <w:r>
        <w:rPr>
          <w:rFonts w:ascii="Times New Roman" w:cs="Times New Roman" w:eastAsia="Times New Roman" w:hAnsi="Times New Roman"/>
          <w:sz w:val="22"/>
          <w:szCs w:val="22"/>
          <w:color w:val="auto"/>
        </w:rPr>
        <w:t>Vesting Schedule:</w:t>
        <w:tab/>
        <w:t>Subject to the Plan and the Standard Terms and Conditions, the RSUs shall vest in accordance with the following schedule, so long as Participant remains continuously employed by the Company or its Subsidiaries from the Grant Date through such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1158875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sectPr>
      </w:pPr>
    </w:p>
    <w:bookmarkStart w:id="75" w:name="page76"/>
    <w:bookmarkEnd w:id="75"/>
    <w:p>
      <w:pPr>
        <w:spacing w:after="0" w:line="1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0"/>
          <w:szCs w:val="20"/>
          <w:color w:val="auto"/>
        </w:rPr>
        <w:t>IN ORDER TO RECEIVE THE BENEFITS OF THIS AGREEMENT, PARTICIPANT MUST EXECUTE AND RETURN THIS GRANT NOTICE (THE “</w:t>
      </w:r>
      <w:r>
        <w:rPr>
          <w:rFonts w:ascii="Times New Roman" w:cs="Times New Roman" w:eastAsia="Times New Roman" w:hAnsi="Times New Roman"/>
          <w:sz w:val="20"/>
          <w:szCs w:val="20"/>
          <w:b w:val="1"/>
          <w:bCs w:val="1"/>
          <w:i w:val="1"/>
          <w:iCs w:val="1"/>
          <w:color w:val="auto"/>
        </w:rPr>
        <w:t>ACCEPTANCE REQUIREMENTS</w:t>
      </w:r>
      <w:r>
        <w:rPr>
          <w:rFonts w:ascii="Times New Roman" w:cs="Times New Roman" w:eastAsia="Times New Roman" w:hAnsi="Times New Roman"/>
          <w:sz w:val="20"/>
          <w:szCs w:val="20"/>
          <w:color w:val="auto"/>
        </w:rPr>
        <w:t>”). IF PARTICIPANT FAILS TO SATISFY THE ACCEPTANCE REQUIREMENTS WITHIN 60 DAYS AFTER THE GRANT DATE, THEN (1) THIS GRANT NOTICE WILL BE OF NO FORCE OR EFFECT AND THIS AWARD WILL BE AUTOMATICALLY FORFEITED TO THE COMPANY WITHOUT CONSIDERATION, AND (2) NEITHER PARTICIPANT NOR THE COMPANY WILL HAVE ANY FUTURE RIGHTS OR OBLIGATIONS UNDER THIS GRANT NOTICE OR THE STANDARD TERMS AND CONDITIONS.</w:t>
      </w:r>
    </w:p>
    <w:p>
      <w:pPr>
        <w:spacing w:after="0" w:line="6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By accepting this Grant Notice, Participant acknowledges that Participant has received and read, and agrees that this Award shall be subject to, the terms of this Grant Notice, the Plan, and the Standard Terms and Conditions and the Confidentiality and Inventions Agreement.</w:t>
      </w:r>
    </w:p>
    <w:p>
      <w:pPr>
        <w:spacing w:after="0" w:line="200" w:lineRule="exact"/>
        <w:rPr>
          <w:sz w:val="20"/>
          <w:szCs w:val="20"/>
          <w:color w:val="auto"/>
        </w:rPr>
      </w:pPr>
    </w:p>
    <w:p>
      <w:pPr>
        <w:spacing w:after="0" w:line="23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auto"/>
        </w:rPr>
        <w:t>PETCO HEALTH AND WELLNESS COMPANY, INC.</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3293745</wp:posOffset>
            </wp:positionH>
            <wp:positionV relativeFrom="paragraph">
              <wp:posOffset>-13970</wp:posOffset>
            </wp:positionV>
            <wp:extent cx="172021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9">
                      <a:extLst>
                        <a:ext uri="{28A0092B-C50C-407E-A947-70E740481C1C}"/>
                      </a:extLst>
                    </a:blip>
                    <a:srcRect/>
                    <a:stretch>
                      <a:fillRect/>
                    </a:stretch>
                  </pic:blipFill>
                  <pic:spPr bwMode="auto">
                    <a:xfrm>
                      <a:off x="0" y="0"/>
                      <a:ext cx="1720215" cy="8255"/>
                    </a:xfrm>
                    <a:prstGeom prst="rect">
                      <a:avLst/>
                    </a:prstGeom>
                    <a:noFill/>
                  </pic:spPr>
                </pic:pic>
              </a:graphicData>
            </a:graphic>
          </wp:anchor>
        </w:drawing>
      </w:r>
    </w:p>
    <w:p>
      <w:pPr>
        <w:ind w:left="4880"/>
        <w:spacing w:after="0"/>
        <w:rPr>
          <w:sz w:val="20"/>
          <w:szCs w:val="20"/>
          <w:color w:val="auto"/>
        </w:rPr>
      </w:pPr>
      <w:r>
        <w:rPr>
          <w:rFonts w:ascii="Times New Roman" w:cs="Times New Roman" w:eastAsia="Times New Roman" w:hAnsi="Times New Roman"/>
          <w:sz w:val="22"/>
          <w:szCs w:val="22"/>
          <w:color w:val="auto"/>
        </w:rPr>
        <w:t>Name:</w:t>
      </w:r>
    </w:p>
    <w:p>
      <w:pPr>
        <w:ind w:left="4880"/>
        <w:spacing w:after="0"/>
        <w:rPr>
          <w:sz w:val="20"/>
          <w:szCs w:val="20"/>
          <w:color w:val="auto"/>
        </w:rPr>
      </w:pPr>
      <w:r>
        <w:rPr>
          <w:rFonts w:ascii="Times New Roman" w:cs="Times New Roman" w:eastAsia="Times New Roman" w:hAnsi="Times New Roman"/>
          <w:sz w:val="22"/>
          <w:szCs w:val="22"/>
          <w:color w:val="auto"/>
        </w:rPr>
        <w:t>Title:</w:t>
      </w: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604520</wp:posOffset>
            </wp:positionV>
            <wp:extent cx="191770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0">
                      <a:extLst>
                        <a:ext uri="{28A0092B-C50C-407E-A947-70E740481C1C}"/>
                      </a:extLst>
                    </a:blip>
                    <a:srcRect/>
                    <a:stretch>
                      <a:fillRect/>
                    </a:stretch>
                  </pic:blipFill>
                  <pic:spPr bwMode="auto">
                    <a:xfrm>
                      <a:off x="0" y="0"/>
                      <a:ext cx="19177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[Name]</w:t>
      </w:r>
    </w:p>
    <w:p>
      <w:pPr>
        <w:spacing w:after="0" w:line="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age to</w:t>
      </w:r>
    </w:p>
    <w:p>
      <w:pPr>
        <w:jc w:val="center"/>
        <w:spacing w:after="0" w:line="230" w:lineRule="auto"/>
        <w:rPr>
          <w:sz w:val="20"/>
          <w:szCs w:val="20"/>
          <w:color w:val="auto"/>
        </w:rPr>
      </w:pPr>
      <w:r>
        <w:rPr>
          <w:rFonts w:ascii="Times New Roman" w:cs="Times New Roman" w:eastAsia="Times New Roman" w:hAnsi="Times New Roman"/>
          <w:sz w:val="22"/>
          <w:szCs w:val="22"/>
          <w:color w:val="auto"/>
        </w:rPr>
        <w:t>G</w:t>
      </w:r>
      <w:r>
        <w:rPr>
          <w:rFonts w:ascii="Times New Roman" w:cs="Times New Roman" w:eastAsia="Times New Roman" w:hAnsi="Times New Roman"/>
          <w:sz w:val="14"/>
          <w:szCs w:val="14"/>
          <w:color w:val="auto"/>
        </w:rPr>
        <w:t>rant</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4"/>
          <w:szCs w:val="14"/>
          <w:color w:val="auto"/>
        </w:rPr>
        <w:t>otice for</w:t>
      </w:r>
    </w:p>
    <w:p>
      <w:pPr>
        <w:jc w:val="center"/>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estricted</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4"/>
          <w:szCs w:val="14"/>
          <w:color w:val="auto"/>
        </w:rPr>
        <w:t>tock</w:t>
      </w:r>
      <w:r>
        <w:rPr>
          <w:rFonts w:ascii="Times New Roman" w:cs="Times New Roman" w:eastAsia="Times New Roman" w:hAnsi="Times New Roman"/>
          <w:sz w:val="22"/>
          <w:szCs w:val="22"/>
          <w:color w:val="auto"/>
        </w:rPr>
        <w:t xml:space="preserve"> U</w:t>
      </w:r>
      <w:r>
        <w:rPr>
          <w:rFonts w:ascii="Times New Roman" w:cs="Times New Roman" w:eastAsia="Times New Roman" w:hAnsi="Times New Roman"/>
          <w:sz w:val="14"/>
          <w:szCs w:val="14"/>
          <w:color w:val="auto"/>
        </w:rPr>
        <w:t>nit</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462280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PETCO HEALTH AND WELLNESS COMPANY, INC.</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2021 EQUITY INCENTIVE PLAN</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STANDARD TERMS AND CONDITIONS FOR</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RESTRICTED STOCK UNITS</w:t>
      </w:r>
    </w:p>
    <w:p>
      <w:pPr>
        <w:spacing w:after="0" w:line="2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These Standard Terms and Conditions apply to the Award of Restricted Stock Units granted pursuant to the Petco Health and Wellness Company, Inc. 2021 Equity Incentive Plan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which are evidenced by a Grant Notice or an action of the Committee that specifically refers to these Standard Terms and Conditions. In addition to these Standard Terms and Conditions, the Restricted Stock Units shall be subject to the terms of the Plan, which are incorporated into these Standard Terms and Conditions by this reference. Capitalized terms not otherwise defined herein shall have the meaning set forth in the Plan.</w:t>
      </w:r>
    </w:p>
    <w:p>
      <w:pPr>
        <w:spacing w:after="0" w:line="151" w:lineRule="exact"/>
        <w:rPr>
          <w:sz w:val="20"/>
          <w:szCs w:val="20"/>
          <w:color w:val="auto"/>
        </w:rPr>
      </w:pPr>
    </w:p>
    <w:p>
      <w:pPr>
        <w:ind w:left="760" w:hanging="752"/>
        <w:spacing w:after="0"/>
        <w:tabs>
          <w:tab w:leader="none" w:pos="760" w:val="left"/>
        </w:tabs>
        <w:numPr>
          <w:ilvl w:val="0"/>
          <w:numId w:val="1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TERMS OF RESTRICTED STOCK UNITS</w:t>
      </w:r>
    </w:p>
    <w:p>
      <w:pPr>
        <w:spacing w:after="0" w:line="203"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20"/>
          <w:szCs w:val="20"/>
          <w:color w:val="auto"/>
        </w:rPr>
        <w:t>Petco Health and Wellness Company,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has granted to the Participant named in the Grant Notice provided to said Participant herewith (the “</w:t>
      </w:r>
      <w:r>
        <w:rPr>
          <w:rFonts w:ascii="Times New Roman" w:cs="Times New Roman" w:eastAsia="Times New Roman" w:hAnsi="Times New Roman"/>
          <w:sz w:val="20"/>
          <w:szCs w:val="20"/>
          <w:b w:val="1"/>
          <w:bCs w:val="1"/>
          <w:i w:val="1"/>
          <w:iCs w:val="1"/>
          <w:color w:val="auto"/>
        </w:rPr>
        <w:t>Grant Notice</w:t>
      </w:r>
      <w:r>
        <w:rPr>
          <w:rFonts w:ascii="Times New Roman" w:cs="Times New Roman" w:eastAsia="Times New Roman" w:hAnsi="Times New Roman"/>
          <w:sz w:val="20"/>
          <w:szCs w:val="20"/>
          <w:color w:val="auto"/>
        </w:rPr>
        <w:t>”) an award of Restricted Stock Units (the “</w:t>
      </w:r>
      <w:r>
        <w:rPr>
          <w:rFonts w:ascii="Times New Roman" w:cs="Times New Roman" w:eastAsia="Times New Roman" w:hAnsi="Times New Roman"/>
          <w:sz w:val="20"/>
          <w:szCs w:val="20"/>
          <w:b w:val="1"/>
          <w:bCs w:val="1"/>
          <w:i w:val="1"/>
          <w:iCs w:val="1"/>
          <w:color w:val="auto"/>
        </w:rPr>
        <w:t>Award</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i w:val="1"/>
          <w:iCs w:val="1"/>
          <w:color w:val="auto"/>
        </w:rPr>
        <w:t>RSUs</w:t>
      </w:r>
      <w:r>
        <w:rPr>
          <w:rFonts w:ascii="Times New Roman" w:cs="Times New Roman" w:eastAsia="Times New Roman" w:hAnsi="Times New Roman"/>
          <w:sz w:val="20"/>
          <w:szCs w:val="20"/>
          <w:color w:val="auto"/>
        </w:rPr>
        <w:t>”) specified in the Grant Notice, with each Restricted Stock Unit representing the right to receive one share of Common Stock. The Award is subject to the conditions set forth in the Grant Notice, these Standard Terms and Conditions and the Plan. For purposes of these Standard Terms and Conditions and the Grant Notice, any reference to the Company shall include a reference to any Subsidiary.</w:t>
      </w:r>
    </w:p>
    <w:p>
      <w:pPr>
        <w:spacing w:after="0" w:line="147" w:lineRule="exact"/>
        <w:rPr>
          <w:sz w:val="20"/>
          <w:szCs w:val="20"/>
          <w:color w:val="auto"/>
        </w:rPr>
      </w:pPr>
    </w:p>
    <w:p>
      <w:pPr>
        <w:ind w:left="760" w:hanging="752"/>
        <w:spacing w:after="0"/>
        <w:tabs>
          <w:tab w:leader="none" w:pos="760" w:val="left"/>
        </w:tabs>
        <w:numPr>
          <w:ilvl w:val="0"/>
          <w:numId w:val="1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VESTING AND SETTLEMENT OF RESTRICTED STOCK UNITS</w:t>
      </w:r>
    </w:p>
    <w:p>
      <w:pPr>
        <w:spacing w:after="0" w:line="209" w:lineRule="exact"/>
        <w:rPr>
          <w:sz w:val="20"/>
          <w:szCs w:val="20"/>
          <w:color w:val="auto"/>
        </w:rPr>
      </w:pPr>
    </w:p>
    <w:p>
      <w:pPr>
        <w:jc w:val="both"/>
        <w:ind w:right="80" w:firstLine="749"/>
        <w:spacing w:after="0" w:line="264" w:lineRule="auto"/>
        <w:rPr>
          <w:sz w:val="20"/>
          <w:szCs w:val="20"/>
          <w:color w:val="auto"/>
        </w:rPr>
      </w:pPr>
      <w:r>
        <w:rPr>
          <w:rFonts w:ascii="Times New Roman" w:cs="Times New Roman" w:eastAsia="Times New Roman" w:hAnsi="Times New Roman"/>
          <w:sz w:val="20"/>
          <w:szCs w:val="20"/>
          <w:color w:val="auto"/>
        </w:rPr>
        <w:t>(a)The Award shall not be vested as of the Grant Date set forth in the Grant Notice and shall be forfeitable unless and until otherwise vested pursuant to the terms of the Grant Notice and these Standard Terms and Conditions. After the Grant Date, subject to termination or acceleration as provided in these Standard Terms and Conditions and the Plan, the Award shall become vested as described in the Grant Notice with respect to that number of Restricted Stock Units as set forth in the Grant Notice. Restricted Stock Units that have vested and are no longer subject to forfeiture are referred to herein as “</w:t>
      </w:r>
      <w:r>
        <w:rPr>
          <w:rFonts w:ascii="Times New Roman" w:cs="Times New Roman" w:eastAsia="Times New Roman" w:hAnsi="Times New Roman"/>
          <w:sz w:val="20"/>
          <w:szCs w:val="20"/>
          <w:b w:val="1"/>
          <w:bCs w:val="1"/>
          <w:i w:val="1"/>
          <w:iCs w:val="1"/>
          <w:color w:val="auto"/>
        </w:rPr>
        <w:t>Vested RSUs</w:t>
      </w:r>
      <w:r>
        <w:rPr>
          <w:rFonts w:ascii="Times New Roman" w:cs="Times New Roman" w:eastAsia="Times New Roman" w:hAnsi="Times New Roman"/>
          <w:sz w:val="20"/>
          <w:szCs w:val="20"/>
          <w:color w:val="auto"/>
        </w:rPr>
        <w:t>.” Restricted Stock Units awarded hereunder that are not vested and remain subject to forfeiture are referred to herein as “</w:t>
      </w:r>
      <w:r>
        <w:rPr>
          <w:rFonts w:ascii="Times New Roman" w:cs="Times New Roman" w:eastAsia="Times New Roman" w:hAnsi="Times New Roman"/>
          <w:sz w:val="20"/>
          <w:szCs w:val="20"/>
          <w:b w:val="1"/>
          <w:bCs w:val="1"/>
          <w:i w:val="1"/>
          <w:iCs w:val="1"/>
          <w:color w:val="auto"/>
        </w:rPr>
        <w:t>Unvested RSUs</w:t>
      </w:r>
      <w:r>
        <w:rPr>
          <w:rFonts w:ascii="Times New Roman" w:cs="Times New Roman" w:eastAsia="Times New Roman" w:hAnsi="Times New Roman"/>
          <w:sz w:val="20"/>
          <w:szCs w:val="20"/>
          <w:color w:val="auto"/>
        </w:rPr>
        <w:t>.”</w:t>
      </w:r>
    </w:p>
    <w:p>
      <w:pPr>
        <w:spacing w:after="0" w:line="154" w:lineRule="exact"/>
        <w:rPr>
          <w:sz w:val="20"/>
          <w:szCs w:val="20"/>
          <w:color w:val="auto"/>
        </w:rPr>
      </w:pPr>
    </w:p>
    <w:p>
      <w:pPr>
        <w:jc w:val="both"/>
        <w:ind w:right="80" w:firstLine="749"/>
        <w:spacing w:after="0" w:line="244" w:lineRule="auto"/>
        <w:rPr>
          <w:sz w:val="20"/>
          <w:szCs w:val="20"/>
          <w:color w:val="auto"/>
        </w:rPr>
      </w:pPr>
      <w:r>
        <w:rPr>
          <w:rFonts w:ascii="Times New Roman" w:cs="Times New Roman" w:eastAsia="Times New Roman" w:hAnsi="Times New Roman"/>
          <w:sz w:val="22"/>
          <w:szCs w:val="22"/>
          <w:color w:val="auto"/>
        </w:rPr>
        <w:t xml:space="preserve">(b)As soon as administratively practicable following the vesting of the RSUs pursuant to the Grant Notice and this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but in no event later than 30 days after each vesting date, the Company shall deliver to the Participant a number of shares of Common Stock equal to the number of RSUs that vested on such date.</w:t>
      </w:r>
    </w:p>
    <w:p>
      <w:pPr>
        <w:spacing w:after="0" w:line="172" w:lineRule="exact"/>
        <w:rPr>
          <w:sz w:val="20"/>
          <w:szCs w:val="20"/>
          <w:color w:val="auto"/>
        </w:rPr>
      </w:pPr>
    </w:p>
    <w:p>
      <w:pPr>
        <w:jc w:val="both"/>
        <w:ind w:right="80" w:firstLine="749"/>
        <w:spacing w:after="0" w:line="244" w:lineRule="auto"/>
        <w:rPr>
          <w:sz w:val="20"/>
          <w:szCs w:val="20"/>
          <w:color w:val="auto"/>
        </w:rPr>
      </w:pPr>
      <w:r>
        <w:rPr>
          <w:rFonts w:ascii="Times New Roman" w:cs="Times New Roman" w:eastAsia="Times New Roman" w:hAnsi="Times New Roman"/>
          <w:sz w:val="22"/>
          <w:szCs w:val="22"/>
          <w:color w:val="auto"/>
        </w:rPr>
        <w:t>(c)If the Participant’s Termination of Employment is as a result of the Participant’s death or Disability, subject to the Participant’s (or the Participant’s personal representative’s) execution and nonrevocation of a general release of claims in a form provided by the Company, all then Unvested RSUs shall become Vested RSUs.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A</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tandard</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erms and</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onditions for</w:t>
      </w:r>
    </w:p>
    <w:p>
      <w:pPr>
        <w:jc w:val="center"/>
        <w:ind w:right="-19"/>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estricted</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4"/>
          <w:szCs w:val="14"/>
          <w:color w:val="auto"/>
        </w:rPr>
        <w:t>tock</w:t>
      </w:r>
      <w:r>
        <w:rPr>
          <w:rFonts w:ascii="Times New Roman" w:cs="Times New Roman" w:eastAsia="Times New Roman" w:hAnsi="Times New Roman"/>
          <w:sz w:val="22"/>
          <w:szCs w:val="22"/>
          <w:color w:val="auto"/>
        </w:rPr>
        <w:t xml:space="preserve"> U</w:t>
      </w:r>
      <w:r>
        <w:rPr>
          <w:rFonts w:ascii="Times New Roman" w:cs="Times New Roman" w:eastAsia="Times New Roman" w:hAnsi="Times New Roman"/>
          <w:sz w:val="14"/>
          <w:szCs w:val="14"/>
          <w:color w:val="auto"/>
        </w:rPr>
        <w:t>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462280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77" w:name="page78"/>
    <w:bookmarkEnd w:id="77"/>
    <w:p>
      <w:pPr>
        <w:spacing w:after="0" w:line="183" w:lineRule="exact"/>
        <w:rPr>
          <w:sz w:val="20"/>
          <w:szCs w:val="20"/>
          <w:color w:val="auto"/>
        </w:rPr>
      </w:pPr>
    </w:p>
    <w:p>
      <w:pPr>
        <w:jc w:val="both"/>
        <w:ind w:right="80" w:firstLine="749"/>
        <w:spacing w:after="0" w:line="234" w:lineRule="auto"/>
        <w:rPr>
          <w:sz w:val="20"/>
          <w:szCs w:val="20"/>
          <w:color w:val="auto"/>
        </w:rPr>
      </w:pPr>
      <w:r>
        <w:rPr>
          <w:rFonts w:ascii="Times New Roman" w:cs="Times New Roman" w:eastAsia="Times New Roman" w:hAnsi="Times New Roman"/>
          <w:sz w:val="22"/>
          <w:szCs w:val="22"/>
          <w:color w:val="auto"/>
        </w:rPr>
        <w:t>(d)If the Participant’s Termination of Employment is as a result of the Participant’s Retirement (as defined below), subject to the Participant’s execution and nonrevocation of a general release of claims in a form provided by the Company, (i) if the Termination Date is prior to the first anniversary of the Grant Date, (A) a pro-rated portion of the Unvested RSUs shall become Vested RSUs calculated by multiplying (I) the number of Unvested RSUs by (II) a fraction, the numerator of which is the number of days between the Grant Date and the Termination Date and the denominator of which is the number of days between the Grant Date and the first anniversary of the Grant Date and (B) any then Unvested RSUs, after giving effect to the foregoing clause (A) shall be forfeited and canceled as of the Termination Date, and (ii) if the Termination Date is on or following the first anniversary of the Grant Date, any then Unvested RSUs shall become Vested RSUs.</w:t>
      </w:r>
    </w:p>
    <w:p>
      <w:pPr>
        <w:spacing w:after="0" w:line="184" w:lineRule="exact"/>
        <w:rPr>
          <w:sz w:val="20"/>
          <w:szCs w:val="20"/>
          <w:color w:val="auto"/>
        </w:rPr>
      </w:pPr>
    </w:p>
    <w:p>
      <w:pPr>
        <w:jc w:val="both"/>
        <w:ind w:right="80" w:firstLine="749"/>
        <w:spacing w:after="0" w:line="244" w:lineRule="auto"/>
        <w:rPr>
          <w:sz w:val="20"/>
          <w:szCs w:val="20"/>
          <w:color w:val="auto"/>
        </w:rPr>
      </w:pPr>
      <w:r>
        <w:rPr>
          <w:rFonts w:ascii="Times New Roman" w:cs="Times New Roman" w:eastAsia="Times New Roman" w:hAnsi="Times New Roman"/>
          <w:sz w:val="22"/>
          <w:szCs w:val="22"/>
          <w:color w:val="auto"/>
        </w:rPr>
        <w:t>(e)If the Participant’s Termination of Employment is as a result of an Involuntary Termination (as defined below) on or within 24-months following a Change in Control, subject to the Participant’s execution and nonrevocation of a general release of claims in a form provided by the Company, any then Unvested RSUs shall become Vested RSUs.</w:t>
      </w:r>
    </w:p>
    <w:p>
      <w:pPr>
        <w:spacing w:after="0" w:line="172" w:lineRule="exact"/>
        <w:rPr>
          <w:sz w:val="20"/>
          <w:szCs w:val="20"/>
          <w:color w:val="auto"/>
        </w:rPr>
      </w:pPr>
    </w:p>
    <w:p>
      <w:pPr>
        <w:ind w:right="80" w:firstLine="756"/>
        <w:spacing w:after="0" w:line="258" w:lineRule="auto"/>
        <w:tabs>
          <w:tab w:leader="none" w:pos="1016"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Participant’s Termination of Employment for any other reason not set forth in </w:t>
      </w:r>
      <w:r>
        <w:rPr>
          <w:rFonts w:ascii="Times New Roman" w:cs="Times New Roman" w:eastAsia="Times New Roman" w:hAnsi="Times New Roman"/>
          <w:sz w:val="22"/>
          <w:szCs w:val="22"/>
          <w:u w:val="single" w:color="auto"/>
          <w:color w:val="auto"/>
        </w:rPr>
        <w:t>Section 2(c)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2(d)</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2(e)</w:t>
      </w:r>
      <w:r>
        <w:rPr>
          <w:rFonts w:ascii="Times New Roman" w:cs="Times New Roman" w:eastAsia="Times New Roman" w:hAnsi="Times New Roman"/>
          <w:sz w:val="22"/>
          <w:szCs w:val="22"/>
          <w:color w:val="auto"/>
        </w:rPr>
        <w:t xml:space="preserve"> any then Unvested RSUs held by the Participant shall be forfeited and canceled as of the Termination Date.</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(g)As used in this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w:t>
      </w:r>
    </w:p>
    <w:p>
      <w:pPr>
        <w:spacing w:after="0" w:line="199" w:lineRule="exact"/>
        <w:rPr>
          <w:sz w:val="20"/>
          <w:szCs w:val="20"/>
          <w:color w:val="auto"/>
        </w:rPr>
      </w:pPr>
    </w:p>
    <w:p>
      <w:pPr>
        <w:jc w:val="both"/>
        <w:ind w:firstLine="1505"/>
        <w:spacing w:after="0" w:line="234" w:lineRule="auto"/>
        <w:tabs>
          <w:tab w:leader="none" w:pos="2037"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Good Reason</w:t>
      </w:r>
      <w:r>
        <w:rPr>
          <w:rFonts w:ascii="Times New Roman" w:cs="Times New Roman" w:eastAsia="Times New Roman" w:hAnsi="Times New Roman"/>
          <w:sz w:val="22"/>
          <w:szCs w:val="22"/>
          <w:color w:val="auto"/>
        </w:rPr>
        <w:t>” has the meaning set forth in the written employment, offer, services or severance agreement or letter between the Participant and the Company or an Affiliate, or if there is no such agreement or no such term is defined in such agreement, means, without the Participant’s consent: (A) a material diminution in the Participant’s authority, duties or responsibilities with the Company or an Affiliate; (B) a material diminution in the Participant’s base salary; (C) a relocation of the Participant’s principal place of employment by more than 50 miles; or (D) a material breach by the Company of any of its obligations under these Standard Terms and Conditions. Notwithstanding the foregoing, any assertion by the Participant of a termination for Good Reason shall not be effective unless (1) the Participant provides written notice to the Company of the existence of one or more of the foregoing conditions within 30 days after the initial occurrence of such condition(s); (2) the condition(s) specified in such notice must remain uncorrected for 30 days following the Company’s receipt of such written notice; and (3) the date of the termination of the Participant’s employment must occur within 90 days after the initial occurrence of the condition(s) specified in such notice.</w:t>
      </w:r>
    </w:p>
    <w:p>
      <w:pPr>
        <w:spacing w:after="0" w:line="172" w:lineRule="exact"/>
        <w:rPr>
          <w:rFonts w:ascii="Times New Roman" w:cs="Times New Roman" w:eastAsia="Times New Roman" w:hAnsi="Times New Roman"/>
          <w:sz w:val="22"/>
          <w:szCs w:val="22"/>
          <w:color w:val="auto"/>
        </w:rPr>
      </w:pPr>
    </w:p>
    <w:p>
      <w:pPr>
        <w:ind w:firstLine="1505"/>
        <w:spacing w:after="0" w:line="263" w:lineRule="auto"/>
        <w:tabs>
          <w:tab w:leader="none" w:pos="2037"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Involuntary Termination</w:t>
      </w:r>
      <w:r>
        <w:rPr>
          <w:rFonts w:ascii="Times New Roman" w:cs="Times New Roman" w:eastAsia="Times New Roman" w:hAnsi="Times New Roman"/>
          <w:sz w:val="22"/>
          <w:szCs w:val="22"/>
          <w:color w:val="auto"/>
        </w:rPr>
        <w:t>” means a Termination of Employment by the Company without Cause (and not as a result of death or Disability) or by the Participant for Good Reason.</w:t>
      </w:r>
    </w:p>
    <w:p>
      <w:pPr>
        <w:spacing w:after="0" w:line="146" w:lineRule="exact"/>
        <w:rPr>
          <w:rFonts w:ascii="Times New Roman" w:cs="Times New Roman" w:eastAsia="Times New Roman" w:hAnsi="Times New Roman"/>
          <w:sz w:val="22"/>
          <w:szCs w:val="22"/>
          <w:color w:val="auto"/>
        </w:rPr>
      </w:pPr>
    </w:p>
    <w:p>
      <w:pPr>
        <w:ind w:firstLine="1505"/>
        <w:spacing w:after="0" w:line="263" w:lineRule="auto"/>
        <w:tabs>
          <w:tab w:leader="none" w:pos="2037"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Retirement</w:t>
      </w:r>
      <w:r>
        <w:rPr>
          <w:rFonts w:ascii="Times New Roman" w:cs="Times New Roman" w:eastAsia="Times New Roman" w:hAnsi="Times New Roman"/>
          <w:sz w:val="22"/>
          <w:szCs w:val="22"/>
          <w:color w:val="auto"/>
        </w:rPr>
        <w:t>” means a Termination of Employment by the Participant upon achieving (A) 55 or more years of age and (B) 10 or more consecutive years of service with the Company and its Affiliates.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177" w:lineRule="exact"/>
        <w:rPr>
          <w:sz w:val="20"/>
          <w:szCs w:val="20"/>
          <w:color w:val="auto"/>
        </w:rPr>
      </w:pPr>
    </w:p>
    <w:p>
      <w:pPr>
        <w:ind w:left="2040" w:hanging="535"/>
        <w:spacing w:after="0"/>
        <w:tabs>
          <w:tab w:leader="none" w:pos="2040"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Termination Date</w:t>
      </w:r>
      <w:r>
        <w:rPr>
          <w:rFonts w:ascii="Times New Roman" w:cs="Times New Roman" w:eastAsia="Times New Roman" w:hAnsi="Times New Roman"/>
          <w:sz w:val="22"/>
          <w:szCs w:val="22"/>
          <w:color w:val="auto"/>
        </w:rPr>
        <w:t>” means the date of the Participant’s Termination of Employment.</w:t>
      </w:r>
    </w:p>
    <w:p>
      <w:pPr>
        <w:spacing w:after="0" w:line="207" w:lineRule="exact"/>
        <w:rPr>
          <w:rFonts w:ascii="Times New Roman" w:cs="Times New Roman" w:eastAsia="Times New Roman" w:hAnsi="Times New Roman"/>
          <w:sz w:val="22"/>
          <w:szCs w:val="22"/>
          <w:color w:val="auto"/>
        </w:rPr>
      </w:pPr>
    </w:p>
    <w:p>
      <w:pPr>
        <w:ind w:left="760" w:hanging="752"/>
        <w:spacing w:after="0"/>
        <w:tabs>
          <w:tab w:leader="none" w:pos="760" w:val="left"/>
        </w:tabs>
        <w:numPr>
          <w:ilvl w:val="0"/>
          <w:numId w:val="1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RIGHTS AS STOCKHOLDER; DIVIDEND EQUIVALENTS</w:t>
      </w:r>
    </w:p>
    <w:p>
      <w:pPr>
        <w:spacing w:after="0" w:line="209" w:lineRule="exact"/>
        <w:rPr>
          <w:rFonts w:ascii="Times New Roman" w:cs="Times New Roman" w:eastAsia="Times New Roman" w:hAnsi="Times New Roman"/>
          <w:sz w:val="22"/>
          <w:szCs w:val="22"/>
          <w:b w:val="1"/>
          <w:bCs w:val="1"/>
          <w:color w:val="auto"/>
        </w:rPr>
      </w:pPr>
    </w:p>
    <w:p>
      <w:pPr>
        <w:ind w:left="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(h)Participant shall not be, nor have any of the rights or privileges of, a stockholder of the Company in respect of any</w:t>
      </w:r>
    </w:p>
    <w:p>
      <w:pPr>
        <w:spacing w:after="0" w:line="1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color w:val="auto"/>
        </w:rPr>
        <w:t>RSUs unless and until shares of Common Stock settled for such RSUs shall have been issued by the Company to Participant (as evidenced by the appropriate entry on the books of the Company or of a duly authorized transfer agent of the Company).</w:t>
      </w:r>
    </w:p>
    <w:p>
      <w:pPr>
        <w:spacing w:after="0" w:line="178" w:lineRule="exact"/>
        <w:rPr>
          <w:sz w:val="20"/>
          <w:szCs w:val="20"/>
          <w:color w:val="auto"/>
        </w:rPr>
      </w:pPr>
    </w:p>
    <w:p>
      <w:pPr>
        <w:jc w:val="both"/>
        <w:ind w:firstLine="756"/>
        <w:spacing w:after="0" w:line="234" w:lineRule="auto"/>
        <w:tabs>
          <w:tab w:leader="none" w:pos="1016"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from and after the Grant Date and until the earlier of (i) the Participant’s receipt of Common Stock upon payment of RSUs and (ii) the time when the Participant’s right to receive Common Stock upon payment of RSUs is forfeited, on the date that the Company pays a cash dividend (if any) to holders of Common Stock generally, the Participant shall be entitled, as a Dividend Equivalent, to a number of additional whole RSUs determined by dividing (i) the product of (A) the dollar amount of the cash dividend paid per share of Common Stock on such date and (B) the total number of RSUs (including dividend equivalents paid thereon) previously credited to the Participant as of such date, by (ii) the Fair Market Value per share of Common Stock on such date. Such Dividend Equivalents (if any) shall be subject to the same terms and conditions and shall be settled or forfeited in the same manner and at the same time as the RSUs to which the Dividend Equivalents were credited.</w:t>
      </w:r>
    </w:p>
    <w:p>
      <w:pPr>
        <w:spacing w:after="0" w:line="176" w:lineRule="exact"/>
        <w:rPr>
          <w:rFonts w:ascii="Times New Roman" w:cs="Times New Roman" w:eastAsia="Times New Roman" w:hAnsi="Times New Roman"/>
          <w:sz w:val="22"/>
          <w:szCs w:val="22"/>
          <w:color w:val="auto"/>
        </w:rPr>
      </w:pPr>
    </w:p>
    <w:p>
      <w:pPr>
        <w:ind w:left="760" w:hanging="752"/>
        <w:spacing w:after="0"/>
        <w:tabs>
          <w:tab w:leader="none" w:pos="760" w:val="left"/>
        </w:tabs>
        <w:numPr>
          <w:ilvl w:val="0"/>
          <w:numId w:val="1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RESTRICTIONS ON RESALES OF SHARES</w:t>
      </w:r>
    </w:p>
    <w:p>
      <w:pPr>
        <w:spacing w:after="0" w:line="20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The Company may impose such restrictions, conditions or limitations as it determines appropriate as to the timing and manner of any resales by the Participant or other subsequent transfers by the Participant of any shares of Common Stock issued pursuant to Vested RSUs, including (a) restrictions under an insider trading policy, (b) restrictions designed to delay and/or coordinate the timing and manner of sales by Participant and other holders and (c) restrictions as to the use of a specified brokerage firm for such resales or other transfers.</w:t>
      </w:r>
    </w:p>
    <w:p>
      <w:pPr>
        <w:spacing w:after="0" w:line="176" w:lineRule="exact"/>
        <w:rPr>
          <w:sz w:val="20"/>
          <w:szCs w:val="20"/>
          <w:color w:val="auto"/>
        </w:rPr>
      </w:pPr>
    </w:p>
    <w:p>
      <w:pPr>
        <w:ind w:left="760" w:hanging="752"/>
        <w:spacing w:after="0"/>
        <w:tabs>
          <w:tab w:leader="none" w:pos="760" w:val="left"/>
        </w:tabs>
        <w:numPr>
          <w:ilvl w:val="0"/>
          <w:numId w:val="1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INCOME TAXES</w:t>
      </w:r>
    </w:p>
    <w:p>
      <w:pPr>
        <w:spacing w:after="0" w:line="20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To the extent required by applicable federal, state, local or foreign law, the Participant shall make arrangements satisfactory to the Company for the satisfaction of any withholding tax obligations that arise by reason of the grant or vesting of the RSUs. The Company shall not be required to issue shares or to recognize the disposition of such shares until such obligations are satisfied.</w:t>
      </w:r>
    </w:p>
    <w:p>
      <w:pPr>
        <w:spacing w:after="0" w:line="135" w:lineRule="exact"/>
        <w:rPr>
          <w:sz w:val="20"/>
          <w:szCs w:val="20"/>
          <w:color w:val="auto"/>
        </w:rPr>
      </w:pPr>
    </w:p>
    <w:p>
      <w:pPr>
        <w:ind w:left="760" w:hanging="752"/>
        <w:spacing w:after="0"/>
        <w:tabs>
          <w:tab w:leader="none" w:pos="760" w:val="left"/>
        </w:tabs>
        <w:numPr>
          <w:ilvl w:val="0"/>
          <w:numId w:val="1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NONTRANSFERABILITY­ OF AWARD</w:t>
      </w:r>
    </w:p>
    <w:p>
      <w:pPr>
        <w:spacing w:after="0" w:line="20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Participant understands, acknowledges and agrees that, except as otherwise provided in the Plan or as permitted by the Committee, the Award may not be sold, assigned, transferred, pledged or otherwise directly or indirectly encumbered or disposed of other than by will or the laws of descent and distribution. Notwithstanding the foregoing, (a) the Participant shall be permitted to transfer the Award as a gift to an Assignee Entity in accordance with and subject to the limits of Section 17 of the Plan and (b) if not previously so transferred, any shares of Common Stock that become issuable hereunder but which otherwise remain unissued at the time of the Participant’s death shall be transferred to the Participant’s designated beneficiary or, if none, to the</w:t>
      </w:r>
    </w:p>
    <w:p>
      <w:pPr>
        <w:spacing w:after="0" w:line="200" w:lineRule="exact"/>
        <w:rPr>
          <w:sz w:val="20"/>
          <w:szCs w:val="20"/>
          <w:color w:val="auto"/>
        </w:rPr>
      </w:pPr>
    </w:p>
    <w:p>
      <w:pPr>
        <w:spacing w:after="0" w:line="38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79" w:name="page80"/>
    <w:bookmarkEnd w:id="79"/>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Participant’s estate.</w:t>
      </w:r>
    </w:p>
    <w:p>
      <w:pPr>
        <w:spacing w:after="0" w:line="201" w:lineRule="exact"/>
        <w:rPr>
          <w:sz w:val="20"/>
          <w:szCs w:val="20"/>
          <w:color w:val="auto"/>
        </w:rPr>
      </w:pPr>
    </w:p>
    <w:p>
      <w:pPr>
        <w:ind w:left="760" w:hanging="752"/>
        <w:spacing w:after="0"/>
        <w:tabs>
          <w:tab w:leader="none" w:pos="760" w:val="left"/>
        </w:tabs>
        <w:numPr>
          <w:ilvl w:val="0"/>
          <w:numId w:val="1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OTHER AGREEMENTS SUPERSEDED</w:t>
      </w:r>
    </w:p>
    <w:p>
      <w:pPr>
        <w:spacing w:after="0" w:line="20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The Grant Notice, these Standard Terms and Conditions, the Confidentiality and Inventions Agreement and the Plan constitute the entire understanding between the Participant and the Company regarding the Award. Any prior agreements, commitments or negotiations concerning the Award are superseded; provided, however, that the terms of the Confidentiality and Inventions Agreement are in addition to and complement (and do not replace or supersede) all other agreements and obligations between the Company and any of its affiliates and the Participant with respect to confidentiality and intellectual property.</w:t>
      </w:r>
    </w:p>
    <w:p>
      <w:pPr>
        <w:spacing w:after="0" w:line="176" w:lineRule="exact"/>
        <w:rPr>
          <w:sz w:val="20"/>
          <w:szCs w:val="20"/>
          <w:color w:val="auto"/>
        </w:rPr>
      </w:pPr>
    </w:p>
    <w:p>
      <w:pPr>
        <w:ind w:left="760" w:hanging="752"/>
        <w:spacing w:after="0"/>
        <w:tabs>
          <w:tab w:leader="none" w:pos="760" w:val="left"/>
        </w:tabs>
        <w:numPr>
          <w:ilvl w:val="0"/>
          <w:numId w:val="1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LIMITATION OF INTEREST IN SHARES SUBJECT TO RESTRICTED STOCK UNITS</w:t>
      </w:r>
    </w:p>
    <w:p>
      <w:pPr>
        <w:spacing w:after="0" w:line="20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Neither the Participant (individually or as a member of a group) nor any beneficiary or other person claiming under or through the Participant shall have any right, title, interest, or privilege in or to any shares of Common Stock allocated or reserved for the purpose of the Plan or subject to the Grant Notice or these Standard Terms and Conditions except as to such shares of Common Stock, if any, as shall have been issued to such person in connection with the Award. Nothing in the Plan, in the Grant Notice, these Standard Terms and Conditions or any other instrument executed pursuant to the Plan shall confer upon the Participant any right to continue in the Company’s employ or service nor limit in any way the Company’s right to terminate the Participant’s employment at any time for any reason.</w:t>
      </w:r>
    </w:p>
    <w:p>
      <w:pPr>
        <w:spacing w:after="0" w:line="177" w:lineRule="exact"/>
        <w:rPr>
          <w:sz w:val="20"/>
          <w:szCs w:val="20"/>
          <w:color w:val="auto"/>
        </w:rPr>
      </w:pPr>
    </w:p>
    <w:p>
      <w:pPr>
        <w:ind w:left="760" w:hanging="752"/>
        <w:spacing w:after="0"/>
        <w:tabs>
          <w:tab w:leader="none" w:pos="760" w:val="left"/>
        </w:tabs>
        <w:numPr>
          <w:ilvl w:val="0"/>
          <w:numId w:val="1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w:t>
      </w:r>
    </w:p>
    <w:p>
      <w:pPr>
        <w:spacing w:after="0" w:line="209" w:lineRule="exact"/>
        <w:rPr>
          <w:rFonts w:ascii="Times New Roman" w:cs="Times New Roman" w:eastAsia="Times New Roman" w:hAnsi="Times New Roman"/>
          <w:sz w:val="22"/>
          <w:szCs w:val="22"/>
          <w:b w:val="1"/>
          <w:bCs w:val="1"/>
          <w:color w:val="auto"/>
        </w:rPr>
      </w:pPr>
    </w:p>
    <w:p>
      <w:pPr>
        <w:jc w:val="both"/>
        <w:ind w:firstLine="756"/>
        <w:spacing w:after="0" w:line="271" w:lineRule="auto"/>
        <w:tabs>
          <w:tab w:leader="none" w:pos="1016" w:val="left"/>
        </w:tabs>
        <w:numPr>
          <w:ilvl w:val="1"/>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any provision of these Standard Terms and Conditions is declared to be illegal, invalid or otherwise unenforceable by a court of competent jurisdiction, such provision shall be reformed, if possible, to the extent necessary to render it legal, valid and enforceable, or otherwise deleted, and the remainder of these Standard Terms and Conditions shall not be affected except to the extent necessary to reform or delete such illegal, invalid or unenforceable provision.</w:t>
      </w:r>
    </w:p>
    <w:p>
      <w:pPr>
        <w:spacing w:after="0" w:line="148"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(k)The headings preceding the text of the sections hereof are inserted solely for convenience of reference, and shall not constitute a part of these Standard Terms and Conditions, nor shall they affect its meaning, construction or effect. Words in the masculine gender shall include the feminine gender, and where appropriate, the plural shall include the singular and the singular shall include the plural.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References herein to any agreement, instrument or other document means such agreement, instrument or other document as amended, supplemented and modified from time to time to the extent permitted by the provisions thereof and not prohibited by the Plan</w:t>
      </w:r>
    </w:p>
    <w:p>
      <w:pPr>
        <w:spacing w:after="0" w:line="200" w:lineRule="exact"/>
        <w:rPr>
          <w:sz w:val="20"/>
          <w:szCs w:val="20"/>
          <w:color w:val="auto"/>
        </w:rPr>
      </w:pPr>
    </w:p>
    <w:p>
      <w:pPr>
        <w:spacing w:after="0" w:line="38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80" w:name="page81"/>
    <w:bookmarkEnd w:id="80"/>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 these Standard Terms and Conditions.</w:t>
      </w:r>
    </w:p>
    <w:p>
      <w:pPr>
        <w:spacing w:after="0" w:line="205" w:lineRule="exact"/>
        <w:rPr>
          <w:sz w:val="20"/>
          <w:szCs w:val="20"/>
          <w:color w:val="auto"/>
        </w:rPr>
      </w:pPr>
    </w:p>
    <w:p>
      <w:pPr>
        <w:ind w:firstLine="756"/>
        <w:spacing w:after="0" w:line="258" w:lineRule="auto"/>
        <w:tabs>
          <w:tab w:leader="none" w:pos="1016"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These Standard Terms and Conditions shall inure to the benefit of and be binding upon the parties hereto and their respective permitted heirs, beneficiaries, successors and assigns.</w:t>
      </w:r>
    </w:p>
    <w:p>
      <w:pPr>
        <w:spacing w:after="0" w:line="15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(m)These Standard Terms and Conditions shall be construed in accordance with and governed by the laws of the State of Delaware, without regard to principles of conflicts of law.</w:t>
      </w:r>
    </w:p>
    <w:p>
      <w:pPr>
        <w:spacing w:after="0" w:line="15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(n)In the event of any conflict between the Grant Notice, these Standard Terms and Conditions and the Plan, the Grant Notice and these Standard Terms and Conditions shall control. In the event of any conflict between the Grant Notice and these Standard Terms and Conditions, the Grant Notice shall control.</w:t>
      </w:r>
    </w:p>
    <w:p>
      <w:pPr>
        <w:spacing w:after="0" w:line="17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(o)All questions arising under the Plan or under these Standard Terms and Conditions shall be decided by the Committee in its total and absolute discretion.</w:t>
      </w:r>
    </w:p>
    <w:p>
      <w:pPr>
        <w:spacing w:after="0" w:line="153" w:lineRule="exact"/>
        <w:rPr>
          <w:sz w:val="20"/>
          <w:szCs w:val="20"/>
          <w:color w:val="auto"/>
        </w:rPr>
      </w:pPr>
    </w:p>
    <w:p>
      <w:pPr>
        <w:ind w:left="760" w:hanging="752"/>
        <w:spacing w:after="0"/>
        <w:tabs>
          <w:tab w:leader="none" w:pos="760" w:val="left"/>
        </w:tabs>
        <w:numPr>
          <w:ilvl w:val="0"/>
          <w:numId w:val="1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CLAWBACK</w:t>
      </w:r>
    </w:p>
    <w:p>
      <w:pPr>
        <w:spacing w:after="0" w:line="20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The RSUs and any shares of Common Stock received upon settlement of the RSUs will be subject to recoupment in accordance with any clawback policy adopted by the Company. No recovery of compensation under such a clawback policy will be an event giving rise to a right to resign for “good reason” or “constructive termination” (or similar term) under any agreement with the Company. By accepting the RSUs, the Participant is agreeing to be bound by any such clawback policy, as in effect or as may be adopted and/or modified from time to time by the Company in its discretion.</w:t>
      </w:r>
    </w:p>
    <w:p>
      <w:pPr>
        <w:spacing w:after="0" w:line="176" w:lineRule="exact"/>
        <w:rPr>
          <w:sz w:val="20"/>
          <w:szCs w:val="20"/>
          <w:color w:val="auto"/>
        </w:rPr>
      </w:pPr>
    </w:p>
    <w:p>
      <w:pPr>
        <w:ind w:left="760" w:hanging="752"/>
        <w:spacing w:after="0"/>
        <w:tabs>
          <w:tab w:leader="none" w:pos="760" w:val="left"/>
        </w:tabs>
        <w:numPr>
          <w:ilvl w:val="0"/>
          <w:numId w:val="1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ELECTRONIC DELIVERY</w:t>
      </w:r>
    </w:p>
    <w:p>
      <w:pPr>
        <w:spacing w:after="0" w:line="20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By executing the Grant Notice, the Participant hereby consents to the delivery of information (including, without limitation, information required to be delivered to the Participant pursuant to applicable securities laws) regarding the Company and the Subsidiaries, the Plan, and the Restricted Stock Units via Company web site or other electronic delivery.</w:t>
      </w:r>
    </w:p>
    <w:p>
      <w:pPr>
        <w:spacing w:after="0" w:line="200" w:lineRule="exact"/>
        <w:rPr>
          <w:sz w:val="20"/>
          <w:szCs w:val="20"/>
          <w:color w:val="auto"/>
        </w:rPr>
      </w:pPr>
    </w:p>
    <w:p>
      <w:pPr>
        <w:spacing w:after="0" w:line="3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CONFIDENTIALITY AND INVENTIONS AGREEMENT</w:t>
      </w:r>
    </w:p>
    <w:p>
      <w:pPr>
        <w:spacing w:after="0" w:line="20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As a condition to the receipt of the Award granted pursuant to the Grant Notice to which this Confidentiality and Inventions Agreement is attached and in consideration of the Participant’s continued employment with the Company, the Participant hereby confirms the Participant’s agreement as follows:</w:t>
      </w:r>
    </w:p>
    <w:p>
      <w:pPr>
        <w:spacing w:after="0" w:line="168" w:lineRule="exact"/>
        <w:rPr>
          <w:sz w:val="20"/>
          <w:szCs w:val="20"/>
          <w:color w:val="auto"/>
        </w:rPr>
      </w:pPr>
    </w:p>
    <w:p>
      <w:pPr>
        <w:ind w:left="520" w:hanging="512"/>
        <w:spacing w:after="0"/>
        <w:tabs>
          <w:tab w:leader="none" w:pos="520" w:val="left"/>
        </w:tabs>
        <w:numPr>
          <w:ilvl w:val="0"/>
          <w:numId w:val="1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w:t>
      </w:r>
    </w:p>
    <w:p>
      <w:pPr>
        <w:spacing w:after="0" w:line="20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0"/>
          <w:szCs w:val="20"/>
          <w:color w:val="auto"/>
        </w:rPr>
        <w:t>The Participant’s employment by the Company is in a capacity in which he or she may have access to, or contribute to the production of, Confidential Information and the Company Work Product (both as defined below). The Participant’s employment creates a relationship of confidence and trust between the Company and the Participant with respect to the Confidential Information and the Company Work Product as set forth herein. This Confidentiality and Inventions Agreement are subject to the terms of the Standard Terms and Conditions attached as Exhibit A to the Grant Notice to which this Confidentiality and Inventions Agreement is attached; provided however, that in the event of any conflict between the Standard Terms and Conditions and this Confidentiality and Inventions Agreement, this Confidentiality and Inventions Agreement shall control.</w:t>
      </w:r>
    </w:p>
    <w:p>
      <w:pPr>
        <w:spacing w:after="0" w:line="153" w:lineRule="exact"/>
        <w:rPr>
          <w:sz w:val="20"/>
          <w:szCs w:val="20"/>
          <w:color w:val="auto"/>
        </w:rPr>
      </w:pPr>
    </w:p>
    <w:p>
      <w:pPr>
        <w:ind w:left="520" w:hanging="512"/>
        <w:spacing w:after="0"/>
        <w:tabs>
          <w:tab w:leader="none" w:pos="520" w:val="left"/>
        </w:tabs>
        <w:numPr>
          <w:ilvl w:val="0"/>
          <w:numId w:val="1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Capitalized terms not otherwise defined herein shall have the meaning set forth in the Petco Health and Wellness Company, Inc.</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2021 Equity Incentive Plan, as amended from time to time. For purposes of this Confidentiality and Inventions Agreement:</w:t>
      </w:r>
    </w:p>
    <w:p>
      <w:pPr>
        <w:spacing w:after="0" w:line="175" w:lineRule="exact"/>
        <w:rPr>
          <w:sz w:val="20"/>
          <w:szCs w:val="20"/>
          <w:color w:val="auto"/>
        </w:rPr>
      </w:pPr>
    </w:p>
    <w:p>
      <w:pPr>
        <w:jc w:val="both"/>
        <w:ind w:right="80" w:firstLine="749"/>
        <w:spacing w:after="0" w:line="257" w:lineRule="auto"/>
        <w:rPr>
          <w:sz w:val="20"/>
          <w:szCs w:val="20"/>
          <w:color w:val="auto"/>
        </w:rPr>
      </w:pPr>
      <w:r>
        <w:rPr>
          <w:rFonts w:ascii="Times New Roman" w:cs="Times New Roman" w:eastAsia="Times New Roman" w:hAnsi="Times New Roman"/>
          <w:sz w:val="20"/>
          <w:szCs w:val="20"/>
          <w:color w:val="auto"/>
        </w:rPr>
        <w:t>(p)“</w:t>
      </w:r>
      <w:r>
        <w:rPr>
          <w:rFonts w:ascii="Times New Roman" w:cs="Times New Roman" w:eastAsia="Times New Roman" w:hAnsi="Times New Roman"/>
          <w:sz w:val="20"/>
          <w:szCs w:val="20"/>
          <w:b w:val="1"/>
          <w:bCs w:val="1"/>
          <w:i w:val="1"/>
          <w:iCs w:val="1"/>
          <w:color w:val="auto"/>
        </w:rPr>
        <w:t>Confidential Information</w:t>
      </w:r>
      <w:r>
        <w:rPr>
          <w:rFonts w:ascii="Times New Roman" w:cs="Times New Roman" w:eastAsia="Times New Roman" w:hAnsi="Times New Roman"/>
          <w:sz w:val="20"/>
          <w:szCs w:val="20"/>
          <w:color w:val="auto"/>
        </w:rPr>
        <w:t>” shall mean information or material (i) that is proprietary to the Company or confidential to the Company, whether or not designated or labeled as such, and (ii) that the Participant creates, discovers or develops, or of which the Participant obtains knowledge of or access to, in the course of the Participant’s employment with the Company. Confidential Information may include, but is not limited to, designs, works of authorship, formulae, ideas, concepts, techniques, inventions, devices, improvements, know-how, methods, processes, drawings, specifications, models, data, diagrams, flow charts, research, procedures, computer programs, marketing techniques and materials, business, marketing, development and product plans, financial information, customer lists and contact information, personnel information, and other confidential business or technical information created on behalf of the Company or obtained as a result of or in the course of employment with the Company. For purposes of this Confidentiality and Inventions Agreement,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shall mean the Company or any of its Affiliates. To the extent that the participant can demonstrate by competent proof that one of the following exceptions applies, the Participant shall have no obligation under this Confidentiality and Inventions Agreement to maintain in confidence any: (I) INFORMATION THAT IS OR BECOMES GENERALLY PUBLICLY KNOWN OTHER THAN AS A RESULT OF THE PARTICIPANT’S DISCLOSURE IN VIOLATION OF THIS AGREEMENT, (II) INFORMATION THAT WAS KNOWN BY THE PARTICIPANT OR AVAILABLE TO THE PARTICIPANT WITHOUT RESTRICTION PRIOR TO DISCLOSURE TO THE PARTICIPANT BY THE COMPANY, (III) INFORMATION THAT BECOMES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B</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4"/>
          <w:szCs w:val="14"/>
          <w:color w:val="auto"/>
        </w:rPr>
        <w:t>onfidentiality and</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nventions</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462280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82" w:name="page83"/>
    <w:bookmarkEnd w:id="82"/>
    <w:p>
      <w:pPr>
        <w:spacing w:after="0" w:line="18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AVAILABLE TO THE PARTICIPANT ON A NON-CONFIDENTIAL BASIS FROM A THIRD PARTY THAT IS NOT SUBJECT TO CONFIDENTIALITY OBLIGATIONS IN FAVOR, OR THAT INURE TO THE BENEFIT, OF THE COMPANY, AND (IV) INFORMATION THAT WAS DEVELOPED INDEPENDENTLY BY OR FOR THE PARTICIPANT WITHOUT REFERENCE TO THE CONFIDENTIAL INFORMATION, USE OF COMPANY RESOURCES OR BREACH OF THIS AGREEMENT, INCLUDING, WITHOUT LIMITATION, THE “PRE-EMPLOYMENT WORK PRODUCT” (AS DEFINED BELOW).</w:t>
      </w:r>
    </w:p>
    <w:p>
      <w:pPr>
        <w:spacing w:after="0" w:line="173"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20"/>
          <w:szCs w:val="20"/>
          <w:color w:val="auto"/>
        </w:rPr>
        <w:t>(q)“</w:t>
      </w:r>
      <w:r>
        <w:rPr>
          <w:rFonts w:ascii="Times New Roman" w:cs="Times New Roman" w:eastAsia="Times New Roman" w:hAnsi="Times New Roman"/>
          <w:sz w:val="20"/>
          <w:szCs w:val="20"/>
          <w:b w:val="1"/>
          <w:bCs w:val="1"/>
          <w:i w:val="1"/>
          <w:iCs w:val="1"/>
          <w:color w:val="auto"/>
        </w:rPr>
        <w:t>Work Product</w:t>
      </w:r>
      <w:r>
        <w:rPr>
          <w:rFonts w:ascii="Times New Roman" w:cs="Times New Roman" w:eastAsia="Times New Roman" w:hAnsi="Times New Roman"/>
          <w:sz w:val="20"/>
          <w:szCs w:val="20"/>
          <w:color w:val="auto"/>
        </w:rPr>
        <w:t>” shall mean inventions, data, ideas, designs, drawings, works of authorship, trademarks, service marks, trade names, service names, logos, developments, formulae, concepts, techniques, devices, improvements, know-how, methods, processes, programs and discoveries, whether or not patentable or protectable under applicable copyright or trademark law, or under other similar law, and whether or not reduced to practice or tangible form, together with any improvements thereon or thereto, derivative works therefrom, and intellectual property rights therein created on behalf of the Company as part of the obligation of employment in performing work for the Company or otherwise in the course of employment with the Company.</w:t>
      </w:r>
    </w:p>
    <w:p>
      <w:pPr>
        <w:spacing w:after="0" w:line="150" w:lineRule="exact"/>
        <w:rPr>
          <w:sz w:val="20"/>
          <w:szCs w:val="20"/>
          <w:color w:val="auto"/>
        </w:rPr>
      </w:pPr>
    </w:p>
    <w:p>
      <w:pPr>
        <w:ind w:left="520" w:hanging="512"/>
        <w:spacing w:after="0"/>
        <w:tabs>
          <w:tab w:leader="none" w:pos="520" w:val="left"/>
        </w:tabs>
        <w:numPr>
          <w:ilvl w:val="0"/>
          <w:numId w:val="1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CONFIDENTIALITY</w:t>
      </w:r>
    </w:p>
    <w:p>
      <w:pPr>
        <w:spacing w:after="0" w:line="209" w:lineRule="exact"/>
        <w:rPr>
          <w:rFonts w:ascii="Times New Roman" w:cs="Times New Roman" w:eastAsia="Times New Roman" w:hAnsi="Times New Roman"/>
          <w:sz w:val="22"/>
          <w:szCs w:val="22"/>
          <w:b w:val="1"/>
          <w:bCs w:val="1"/>
          <w:color w:val="auto"/>
        </w:rPr>
      </w:pPr>
    </w:p>
    <w:p>
      <w:pPr>
        <w:jc w:val="both"/>
        <w:ind w:firstLine="756"/>
        <w:spacing w:after="0" w:line="233" w:lineRule="auto"/>
        <w:tabs>
          <w:tab w:leader="none" w:pos="1016"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of the Participant’s employment by the Company and at all times thereafter, The Participant will keep in strict confidence and trust all Confidential Information, and the Participant will not, directly or indirectly, disclose, distribute, sell, transfer, use, lecture upon or publish any Confidential Information, except as may be necessary in the course of performing the Participant’s duties as an employee of the Company or as the Company authorizes or permits. Notwithstanding the foregoing, the Participant shall be entitled to continue to use Confidential Information of the Company transferred to a purchaser (“</w:t>
      </w:r>
      <w:r>
        <w:rPr>
          <w:rFonts w:ascii="Times New Roman" w:cs="Times New Roman" w:eastAsia="Times New Roman" w:hAnsi="Times New Roman"/>
          <w:sz w:val="22"/>
          <w:szCs w:val="22"/>
          <w:b w:val="1"/>
          <w:bCs w:val="1"/>
          <w:i w:val="1"/>
          <w:iCs w:val="1"/>
          <w:color w:val="auto"/>
        </w:rPr>
        <w:t>Purchaser</w:t>
      </w:r>
      <w:r>
        <w:rPr>
          <w:rFonts w:ascii="Times New Roman" w:cs="Times New Roman" w:eastAsia="Times New Roman" w:hAnsi="Times New Roman"/>
          <w:sz w:val="22"/>
          <w:szCs w:val="22"/>
          <w:color w:val="auto"/>
        </w:rPr>
        <w:t>”) of all or substantially all of the assets of a business (“</w:t>
      </w:r>
      <w:r>
        <w:rPr>
          <w:rFonts w:ascii="Times New Roman" w:cs="Times New Roman" w:eastAsia="Times New Roman" w:hAnsi="Times New Roman"/>
          <w:sz w:val="22"/>
          <w:szCs w:val="22"/>
          <w:b w:val="1"/>
          <w:bCs w:val="1"/>
          <w:i w:val="1"/>
          <w:iCs w:val="1"/>
          <w:color w:val="auto"/>
        </w:rPr>
        <w:t>Business</w:t>
      </w:r>
      <w:r>
        <w:rPr>
          <w:rFonts w:ascii="Times New Roman" w:cs="Times New Roman" w:eastAsia="Times New Roman" w:hAnsi="Times New Roman"/>
          <w:sz w:val="22"/>
          <w:szCs w:val="22"/>
          <w:color w:val="auto"/>
        </w:rPr>
        <w:t>”) of Company (an “</w:t>
      </w:r>
      <w:r>
        <w:rPr>
          <w:rFonts w:ascii="Times New Roman" w:cs="Times New Roman" w:eastAsia="Times New Roman" w:hAnsi="Times New Roman"/>
          <w:sz w:val="22"/>
          <w:szCs w:val="22"/>
          <w:b w:val="1"/>
          <w:bCs w:val="1"/>
          <w:i w:val="1"/>
          <w:iCs w:val="1"/>
          <w:color w:val="auto"/>
        </w:rPr>
        <w:t>Acquisition</w:t>
      </w:r>
      <w:r>
        <w:rPr>
          <w:rFonts w:ascii="Times New Roman" w:cs="Times New Roman" w:eastAsia="Times New Roman" w:hAnsi="Times New Roman"/>
          <w:sz w:val="22"/>
          <w:szCs w:val="22"/>
          <w:color w:val="auto"/>
        </w:rPr>
        <w:t>”) solely to the extent that the Participant becomes an employee of such Purchaser or Purchaser’s designated affiliate upon consummation of the Acquisition and such Confidential Information is used in the Business prior to consummation of the Acquisition. The Participant acknowledges and agrees that, upon consummation of the Acquisition, the Confidential Information shall be deemed the Confidential Information of the Purchaser and subject to the Participant’s applicable employment, confidentiality and inventions assignment agreement with such Purchaser.</w:t>
      </w:r>
    </w:p>
    <w:p>
      <w:pPr>
        <w:spacing w:after="0" w:line="184" w:lineRule="exact"/>
        <w:rPr>
          <w:rFonts w:ascii="Times New Roman" w:cs="Times New Roman" w:eastAsia="Times New Roman" w:hAnsi="Times New Roman"/>
          <w:sz w:val="22"/>
          <w:szCs w:val="22"/>
          <w:color w:val="auto"/>
        </w:rPr>
      </w:pPr>
    </w:p>
    <w:p>
      <w:pPr>
        <w:jc w:val="both"/>
        <w:ind w:firstLine="756"/>
        <w:spacing w:after="0" w:line="235" w:lineRule="auto"/>
        <w:tabs>
          <w:tab w:leader="none" w:pos="1016"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recognizes that the Company has received and in the future will receive information from third parties which is subject to an obligation on the Company’s part to maintain the confidentiality of such information and to use it only for certain limited purposes. The Participant agrees, during the term of the Participant’s employment and thereafter, to hold all such confidential or proprietary information of third parties in the strictest confidence and not to disclose or use it, except as necessary in performing the Participant’s duties as an employee of the Company consistent with the Company’s agreement with such third party. The Participant agrees that such information will be subject to the terms of this Confidentiality and Inventions Agreement as Confidential Information.</w:t>
      </w:r>
    </w:p>
    <w:p>
      <w:pPr>
        <w:spacing w:after="0" w:line="180" w:lineRule="exact"/>
        <w:rPr>
          <w:rFonts w:ascii="Times New Roman" w:cs="Times New Roman" w:eastAsia="Times New Roman" w:hAnsi="Times New Roman"/>
          <w:sz w:val="22"/>
          <w:szCs w:val="22"/>
          <w:color w:val="auto"/>
        </w:rPr>
      </w:pPr>
    </w:p>
    <w:p>
      <w:pPr>
        <w:ind w:left="1020" w:hanging="264"/>
        <w:spacing w:after="0"/>
        <w:tabs>
          <w:tab w:leader="none" w:pos="1020"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Protected Disclosures</w:t>
      </w:r>
      <w:r>
        <w:rPr>
          <w:rFonts w:ascii="Times New Roman" w:cs="Times New Roman" w:eastAsia="Times New Roman" w:hAnsi="Times New Roman"/>
          <w:sz w:val="22"/>
          <w:szCs w:val="22"/>
          <w:color w:val="auto"/>
        </w:rPr>
        <w:t>. 18 U.S.C. § 1833(b) provides: “An individual shall not be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83" w:name="page84"/>
    <w:bookmarkEnd w:id="83"/>
    <w:p>
      <w:pPr>
        <w:spacing w:after="0" w:line="102" w:lineRule="exact"/>
        <w:rPr>
          <w:sz w:val="20"/>
          <w:szCs w:val="20"/>
          <w:color w:val="auto"/>
        </w:rPr>
      </w:pPr>
    </w:p>
    <w:p>
      <w:pPr>
        <w:jc w:val="both"/>
        <w:ind w:right="80"/>
        <w:spacing w:after="0" w:line="232" w:lineRule="auto"/>
        <w:rPr>
          <w:sz w:val="20"/>
          <w:szCs w:val="20"/>
          <w:color w:val="auto"/>
        </w:rPr>
      </w:pPr>
      <w:r>
        <w:rPr>
          <w:rFonts w:ascii="Times New Roman" w:cs="Times New Roman" w:eastAsia="Times New Roman" w:hAnsi="Times New Roman"/>
          <w:sz w:val="22"/>
          <w:szCs w:val="22"/>
          <w:color w:val="auto"/>
        </w:rPr>
        <w:t>held criminally or civilly liable under any Federal or State trade secret law for the disclosure of a trade secret that—(A)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Nothing in this Agreement is intended to conflict with 18 U.S.C. § 1833(b) or create liability for disclosures of trade secrets that are expressly allowed by 18 U.S.C. § 1833(b). Accordingly, the parties to this Agreement have the right to disclose in confidence trade secrets to federal, state, and local government officials, or to an attorney, for the sole purpose of reporting or investigating a suspected violation of law. The parties also have the right to disclose trade secrets in a document filed in a lawsuit or other proceeding, but only if the filing is made under seal and protected from public disclosure. Nothing in this Confidentiality and Inventions Agreement prevents the Participant from discussing or disclosing information about unlawful acts in the workplace, such as harassment or discrimination or any other conduct that the Participant has reason to believe is unlawful. Furthermore, and for the avoidance of doubt, nothing in this Confidentiality and Inventions Agreement limits or restricts the Participant’s ability to communicate with the Securities and Exchange Commission or any other federal, state or local governmental agency or commission (each a “</w:t>
      </w:r>
      <w:r>
        <w:rPr>
          <w:rFonts w:ascii="Times New Roman" w:cs="Times New Roman" w:eastAsia="Times New Roman" w:hAnsi="Times New Roman"/>
          <w:sz w:val="22"/>
          <w:szCs w:val="22"/>
          <w:b w:val="1"/>
          <w:bCs w:val="1"/>
          <w:i w:val="1"/>
          <w:iCs w:val="1"/>
          <w:color w:val="auto"/>
        </w:rPr>
        <w:t>Government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Agency</w:t>
      </w:r>
      <w:r>
        <w:rPr>
          <w:rFonts w:ascii="Times New Roman" w:cs="Times New Roman" w:eastAsia="Times New Roman" w:hAnsi="Times New Roman"/>
          <w:sz w:val="22"/>
          <w:szCs w:val="22"/>
          <w:color w:val="auto"/>
        </w:rPr>
        <w:t>”) or otherwise participate in any investigation or proceeding that may be conducted by any Government Agency,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including providing documents or other information and reporting possible violations of law or regulation or other disclosures protected under the whistleblower provisions of applicable law or regulation, without notice to the Company.</w:t>
      </w:r>
    </w:p>
    <w:p>
      <w:pPr>
        <w:spacing w:after="0" w:line="182" w:lineRule="exact"/>
        <w:rPr>
          <w:sz w:val="20"/>
          <w:szCs w:val="20"/>
          <w:color w:val="auto"/>
        </w:rPr>
      </w:pPr>
    </w:p>
    <w:p>
      <w:pPr>
        <w:ind w:left="520" w:hanging="512"/>
        <w:spacing w:after="0"/>
        <w:tabs>
          <w:tab w:leader="none" w:pos="520" w:val="left"/>
        </w:tabs>
        <w:numPr>
          <w:ilvl w:val="0"/>
          <w:numId w:val="1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COMPANY PROPERTY</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All apparatus, computers, computer files and media, notes, data, documents, reference materials, sketches, memoranda, records, drawings, engineering log books, equipment, lab/inventor notebooks, programs, prototypes, samples, equipment, tangible embodiments of information, and other physical property, whether or not pertaining to Confidential Information, furnished to the Participant or produced by the Participant or others in connection with the Participant’s employment, shall be and remain the sole property of the Company and any such property actually in the Participant’s possession or control shall be returned promptly to the Company as and when requested in writing by the Company. Should the Company not so request, the Participant shall return and deliver all such property to the Company upon termination of the Participant’s employment. The Participant may not retain any such property or any reproduction of such property upon such termination. The Participant further agrees that any property situated on the Company’s premises and owned, leased, maintained or otherwise contracted for by the Company, including, but not limited to, computers, computer files, e-mail, voicemail, disks and other electronic storage media, filing cabinets, desks or other work areas, are subject to inspection by the Company’s representatives at any time with or without notice.</w:t>
      </w:r>
    </w:p>
    <w:p>
      <w:pPr>
        <w:spacing w:after="0" w:line="162" w:lineRule="exact"/>
        <w:rPr>
          <w:sz w:val="20"/>
          <w:szCs w:val="20"/>
          <w:color w:val="auto"/>
        </w:rPr>
      </w:pPr>
    </w:p>
    <w:p>
      <w:pPr>
        <w:ind w:left="520" w:hanging="512"/>
        <w:spacing w:after="0"/>
        <w:tabs>
          <w:tab w:leader="none" w:pos="520" w:val="left"/>
        </w:tabs>
        <w:numPr>
          <w:ilvl w:val="0"/>
          <w:numId w:val="1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COMPANY WORK PRODUCT</w:t>
      </w:r>
    </w:p>
    <w:p>
      <w:pPr>
        <w:spacing w:after="0" w:line="20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Subject to Section 6 and 7 below, the Participant agrees that any Work Product, in whole or in part, conceived, developed, made or reduced to practice by the Participant (either solely or in conjunction with others) during the term of his or her employment with the Company (collectively, the “</w:t>
      </w:r>
      <w:r>
        <w:rPr>
          <w:rFonts w:ascii="Times New Roman" w:cs="Times New Roman" w:eastAsia="Times New Roman" w:hAnsi="Times New Roman"/>
          <w:sz w:val="20"/>
          <w:szCs w:val="20"/>
          <w:b w:val="1"/>
          <w:bCs w:val="1"/>
          <w:i w:val="1"/>
          <w:iCs w:val="1"/>
          <w:color w:val="auto"/>
        </w:rPr>
        <w:t>Company Work Product</w:t>
      </w:r>
      <w:r>
        <w:rPr>
          <w:rFonts w:ascii="Times New Roman" w:cs="Times New Roman" w:eastAsia="Times New Roman" w:hAnsi="Times New Roman"/>
          <w:sz w:val="20"/>
          <w:szCs w:val="20"/>
          <w:color w:val="auto"/>
        </w:rPr>
        <w:t>”) shall be owned exclusively by the Company (or, to the extent</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183"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applicable, a Purchaser pursuant to an Acquisition). Without limiting the foregoing, the Participant agrees that any of the Company Work Product shall be deemed to be “works made for hire” as defined in U.S. Copyright Act §101, and all right, title, and interest therein shall vest solely in the Company from conception. The Participant hereby irrevocably assigns and transfers, and agrees to assign and transfer in the future on the Company’s request, to the Company all right, title and interest in and to any Company Work Product, including, but not limited to, patents, copyrights and other intellectual property rights therein. The Participant shall treat any such Company Work Product as Confidential Information. The Participant will execute all applications, assignments, instruments and other documents and perform all acts consistent herewith as the Company or its counsel may deem necessary or desirable to obtain, perfect or enforce any patents, copyright registrations or other protections on such Company Work Product and to otherwise protect the interests of the Company therein. The Participant’s obligation to reasonably assist the Company in obtaining and enforcing the intellectual property and other rights in the Company Work Product in any and all jurisdictions shall continue beyond the termination of the Participant’s employment. The Participant acknowledges that the Company may need to secure the Participant’s signature for lawful and necessary documents required to apply for, maintain or enforce intellectual property and other rights with respect to the Company Work Product (including, but not limited to, renewals, extensions, continuations, divisions or continuations in part of patent applications). The Participant hereby irrevocably designates and appoints the Company and its duly authorized officers and agents, as the Participant’s agents and attorneys-in-fact, to act for and on the Participant’s behalf and instead of the Participant, to execute and file any such document(s) and to do all other lawfully permitted acts to further the prosecution, issuance and enforcement of patents, copyright registrations and other protections on the Company Work Product with the same legal force and effect as if executed by the Participant. The Participant further hereby waives and relinquishes any and all moral rights that the Participant may have in the Company Work Product.</w:t>
      </w:r>
    </w:p>
    <w:p>
      <w:pPr>
        <w:spacing w:after="0" w:line="175" w:lineRule="exact"/>
        <w:rPr>
          <w:sz w:val="20"/>
          <w:szCs w:val="20"/>
          <w:color w:val="auto"/>
        </w:rPr>
      </w:pPr>
    </w:p>
    <w:p>
      <w:pPr>
        <w:ind w:left="520" w:hanging="512"/>
        <w:spacing w:after="0"/>
        <w:tabs>
          <w:tab w:leader="none" w:pos="520" w:val="left"/>
        </w:tabs>
        <w:numPr>
          <w:ilvl w:val="0"/>
          <w:numId w:val="1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EXCEPTION TO ASSIGNMENTS</w:t>
      </w:r>
    </w:p>
    <w:p>
      <w:pPr>
        <w:spacing w:after="0" w:line="20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Pursuant to Section 2870 of the California Labor Code, the requirements set forth in Section 5 of this Agreement shall not apply to an invention that the Participant develops entirely on his or her own time without using the Company’s equipment, supplies, facilities, or trade secret information except for those inventions that either: (i) relate at the time of conception or reduction to practice of the invention to the Company’s business, or actual or demonstrably anticipated research or development of the Company; or (ii) result from any work performed by the Participant for the Company.</w:t>
      </w:r>
    </w:p>
    <w:p>
      <w:pPr>
        <w:spacing w:after="0" w:line="176" w:lineRule="exact"/>
        <w:rPr>
          <w:sz w:val="20"/>
          <w:szCs w:val="20"/>
          <w:color w:val="auto"/>
        </w:rPr>
      </w:pPr>
    </w:p>
    <w:p>
      <w:pPr>
        <w:ind w:left="520" w:hanging="512"/>
        <w:spacing w:after="0"/>
        <w:tabs>
          <w:tab w:leader="none" w:pos="520" w:val="left"/>
        </w:tabs>
        <w:numPr>
          <w:ilvl w:val="0"/>
          <w:numId w:val="1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PRE-EMPLOYMENT WORK PRODUCT</w:t>
      </w:r>
    </w:p>
    <w:p>
      <w:pPr>
        <w:spacing w:after="0" w:line="20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(u)Work Product includes only things done for the Company in performing work for the Company.</w:t>
      </w:r>
    </w:p>
    <w:p>
      <w:pPr>
        <w:spacing w:after="0" w:line="205" w:lineRule="exact"/>
        <w:rPr>
          <w:sz w:val="20"/>
          <w:szCs w:val="20"/>
          <w:color w:val="auto"/>
        </w:rPr>
      </w:pPr>
    </w:p>
    <w:p>
      <w:pPr>
        <w:jc w:val="both"/>
        <w:ind w:right="80" w:firstLine="749"/>
        <w:spacing w:after="0" w:line="237" w:lineRule="auto"/>
        <w:rPr>
          <w:sz w:val="20"/>
          <w:szCs w:val="20"/>
          <w:color w:val="auto"/>
        </w:rPr>
      </w:pPr>
      <w:r>
        <w:rPr>
          <w:rFonts w:ascii="Times New Roman" w:cs="Times New Roman" w:eastAsia="Times New Roman" w:hAnsi="Times New Roman"/>
          <w:sz w:val="22"/>
          <w:szCs w:val="22"/>
          <w:color w:val="auto"/>
        </w:rPr>
        <w:t>(v)The Participant acknowledges that the Company has a strict policy against using proprietary information belonging to any other person or entity without the express permission of the owner of that information. The Participant represents and warrants that the Participant’s performance of all of the terms of this Confidentiality and Inventions Agreement and as an employee of the Company does not and will not result in a breach of any duty owed by the Participant to a third party to keep in confidence any information, knowledge or data. The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102" w:lineRule="exact"/>
        <w:rPr>
          <w:sz w:val="20"/>
          <w:szCs w:val="20"/>
          <w:color w:val="auto"/>
        </w:rPr>
      </w:pPr>
    </w:p>
    <w:p>
      <w:pPr>
        <w:jc w:val="both"/>
        <w:ind w:right="80"/>
        <w:spacing w:after="0" w:line="237" w:lineRule="auto"/>
        <w:rPr>
          <w:sz w:val="20"/>
          <w:szCs w:val="20"/>
          <w:color w:val="auto"/>
        </w:rPr>
      </w:pPr>
      <w:r>
        <w:rPr>
          <w:rFonts w:ascii="Times New Roman" w:cs="Times New Roman" w:eastAsia="Times New Roman" w:hAnsi="Times New Roman"/>
          <w:sz w:val="22"/>
          <w:szCs w:val="22"/>
          <w:color w:val="auto"/>
        </w:rPr>
        <w:t>Participant has not brought or used, and will not bring to the Company, or use, induce the Company to use, or disclose in the performance of the Participant’s duties, nor has the Participant used or disclosed in the performance of any services for the Company prior to the effective date of the Participant’s employment with the Company (if any), any equipment, supplies, facility, electronic media, software, trade secret or other information or property of any former employer or any other person or entity, unless the Participant has obtained their written authorization for its possession and use.</w:t>
      </w:r>
    </w:p>
    <w:p>
      <w:pPr>
        <w:spacing w:after="0" w:line="176" w:lineRule="exact"/>
        <w:rPr>
          <w:sz w:val="20"/>
          <w:szCs w:val="20"/>
          <w:color w:val="auto"/>
        </w:rPr>
      </w:pPr>
    </w:p>
    <w:p>
      <w:pPr>
        <w:ind w:left="520" w:hanging="512"/>
        <w:spacing w:after="0"/>
        <w:tabs>
          <w:tab w:leader="none" w:pos="520" w:val="left"/>
        </w:tabs>
        <w:numPr>
          <w:ilvl w:val="0"/>
          <w:numId w:val="1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RECORDS</w:t>
      </w:r>
    </w:p>
    <w:p>
      <w:pPr>
        <w:spacing w:after="0" w:line="20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Participant agrees that he or he or she will keep and maintain adequate and current written records (in the form of notes, sketches, drawings or such other form(s) as may be specified by the Company) of all the Company Work Product made by the Participant during the term of his or his or her employment with the Company, which records shall be available at all times to the Company and shall remain the sole property of the Company.</w:t>
      </w:r>
    </w:p>
    <w:p>
      <w:pPr>
        <w:spacing w:after="0" w:line="175" w:lineRule="exact"/>
        <w:rPr>
          <w:sz w:val="20"/>
          <w:szCs w:val="20"/>
          <w:color w:val="auto"/>
        </w:rPr>
      </w:pPr>
    </w:p>
    <w:p>
      <w:pPr>
        <w:ind w:left="520" w:hanging="512"/>
        <w:spacing w:after="0"/>
        <w:tabs>
          <w:tab w:leader="none" w:pos="520" w:val="left"/>
        </w:tabs>
        <w:numPr>
          <w:ilvl w:val="0"/>
          <w:numId w:val="1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PRESUMPTION</w:t>
      </w:r>
    </w:p>
    <w:p>
      <w:pPr>
        <w:spacing w:after="0" w:line="20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If any application for any United States or foreign patent related to or useful in the business of the Company or any customer of the Company shall be filed by or for the Participant during the period of one year after the Participant’s employment is terminated, the subject matter covered by such application shall be presumed to have been conceived during the Participant’s employment with the Company.</w:t>
      </w:r>
    </w:p>
    <w:p>
      <w:pPr>
        <w:spacing w:after="0" w:line="175" w:lineRule="exact"/>
        <w:rPr>
          <w:sz w:val="20"/>
          <w:szCs w:val="20"/>
          <w:color w:val="auto"/>
        </w:rPr>
      </w:pPr>
    </w:p>
    <w:p>
      <w:pPr>
        <w:ind w:left="520" w:hanging="512"/>
        <w:spacing w:after="0"/>
        <w:tabs>
          <w:tab w:leader="none" w:pos="520" w:val="left"/>
        </w:tabs>
        <w:numPr>
          <w:ilvl w:val="0"/>
          <w:numId w:val="1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AGREEMENTS WITH THIRD PARTIES OR THE U.S. GOVERNMENT.</w:t>
      </w:r>
    </w:p>
    <w:p>
      <w:pPr>
        <w:spacing w:after="0" w:line="20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The Participant acknowledges that the Company from time to time may have agreements with other persons or entities, or with the U.S. Government or agencies thereof, which impose obligations or restrictions on the Company regarding inventions made during the course of work thereunder or regarding the confidential nature of such work. The Participant agrees to be bound by all such obligations and restrictions of which the Participant has been made aware of by the Company and to take all action necessary to discharge the obligations of the Company thereunder.</w:t>
      </w:r>
    </w:p>
    <w:p>
      <w:pPr>
        <w:spacing w:after="0" w:line="176" w:lineRule="exact"/>
        <w:rPr>
          <w:sz w:val="20"/>
          <w:szCs w:val="20"/>
          <w:color w:val="auto"/>
        </w:rPr>
      </w:pPr>
    </w:p>
    <w:p>
      <w:pPr>
        <w:ind w:left="520" w:hanging="512"/>
        <w:spacing w:after="0"/>
        <w:tabs>
          <w:tab w:leader="none" w:pos="520" w:val="left"/>
        </w:tabs>
        <w:numPr>
          <w:ilvl w:val="0"/>
          <w:numId w:val="1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INJUNCTIVE RELIEF</w:t>
      </w:r>
    </w:p>
    <w:p>
      <w:pPr>
        <w:spacing w:after="0" w:line="20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Because of the unique nature of the Confidential Information and the Company Work Product, the Participant understands and agrees that the Company may suffer immediate and irreparable harm if the Participant fails to comply with any of his or her obligations under this Confidentiality and Inventions Agreement and that monetary damages may be inadequate to compensate the Company for such breach. Accordingly, the Participant agrees that in the event of a breach or threatened breach of this Confidentiality and Inventions Agreement, in addition to any other remedies available to it at law or in equity, the Company will be entitled, without posting bond or other security, to seek injunctive relief to enforce the terms of this Confidentiality and Inventions Agreement, including, but not limited to, restraining the Participant from violating this Confidentiality and Inventions Agreement or compelling the Participant to cease and desist all unauthorized use and disclosure of the Confidential Information and the Company Work Product. The Participant will indemnify the Company against any costs, including, but not limited to, reasonable outside legal fees and costs, incurred in obtaining relief against the Participant’s breach</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1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of this Confidentiality and Inventions Agreement. Nothing in this Section 11 shall be construed as prohibiting the Company from pursuing any other remedies available to it for such breach or threatened breach, including, but not limited to, recovery of damages.</w:t>
      </w:r>
    </w:p>
    <w:p>
      <w:pPr>
        <w:spacing w:after="0" w:line="168" w:lineRule="exact"/>
        <w:rPr>
          <w:sz w:val="20"/>
          <w:szCs w:val="20"/>
          <w:color w:val="auto"/>
        </w:rPr>
      </w:pPr>
    </w:p>
    <w:p>
      <w:pPr>
        <w:ind w:left="520" w:hanging="512"/>
        <w:spacing w:after="0"/>
        <w:tabs>
          <w:tab w:leader="none" w:pos="520" w:val="left"/>
        </w:tabs>
        <w:numPr>
          <w:ilvl w:val="0"/>
          <w:numId w:val="1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DISCLOSURE OF OBLIGATIONS</w:t>
      </w:r>
    </w:p>
    <w:p>
      <w:pPr>
        <w:spacing w:after="0" w:line="209"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22"/>
          <w:szCs w:val="22"/>
          <w:color w:val="auto"/>
        </w:rPr>
        <w:t>The Participant is hereby permitted and the Participant authorizes the Company to provide a copy of this Confidentiality and Inventions Agreement and any exhibits hereto to any of the Participant’s future employers, and to notify any such future employers of the Participant’s obligations and the Company’s rights hereunder, provided that neither party is under any obligation to do so.</w:t>
      </w:r>
    </w:p>
    <w:p>
      <w:pPr>
        <w:spacing w:after="0" w:line="175" w:lineRule="exact"/>
        <w:rPr>
          <w:sz w:val="20"/>
          <w:szCs w:val="20"/>
          <w:color w:val="auto"/>
        </w:rPr>
      </w:pPr>
    </w:p>
    <w:p>
      <w:pPr>
        <w:ind w:left="520" w:hanging="512"/>
        <w:spacing w:after="0"/>
        <w:tabs>
          <w:tab w:leader="none" w:pos="520" w:val="left"/>
        </w:tabs>
        <w:numPr>
          <w:ilvl w:val="0"/>
          <w:numId w:val="1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JURISDICTION AND VENUE</w:t>
      </w:r>
    </w:p>
    <w:p>
      <w:pPr>
        <w:spacing w:after="0" w:line="20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This Confidentiality and Inventions Agreement will be governed by the laws of the State of California without regard to any conflicts-of-law rules. To the extent that any lawsuit is permitted under this Confidentiality and Inventions Agreement, the Participant hereby expressly consents to the personal and exclusive jurisdiction and venue of the state and federal courts located in San Diego, California for any lawsuit filed against the Participant by the Company. Nothing herein shall limit the right of the Company to seek and obtain injunctive relief in any jurisdiction for violation of the portions of this Confidentiality and Inventions Agreement dealing with protection of Confidential Information or the Company Work Product.</w:t>
      </w:r>
    </w:p>
    <w:p>
      <w:pPr>
        <w:spacing w:after="0" w:line="175" w:lineRule="exact"/>
        <w:rPr>
          <w:sz w:val="20"/>
          <w:szCs w:val="20"/>
          <w:color w:val="auto"/>
        </w:rPr>
      </w:pPr>
    </w:p>
    <w:p>
      <w:pPr>
        <w:ind w:left="520" w:hanging="512"/>
        <w:spacing w:after="0"/>
        <w:tabs>
          <w:tab w:leader="none" w:pos="520" w:val="left"/>
        </w:tabs>
        <w:numPr>
          <w:ilvl w:val="0"/>
          <w:numId w:val="1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ASSIGNMENT; INUREMENT</w:t>
      </w:r>
    </w:p>
    <w:p>
      <w:pPr>
        <w:spacing w:after="0" w:line="20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Neither this Confidentiality and Inventions Agreement nor any duties or obligations under this Confidentiality and Inventions Agreement may be assigned by the Participant without the prior written consent of the Company. The Participant understands and agrees that the Company may freely assign this Confidentiality and Inventions Agreement. This Agreement shall inure to the benefit of, and shall be binding upon, the permitted assigns, successors in interest (including any Purchaser upon consummation of an Acquisition), personal representatives, estates, heirs, and legatees of each of the parties hereto. Any assignment in violation of this Section 14 shall be null and void.</w:t>
      </w:r>
    </w:p>
    <w:p>
      <w:pPr>
        <w:spacing w:after="0" w:line="175" w:lineRule="exact"/>
        <w:rPr>
          <w:sz w:val="20"/>
          <w:szCs w:val="20"/>
          <w:color w:val="auto"/>
        </w:rPr>
      </w:pPr>
    </w:p>
    <w:p>
      <w:pPr>
        <w:ind w:left="520" w:hanging="512"/>
        <w:spacing w:after="0"/>
        <w:tabs>
          <w:tab w:leader="none" w:pos="520" w:val="left"/>
        </w:tabs>
        <w:numPr>
          <w:ilvl w:val="0"/>
          <w:numId w:val="1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SURVIVORSHIP</w:t>
      </w:r>
    </w:p>
    <w:p>
      <w:pPr>
        <w:spacing w:after="0" w:line="20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rights and obligations of the parties to this Confidentiality and Inventions Agreement will survive termination of my employment with the Company.</w:t>
      </w:r>
    </w:p>
    <w:p>
      <w:pPr>
        <w:spacing w:after="0" w:line="153" w:lineRule="exact"/>
        <w:rPr>
          <w:sz w:val="20"/>
          <w:szCs w:val="20"/>
          <w:color w:val="auto"/>
        </w:rPr>
      </w:pPr>
    </w:p>
    <w:p>
      <w:pPr>
        <w:ind w:left="520" w:hanging="512"/>
        <w:spacing w:after="0"/>
        <w:tabs>
          <w:tab w:leader="none" w:pos="520" w:val="left"/>
        </w:tabs>
        <w:numPr>
          <w:ilvl w:val="0"/>
          <w:numId w:val="1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w:t>
      </w:r>
    </w:p>
    <w:p>
      <w:pPr>
        <w:spacing w:after="0" w:line="20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In the event that any provision hereof or any obligation or grant of rights by the Participant hereunder is found invalid or unenforceable pursuant to judicial decree or decision, any such provision, obligation or grant of rights shall be deemed and construed to extend only to the maximum permitted by law, the invalid or unenforceable portions shall be severed, and the remainder of this Confidentiality and Inventions Agreement shall remain valid and enforceable according to its terms. This Confidentiality and Inventions Agreement may not be amended, waived or modified, except by an instrument in writing executed by the Participant and a duly authorized representative of the Company.</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179" w:lineRule="exact"/>
        <w:rPr>
          <w:sz w:val="20"/>
          <w:szCs w:val="20"/>
          <w:color w:val="auto"/>
        </w:rPr>
      </w:pPr>
    </w:p>
    <w:p>
      <w:pPr>
        <w:ind w:left="520" w:hanging="512"/>
        <w:spacing w:after="0"/>
        <w:tabs>
          <w:tab w:leader="none" w:pos="520" w:val="left"/>
        </w:tabs>
        <w:numPr>
          <w:ilvl w:val="0"/>
          <w:numId w:val="1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ACKNOWLEDGMENT</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EMPLOYEE ACKNOWLEDGES THAT, IN EXECUTING THE GRANT NOTICE TO WHICH THIS CONFIDENTIALITY AND INVENTIONS AGREEMENT IS ATTACHED, EMPLOYEE HAS HAD THE OPPORTUNITY TO SEEK THE ADVICE OF INDEPENDENT LEGAL COUNSEL, AND EMPLOYEE HAS READ AND UNDERSTOOD ALL OF THE</w:t>
      </w:r>
    </w:p>
    <w:p>
      <w:pPr>
        <w:spacing w:after="0" w:line="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TERMS AND PROVISIONS OF THIS CONFIDENTIALITY AND INVENTIONS AGREEMENT. THIS CONFIDENTIALITY AND INVENTIONS AGREEMENT SHALL NOT BE CONSTRUED AGAINST ANY PARTY BY REASON OF THE DRAFTING OR PREPARATION HEREOF.</w:t>
      </w:r>
    </w:p>
    <w:p>
      <w:pPr>
        <w:spacing w:after="0" w:line="200" w:lineRule="exact"/>
        <w:rPr>
          <w:sz w:val="20"/>
          <w:szCs w:val="20"/>
          <w:color w:val="auto"/>
        </w:rPr>
      </w:pPr>
    </w:p>
    <w:p>
      <w:pPr>
        <w:spacing w:after="0" w:line="38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88" w:name="page89"/>
    <w:bookmarkEnd w:id="88"/>
    <w:p>
      <w:pPr>
        <w:ind w:left="6000"/>
        <w:spacing w:after="0"/>
        <w:tabs>
          <w:tab w:leader="none" w:pos="9440" w:val="left"/>
        </w:tabs>
        <w:rPr>
          <w:sz w:val="20"/>
          <w:szCs w:val="20"/>
          <w:color w:val="auto"/>
        </w:rPr>
      </w:pPr>
      <w:r>
        <w:rPr>
          <w:rFonts w:ascii="Times New Roman" w:cs="Times New Roman" w:eastAsia="Times New Roman" w:hAnsi="Times New Roman"/>
          <w:sz w:val="22"/>
          <w:szCs w:val="22"/>
          <w:b w:val="1"/>
          <w:bCs w:val="1"/>
          <w:color w:val="auto"/>
        </w:rPr>
        <w:t>CHRO SPECIAL RSU FORM</w:t>
      </w:r>
      <w:r>
        <w:rPr>
          <w:sz w:val="20"/>
          <w:szCs w:val="20"/>
          <w:color w:val="auto"/>
        </w:rPr>
        <w:tab/>
      </w:r>
      <w:r>
        <w:rPr>
          <w:rFonts w:ascii="Times New Roman" w:cs="Times New Roman" w:eastAsia="Times New Roman" w:hAnsi="Times New Roman"/>
          <w:sz w:val="20"/>
          <w:szCs w:val="20"/>
          <w:b w:val="1"/>
          <w:bCs w:val="1"/>
          <w:color w:val="auto"/>
        </w:rPr>
        <w:t>EXHIBIT 10.6</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PETCO HEALTH AND WELLNESS COMPANY,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2021 EQUITY INCENTIVE PLAN</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GRANT NOTICE FOR</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AWARD</w:t>
      </w:r>
    </w:p>
    <w:p>
      <w:pPr>
        <w:spacing w:after="0" w:line="21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FOR GOOD AND VALUABLE CONSIDERATION, Petco Health and Wellness Company,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hereby grants to the Participant named below the number of Restricted Stock Units (the “</w:t>
      </w:r>
      <w:r>
        <w:rPr>
          <w:rFonts w:ascii="Times New Roman" w:cs="Times New Roman" w:eastAsia="Times New Roman" w:hAnsi="Times New Roman"/>
          <w:sz w:val="22"/>
          <w:szCs w:val="22"/>
          <w:b w:val="1"/>
          <w:bCs w:val="1"/>
          <w:i w:val="1"/>
          <w:iCs w:val="1"/>
          <w:color w:val="auto"/>
        </w:rPr>
        <w:t>RSUs</w:t>
      </w:r>
      <w:r>
        <w:rPr>
          <w:rFonts w:ascii="Times New Roman" w:cs="Times New Roman" w:eastAsia="Times New Roman" w:hAnsi="Times New Roman"/>
          <w:sz w:val="22"/>
          <w:szCs w:val="22"/>
          <w:color w:val="auto"/>
        </w:rPr>
        <w:t>”) specified below (the “</w:t>
      </w:r>
      <w:r>
        <w:rPr>
          <w:rFonts w:ascii="Times New Roman" w:cs="Times New Roman" w:eastAsia="Times New Roman" w:hAnsi="Times New Roman"/>
          <w:sz w:val="22"/>
          <w:szCs w:val="22"/>
          <w:b w:val="1"/>
          <w:bCs w:val="1"/>
          <w:i w:val="1"/>
          <w:iCs w:val="1"/>
          <w:color w:val="auto"/>
        </w:rPr>
        <w:t>Award</w:t>
      </w:r>
      <w:r>
        <w:rPr>
          <w:rFonts w:ascii="Times New Roman" w:cs="Times New Roman" w:eastAsia="Times New Roman" w:hAnsi="Times New Roman"/>
          <w:sz w:val="22"/>
          <w:szCs w:val="22"/>
          <w:color w:val="auto"/>
        </w:rPr>
        <w:t>”) under the Petco Health and Wellness Company, Inc. 2021 Equity Incentive Plan (as amended from time to time,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Each RSU represents the right to receive one share of Common Stock, upon the terms and subject to the conditions set forth in this Grant Notice, the Plan and the Standard Terms and Conditions (the “</w:t>
      </w:r>
      <w:r>
        <w:rPr>
          <w:rFonts w:ascii="Times New Roman" w:cs="Times New Roman" w:eastAsia="Times New Roman" w:hAnsi="Times New Roman"/>
          <w:sz w:val="22"/>
          <w:szCs w:val="22"/>
          <w:b w:val="1"/>
          <w:bCs w:val="1"/>
          <w:i w:val="1"/>
          <w:iCs w:val="1"/>
          <w:color w:val="auto"/>
        </w:rPr>
        <w:t>Standard Terms and Conditions</w:t>
      </w:r>
      <w:r>
        <w:rPr>
          <w:rFonts w:ascii="Times New Roman" w:cs="Times New Roman" w:eastAsia="Times New Roman" w:hAnsi="Times New Roman"/>
          <w:sz w:val="22"/>
          <w:szCs w:val="22"/>
          <w:color w:val="auto"/>
        </w:rPr>
        <w:t xml:space="preserve">”) promulgated under such Plan and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the Confidentiality and Inventions Agreement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This Award is granted pursuant to the Plan and is subject to and qualified in its entirety by the Standard Terms and Conditions. Capitalized terms not otherwise defined herein shall have the meanings set forth in the Plan.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Participant:</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Grant Date: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 RSUs:</w:t>
      </w:r>
    </w:p>
    <w:p>
      <w:pPr>
        <w:spacing w:after="0" w:line="205" w:lineRule="exact"/>
        <w:rPr>
          <w:sz w:val="20"/>
          <w:szCs w:val="20"/>
          <w:color w:val="auto"/>
        </w:rPr>
      </w:pPr>
    </w:p>
    <w:p>
      <w:pPr>
        <w:jc w:val="both"/>
        <w:ind w:left="2260" w:hanging="2245"/>
        <w:spacing w:after="0" w:line="244" w:lineRule="auto"/>
        <w:rPr>
          <w:sz w:val="20"/>
          <w:szCs w:val="20"/>
          <w:color w:val="auto"/>
        </w:rPr>
      </w:pPr>
      <w:r>
        <w:rPr>
          <w:rFonts w:ascii="Times New Roman" w:cs="Times New Roman" w:eastAsia="Times New Roman" w:hAnsi="Times New Roman"/>
          <w:sz w:val="22"/>
          <w:szCs w:val="22"/>
          <w:color w:val="auto"/>
        </w:rPr>
        <w:t>Vesting Schedule: Subject to the Plan and the Standard Terms and Conditions, the RSUs shall vest in accordance with the following schedule, so long as Participant remains continuously employed by the Company or its Subsidiaries from the Grant Date through such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sectPr>
      </w:pPr>
    </w:p>
    <w:bookmarkStart w:id="89" w:name="page90"/>
    <w:bookmarkEnd w:id="89"/>
    <w:p>
      <w:pPr>
        <w:spacing w:after="0" w:line="1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0"/>
          <w:szCs w:val="20"/>
          <w:color w:val="auto"/>
        </w:rPr>
        <w:t>IN ORDER TO RECEIVE THE BENEFITS OF THIS AGREEMENT, PARTICIPANT MUST EXECUTE AND RETURN THIS GRANT NOTICE (THE “</w:t>
      </w:r>
      <w:r>
        <w:rPr>
          <w:rFonts w:ascii="Times New Roman" w:cs="Times New Roman" w:eastAsia="Times New Roman" w:hAnsi="Times New Roman"/>
          <w:sz w:val="20"/>
          <w:szCs w:val="20"/>
          <w:b w:val="1"/>
          <w:bCs w:val="1"/>
          <w:i w:val="1"/>
          <w:iCs w:val="1"/>
          <w:color w:val="auto"/>
        </w:rPr>
        <w:t>ACCEPTANCE REQUIREMENTS</w:t>
      </w:r>
      <w:r>
        <w:rPr>
          <w:rFonts w:ascii="Times New Roman" w:cs="Times New Roman" w:eastAsia="Times New Roman" w:hAnsi="Times New Roman"/>
          <w:sz w:val="20"/>
          <w:szCs w:val="20"/>
          <w:color w:val="auto"/>
        </w:rPr>
        <w:t>”). IF PARTICIPANT FAILS TO SATISFY THE ACCEPTANCE REQUIREMENTS WITHIN 60 DAYS AFTER THE GRANT DATE, THEN (1) THIS GRANT NOTICE WILL BE OF NO FORCE OR EFFECT AND THIS AWARD WILL BE AUTOMATICALLY FORFEITED TO THE COMPANY WITHOUT CONSIDERATION, AND (2) NEITHER PARTICIPANT NOR THE COMPANY WILL HAVE ANY FUTURE RIGHTS OR OBLIGATIONS UNDER THIS GRANT NOTICE OR THE STANDARD TERMS AND CONDITIONS.</w:t>
      </w:r>
    </w:p>
    <w:p>
      <w:pPr>
        <w:spacing w:after="0" w:line="6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By accepting this Grant Notice, Participant acknowledges that Participant has received and read, and agrees that this Award shall be subject to, the terms of this Grant Notice, the Plan, and the Standard Terms and Conditions and the Confidentiality and Inventions Agreement.</w:t>
      </w:r>
    </w:p>
    <w:p>
      <w:pPr>
        <w:spacing w:after="0" w:line="200" w:lineRule="exact"/>
        <w:rPr>
          <w:sz w:val="20"/>
          <w:szCs w:val="20"/>
          <w:color w:val="auto"/>
        </w:rPr>
      </w:pPr>
    </w:p>
    <w:p>
      <w:pPr>
        <w:spacing w:after="0" w:line="23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auto"/>
        </w:rPr>
        <w:t>PETCO HEALTH AND WELLNESS COMPANY,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604520</wp:posOffset>
            </wp:positionV>
            <wp:extent cx="191770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5">
                      <a:extLst>
                        <a:ext uri="{28A0092B-C50C-407E-A947-70E740481C1C}"/>
                      </a:extLst>
                    </a:blip>
                    <a:srcRect/>
                    <a:stretch>
                      <a:fillRect/>
                    </a:stretch>
                  </pic:blipFill>
                  <pic:spPr bwMode="auto">
                    <a:xfrm>
                      <a:off x="0" y="0"/>
                      <a:ext cx="19177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Name:</w:t>
      </w:r>
    </w:p>
    <w:p>
      <w:pPr>
        <w:spacing w:after="0" w:line="1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Title:</w:t>
      </w: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604520</wp:posOffset>
            </wp:positionV>
            <wp:extent cx="191770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6">
                      <a:extLst>
                        <a:ext uri="{28A0092B-C50C-407E-A947-70E740481C1C}"/>
                      </a:extLst>
                    </a:blip>
                    <a:srcRect/>
                    <a:stretch>
                      <a:fillRect/>
                    </a:stretch>
                  </pic:blipFill>
                  <pic:spPr bwMode="auto">
                    <a:xfrm>
                      <a:off x="0" y="0"/>
                      <a:ext cx="19177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[Name]</w:t>
      </w:r>
    </w:p>
    <w:p>
      <w:pPr>
        <w:spacing w:after="0" w:line="20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age to</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G</w:t>
      </w:r>
      <w:r>
        <w:rPr>
          <w:rFonts w:ascii="Times New Roman" w:cs="Times New Roman" w:eastAsia="Times New Roman" w:hAnsi="Times New Roman"/>
          <w:sz w:val="14"/>
          <w:szCs w:val="14"/>
          <w:color w:val="auto"/>
        </w:rPr>
        <w:t>rant</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4"/>
          <w:szCs w:val="14"/>
          <w:color w:val="auto"/>
        </w:rPr>
        <w:t>otice for</w:t>
      </w:r>
    </w:p>
    <w:p>
      <w:pPr>
        <w:jc w:val="center"/>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estricted</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4"/>
          <w:szCs w:val="14"/>
          <w:color w:val="auto"/>
        </w:rPr>
        <w:t>tock</w:t>
      </w:r>
      <w:r>
        <w:rPr>
          <w:rFonts w:ascii="Times New Roman" w:cs="Times New Roman" w:eastAsia="Times New Roman" w:hAnsi="Times New Roman"/>
          <w:sz w:val="22"/>
          <w:szCs w:val="22"/>
          <w:color w:val="auto"/>
        </w:rPr>
        <w:t xml:space="preserve"> U</w:t>
      </w:r>
      <w:r>
        <w:rPr>
          <w:rFonts w:ascii="Times New Roman" w:cs="Times New Roman" w:eastAsia="Times New Roman" w:hAnsi="Times New Roman"/>
          <w:sz w:val="14"/>
          <w:szCs w:val="14"/>
          <w:color w:val="auto"/>
        </w:rPr>
        <w:t>nit</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462280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PETCO HEALTH AND WELLNESS COMPANY, INC.</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2021 EQUITY INCENTIVE PLAN</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STANDARD TERMS AND CONDITIONS FOR</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RESTRICTED STOCK UNITS</w:t>
      </w:r>
    </w:p>
    <w:p>
      <w:pPr>
        <w:spacing w:after="0" w:line="2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These Standard Terms and Conditions apply to the Award of Restricted Stock Units granted pursuant to the Petco Health and Wellness Company, Inc. 2021 Equity Incentive Plan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which are evidenced by a Grant Notice or an action of the Committee that specifically refers to these Standard Terms and Conditions. In addition to these Standard Terms and Conditions, the Restricted Stock Units shall be subject to the terms of the Plan, which are incorporated into these Standard Terms and Conditions by this reference. Capitalized terms not otherwise defined herein shall have the meaning set forth in the Plan.</w:t>
      </w:r>
    </w:p>
    <w:p>
      <w:pPr>
        <w:spacing w:after="0" w:line="151" w:lineRule="exact"/>
        <w:rPr>
          <w:sz w:val="20"/>
          <w:szCs w:val="20"/>
          <w:color w:val="auto"/>
        </w:rPr>
      </w:pPr>
    </w:p>
    <w:p>
      <w:pPr>
        <w:ind w:left="760" w:hanging="752"/>
        <w:spacing w:after="0"/>
        <w:tabs>
          <w:tab w:leader="none" w:pos="760" w:val="left"/>
        </w:tabs>
        <w:numPr>
          <w:ilvl w:val="0"/>
          <w:numId w:val="1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TERMS OF RESTRICTED STOCK UNITS</w:t>
      </w:r>
    </w:p>
    <w:p>
      <w:pPr>
        <w:spacing w:after="0" w:line="203"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20"/>
          <w:szCs w:val="20"/>
          <w:color w:val="auto"/>
        </w:rPr>
        <w:t>Petco Health and Wellness Company,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has granted to the Participant named in the Grant Notice provided to said Participant herewith (the “</w:t>
      </w:r>
      <w:r>
        <w:rPr>
          <w:rFonts w:ascii="Times New Roman" w:cs="Times New Roman" w:eastAsia="Times New Roman" w:hAnsi="Times New Roman"/>
          <w:sz w:val="20"/>
          <w:szCs w:val="20"/>
          <w:b w:val="1"/>
          <w:bCs w:val="1"/>
          <w:i w:val="1"/>
          <w:iCs w:val="1"/>
          <w:color w:val="auto"/>
        </w:rPr>
        <w:t>Grant Notice</w:t>
      </w:r>
      <w:r>
        <w:rPr>
          <w:rFonts w:ascii="Times New Roman" w:cs="Times New Roman" w:eastAsia="Times New Roman" w:hAnsi="Times New Roman"/>
          <w:sz w:val="20"/>
          <w:szCs w:val="20"/>
          <w:color w:val="auto"/>
        </w:rPr>
        <w:t>”) an award of Restricted Stock Units (the “</w:t>
      </w:r>
      <w:r>
        <w:rPr>
          <w:rFonts w:ascii="Times New Roman" w:cs="Times New Roman" w:eastAsia="Times New Roman" w:hAnsi="Times New Roman"/>
          <w:sz w:val="20"/>
          <w:szCs w:val="20"/>
          <w:b w:val="1"/>
          <w:bCs w:val="1"/>
          <w:i w:val="1"/>
          <w:iCs w:val="1"/>
          <w:color w:val="auto"/>
        </w:rPr>
        <w:t>Award</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i w:val="1"/>
          <w:iCs w:val="1"/>
          <w:color w:val="auto"/>
        </w:rPr>
        <w:t>RSUs</w:t>
      </w:r>
      <w:r>
        <w:rPr>
          <w:rFonts w:ascii="Times New Roman" w:cs="Times New Roman" w:eastAsia="Times New Roman" w:hAnsi="Times New Roman"/>
          <w:sz w:val="20"/>
          <w:szCs w:val="20"/>
          <w:color w:val="auto"/>
        </w:rPr>
        <w:t>”) specified in the Grant Notice, with each Restricted Stock Unit representing the right to receive one share of Common Stock. The Award is subject to the conditions set forth in the Grant Notice, these Standard Terms and Conditions and the Plan. For purposes of these Standard Terms and Conditions and the Grant Notice, any reference to the Company shall include a reference to any Subsidiary.</w:t>
      </w:r>
    </w:p>
    <w:p>
      <w:pPr>
        <w:spacing w:after="0" w:line="147" w:lineRule="exact"/>
        <w:rPr>
          <w:sz w:val="20"/>
          <w:szCs w:val="20"/>
          <w:color w:val="auto"/>
        </w:rPr>
      </w:pPr>
    </w:p>
    <w:p>
      <w:pPr>
        <w:ind w:left="760" w:hanging="752"/>
        <w:spacing w:after="0"/>
        <w:tabs>
          <w:tab w:leader="none" w:pos="760" w:val="left"/>
        </w:tabs>
        <w:numPr>
          <w:ilvl w:val="0"/>
          <w:numId w:val="1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VESTING AND SETTLEMENT OF RESTRICTED STOCK UNITS</w:t>
      </w:r>
    </w:p>
    <w:p>
      <w:pPr>
        <w:spacing w:after="0" w:line="209" w:lineRule="exact"/>
        <w:rPr>
          <w:sz w:val="20"/>
          <w:szCs w:val="20"/>
          <w:color w:val="auto"/>
        </w:rPr>
      </w:pPr>
    </w:p>
    <w:p>
      <w:pPr>
        <w:jc w:val="both"/>
        <w:ind w:right="80" w:firstLine="749"/>
        <w:spacing w:after="0" w:line="264" w:lineRule="auto"/>
        <w:rPr>
          <w:sz w:val="20"/>
          <w:szCs w:val="20"/>
          <w:color w:val="auto"/>
        </w:rPr>
      </w:pPr>
      <w:r>
        <w:rPr>
          <w:rFonts w:ascii="Times New Roman" w:cs="Times New Roman" w:eastAsia="Times New Roman" w:hAnsi="Times New Roman"/>
          <w:sz w:val="20"/>
          <w:szCs w:val="20"/>
          <w:color w:val="auto"/>
        </w:rPr>
        <w:t>(a)The Award shall not be vested as of the Grant Date set forth in the Grant Notice and shall be forfeitable unless and until otherwise vested pursuant to the terms of the Grant Notice and these Standard Terms and Conditions. After the Grant Date, subject to termination or acceleration as provided in these Standard Terms and Conditions and the Plan, the Award shall become vested as described in the Grant Notice with respect to that number of Restricted Stock Units as set forth in the Grant Notice. Restricted Stock Units that have vested and are no longer subject to forfeiture are referred to herein as “</w:t>
      </w:r>
      <w:r>
        <w:rPr>
          <w:rFonts w:ascii="Times New Roman" w:cs="Times New Roman" w:eastAsia="Times New Roman" w:hAnsi="Times New Roman"/>
          <w:sz w:val="20"/>
          <w:szCs w:val="20"/>
          <w:b w:val="1"/>
          <w:bCs w:val="1"/>
          <w:i w:val="1"/>
          <w:iCs w:val="1"/>
          <w:color w:val="auto"/>
        </w:rPr>
        <w:t>Vested RSUs</w:t>
      </w:r>
      <w:r>
        <w:rPr>
          <w:rFonts w:ascii="Times New Roman" w:cs="Times New Roman" w:eastAsia="Times New Roman" w:hAnsi="Times New Roman"/>
          <w:sz w:val="20"/>
          <w:szCs w:val="20"/>
          <w:color w:val="auto"/>
        </w:rPr>
        <w:t>.” Restricted Stock Units awarded hereunder that are not vested and remain subject to forfeiture are referred to herein as “</w:t>
      </w:r>
      <w:r>
        <w:rPr>
          <w:rFonts w:ascii="Times New Roman" w:cs="Times New Roman" w:eastAsia="Times New Roman" w:hAnsi="Times New Roman"/>
          <w:sz w:val="20"/>
          <w:szCs w:val="20"/>
          <w:b w:val="1"/>
          <w:bCs w:val="1"/>
          <w:i w:val="1"/>
          <w:iCs w:val="1"/>
          <w:color w:val="auto"/>
        </w:rPr>
        <w:t>Unvested RSUs</w:t>
      </w:r>
      <w:r>
        <w:rPr>
          <w:rFonts w:ascii="Times New Roman" w:cs="Times New Roman" w:eastAsia="Times New Roman" w:hAnsi="Times New Roman"/>
          <w:sz w:val="20"/>
          <w:szCs w:val="20"/>
          <w:color w:val="auto"/>
        </w:rPr>
        <w:t>.”</w:t>
      </w:r>
    </w:p>
    <w:p>
      <w:pPr>
        <w:spacing w:after="0" w:line="154" w:lineRule="exact"/>
        <w:rPr>
          <w:sz w:val="20"/>
          <w:szCs w:val="20"/>
          <w:color w:val="auto"/>
        </w:rPr>
      </w:pPr>
    </w:p>
    <w:p>
      <w:pPr>
        <w:jc w:val="both"/>
        <w:ind w:right="80" w:firstLine="749"/>
        <w:spacing w:after="0" w:line="244" w:lineRule="auto"/>
        <w:rPr>
          <w:sz w:val="20"/>
          <w:szCs w:val="20"/>
          <w:color w:val="auto"/>
        </w:rPr>
      </w:pPr>
      <w:r>
        <w:rPr>
          <w:rFonts w:ascii="Times New Roman" w:cs="Times New Roman" w:eastAsia="Times New Roman" w:hAnsi="Times New Roman"/>
          <w:sz w:val="22"/>
          <w:szCs w:val="22"/>
          <w:color w:val="auto"/>
        </w:rPr>
        <w:t xml:space="preserve">(b)As soon as administratively practicable following the vesting of the RSUs pursuant to the Grant Notice and this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but in no event later than 30 days after each vesting date, the Company shall deliver to the Participant a number of shares of Common Stock equal to the number of RSUs that vested on such date.</w:t>
      </w:r>
    </w:p>
    <w:p>
      <w:pPr>
        <w:spacing w:after="0" w:line="172" w:lineRule="exact"/>
        <w:rPr>
          <w:sz w:val="20"/>
          <w:szCs w:val="20"/>
          <w:color w:val="auto"/>
        </w:rPr>
      </w:pPr>
    </w:p>
    <w:p>
      <w:pPr>
        <w:jc w:val="both"/>
        <w:ind w:right="80" w:firstLine="749"/>
        <w:spacing w:after="0" w:line="244" w:lineRule="auto"/>
        <w:rPr>
          <w:sz w:val="20"/>
          <w:szCs w:val="20"/>
          <w:color w:val="auto"/>
        </w:rPr>
      </w:pPr>
      <w:r>
        <w:rPr>
          <w:rFonts w:ascii="Times New Roman" w:cs="Times New Roman" w:eastAsia="Times New Roman" w:hAnsi="Times New Roman"/>
          <w:sz w:val="22"/>
          <w:szCs w:val="22"/>
          <w:color w:val="auto"/>
        </w:rPr>
        <w:t>(c)If the Participant’s Termination of Employment is as a result of the Participant’s death or Disability, subject to the Participant’s (or the Participant’s personal representative’s) execution and nonrevocation of a general release of claims in a form provided by the Company, all then Unvested RSUs shall become Vested RSUs.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A</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tandard</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erms and</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onditions for</w:t>
      </w:r>
    </w:p>
    <w:p>
      <w:pPr>
        <w:jc w:val="center"/>
        <w:ind w:right="-19"/>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estricted</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4"/>
          <w:szCs w:val="14"/>
          <w:color w:val="auto"/>
        </w:rPr>
        <w:t>tock</w:t>
      </w:r>
      <w:r>
        <w:rPr>
          <w:rFonts w:ascii="Times New Roman" w:cs="Times New Roman" w:eastAsia="Times New Roman" w:hAnsi="Times New Roman"/>
          <w:sz w:val="22"/>
          <w:szCs w:val="22"/>
          <w:color w:val="auto"/>
        </w:rPr>
        <w:t xml:space="preserve"> U</w:t>
      </w:r>
      <w:r>
        <w:rPr>
          <w:rFonts w:ascii="Times New Roman" w:cs="Times New Roman" w:eastAsia="Times New Roman" w:hAnsi="Times New Roman"/>
          <w:sz w:val="14"/>
          <w:szCs w:val="14"/>
          <w:color w:val="auto"/>
        </w:rPr>
        <w:t>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462280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91" w:name="page92"/>
    <w:bookmarkEnd w:id="91"/>
    <w:p>
      <w:pPr>
        <w:spacing w:after="0" w:line="183" w:lineRule="exact"/>
        <w:rPr>
          <w:sz w:val="20"/>
          <w:szCs w:val="20"/>
          <w:color w:val="auto"/>
        </w:rPr>
      </w:pPr>
    </w:p>
    <w:p>
      <w:pPr>
        <w:jc w:val="both"/>
        <w:ind w:right="80" w:firstLine="749"/>
        <w:spacing w:after="0" w:line="234" w:lineRule="auto"/>
        <w:rPr>
          <w:sz w:val="20"/>
          <w:szCs w:val="20"/>
          <w:color w:val="auto"/>
        </w:rPr>
      </w:pPr>
      <w:r>
        <w:rPr>
          <w:rFonts w:ascii="Times New Roman" w:cs="Times New Roman" w:eastAsia="Times New Roman" w:hAnsi="Times New Roman"/>
          <w:sz w:val="22"/>
          <w:szCs w:val="22"/>
          <w:color w:val="auto"/>
        </w:rPr>
        <w:t>(d)If the Participant’s Termination of Employment is as a result of the Participant’s Retirement (as defined below), subject to the Participant’s execution and nonrevocation of a general release of claims in a form provided by the Company, (i) if the Termination Date is prior to the first anniversary of the Grant Date, (A) a pro-rated portion of the Unvested RSUs shall become Vested RSUs calculated by multiplying (I) the number of Unvested RSUs by (II) a fraction, the numerator of which is the number of days between the Grant Date and the Termination Date and the denominator of which is the number of days between the Grant Date and the first anniversary of the Grant Date and (B) any then Unvested RSUs, after giving effect to the foregoing clause (A) shall be forfeited and canceled as of the Termination Date, and (ii) if the Termination Date is on or following the first anniversary of the Grant Date, any then Unvested RSUs shall become Vested RSUs.</w:t>
      </w:r>
    </w:p>
    <w:p>
      <w:pPr>
        <w:spacing w:after="0" w:line="184" w:lineRule="exact"/>
        <w:rPr>
          <w:sz w:val="20"/>
          <w:szCs w:val="20"/>
          <w:color w:val="auto"/>
        </w:rPr>
      </w:pPr>
    </w:p>
    <w:p>
      <w:pPr>
        <w:jc w:val="both"/>
        <w:ind w:right="80" w:firstLine="749"/>
        <w:spacing w:after="0" w:line="244" w:lineRule="auto"/>
        <w:rPr>
          <w:sz w:val="20"/>
          <w:szCs w:val="20"/>
          <w:color w:val="auto"/>
        </w:rPr>
      </w:pPr>
      <w:r>
        <w:rPr>
          <w:rFonts w:ascii="Times New Roman" w:cs="Times New Roman" w:eastAsia="Times New Roman" w:hAnsi="Times New Roman"/>
          <w:sz w:val="22"/>
          <w:szCs w:val="22"/>
          <w:color w:val="auto"/>
        </w:rPr>
        <w:t>(e)If the Participant’s Termination of Employment is as a result of an Involuntary Termination (as defined below) on or within 24-months following a Change in Control, subject to the Participant’s execution and nonrevocation of a general release of claims in a form provided by the Company, any then Unvested RSUs shall become Vested RSUs.</w:t>
      </w:r>
    </w:p>
    <w:p>
      <w:pPr>
        <w:spacing w:after="0" w:line="172" w:lineRule="exact"/>
        <w:rPr>
          <w:sz w:val="20"/>
          <w:szCs w:val="20"/>
          <w:color w:val="auto"/>
        </w:rPr>
      </w:pPr>
    </w:p>
    <w:p>
      <w:pPr>
        <w:ind w:right="80" w:firstLine="756"/>
        <w:spacing w:after="0" w:line="258" w:lineRule="auto"/>
        <w:tabs>
          <w:tab w:leader="none" w:pos="1016"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Participant’s Termination of Employment for any other reason not set forth in </w:t>
      </w:r>
      <w:r>
        <w:rPr>
          <w:rFonts w:ascii="Times New Roman" w:cs="Times New Roman" w:eastAsia="Times New Roman" w:hAnsi="Times New Roman"/>
          <w:sz w:val="22"/>
          <w:szCs w:val="22"/>
          <w:u w:val="single" w:color="auto"/>
          <w:color w:val="auto"/>
        </w:rPr>
        <w:t>Section 2(c)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2(d)</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2(e)</w:t>
      </w:r>
      <w:r>
        <w:rPr>
          <w:rFonts w:ascii="Times New Roman" w:cs="Times New Roman" w:eastAsia="Times New Roman" w:hAnsi="Times New Roman"/>
          <w:sz w:val="22"/>
          <w:szCs w:val="22"/>
          <w:color w:val="auto"/>
        </w:rPr>
        <w:t xml:space="preserve"> any then Unvested RSUs held by the Participant shall be forfeited and canceled as of the Termination Date.</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(g)As used in this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w:t>
      </w:r>
    </w:p>
    <w:p>
      <w:pPr>
        <w:spacing w:after="0" w:line="199" w:lineRule="exact"/>
        <w:rPr>
          <w:sz w:val="20"/>
          <w:szCs w:val="20"/>
          <w:color w:val="auto"/>
        </w:rPr>
      </w:pPr>
    </w:p>
    <w:p>
      <w:pPr>
        <w:jc w:val="both"/>
        <w:ind w:firstLine="1505"/>
        <w:spacing w:after="0" w:line="234" w:lineRule="auto"/>
        <w:tabs>
          <w:tab w:leader="none" w:pos="2037"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Good Reason</w:t>
      </w:r>
      <w:r>
        <w:rPr>
          <w:rFonts w:ascii="Times New Roman" w:cs="Times New Roman" w:eastAsia="Times New Roman" w:hAnsi="Times New Roman"/>
          <w:sz w:val="22"/>
          <w:szCs w:val="22"/>
          <w:color w:val="auto"/>
        </w:rPr>
        <w:t>” has the meaning set forth in the written employment, offer, services or severance agreement or letter between the Participant and the Company or an Affiliate, or if there is no such agreement or no such term is defined in such agreement, means, without the Participant’s consent: (A) a material diminution in the Participant’s authority, duties or responsibilities with the Company or an Affiliate; (B) a material diminution in the Participant’s base salary; (C) a relocation of the Participant’s principal place of employment by more than 50 miles; or (D) a material breach by the Company of any of its obligations under these Standard Terms and Conditions. Notwithstanding the foregoing, any assertion by the Participant of a termination for Good Reason shall not be effective unless (1) the Participant provides written notice to the Company of the existence of one or more of the foregoing conditions within 30 days after the initial occurrence of such condition(s); (2) the condition(s) specified in such notice must remain uncorrected for 30 days following the Company’s receipt of such written notice; and (3) the date of the termination of the Participant’s employment must occur within 90 days after the initial occurrence of the condition(s) specified in such notice.</w:t>
      </w:r>
    </w:p>
    <w:p>
      <w:pPr>
        <w:spacing w:after="0" w:line="172" w:lineRule="exact"/>
        <w:rPr>
          <w:rFonts w:ascii="Times New Roman" w:cs="Times New Roman" w:eastAsia="Times New Roman" w:hAnsi="Times New Roman"/>
          <w:sz w:val="22"/>
          <w:szCs w:val="22"/>
          <w:color w:val="auto"/>
        </w:rPr>
      </w:pPr>
    </w:p>
    <w:p>
      <w:pPr>
        <w:ind w:firstLine="1505"/>
        <w:spacing w:after="0" w:line="263" w:lineRule="auto"/>
        <w:tabs>
          <w:tab w:leader="none" w:pos="2037"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Involuntary Termination</w:t>
      </w:r>
      <w:r>
        <w:rPr>
          <w:rFonts w:ascii="Times New Roman" w:cs="Times New Roman" w:eastAsia="Times New Roman" w:hAnsi="Times New Roman"/>
          <w:sz w:val="22"/>
          <w:szCs w:val="22"/>
          <w:color w:val="auto"/>
        </w:rPr>
        <w:t>” means a Termination of Employment by the Company without Cause (and not as a result of death or Disability) or by the Participant for Good Reason.</w:t>
      </w:r>
    </w:p>
    <w:p>
      <w:pPr>
        <w:spacing w:after="0" w:line="146" w:lineRule="exact"/>
        <w:rPr>
          <w:rFonts w:ascii="Times New Roman" w:cs="Times New Roman" w:eastAsia="Times New Roman" w:hAnsi="Times New Roman"/>
          <w:sz w:val="22"/>
          <w:szCs w:val="22"/>
          <w:color w:val="auto"/>
        </w:rPr>
      </w:pPr>
    </w:p>
    <w:p>
      <w:pPr>
        <w:ind w:firstLine="1505"/>
        <w:spacing w:after="0" w:line="263" w:lineRule="auto"/>
        <w:tabs>
          <w:tab w:leader="none" w:pos="2037"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Retirement</w:t>
      </w:r>
      <w:r>
        <w:rPr>
          <w:rFonts w:ascii="Times New Roman" w:cs="Times New Roman" w:eastAsia="Times New Roman" w:hAnsi="Times New Roman"/>
          <w:sz w:val="22"/>
          <w:szCs w:val="22"/>
          <w:color w:val="auto"/>
        </w:rPr>
        <w:t>” means a Termination of Employment by the Participant upon achieving (A) 55 or more years of age and (B) 10 or more consecutive years of service with the Company and its Affiliates.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177" w:lineRule="exact"/>
        <w:rPr>
          <w:sz w:val="20"/>
          <w:szCs w:val="20"/>
          <w:color w:val="auto"/>
        </w:rPr>
      </w:pPr>
    </w:p>
    <w:p>
      <w:pPr>
        <w:ind w:left="2040" w:hanging="535"/>
        <w:spacing w:after="0"/>
        <w:tabs>
          <w:tab w:leader="none" w:pos="2040" w:val="left"/>
        </w:tabs>
        <w:numPr>
          <w:ilvl w:val="1"/>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Termination Date</w:t>
      </w:r>
      <w:r>
        <w:rPr>
          <w:rFonts w:ascii="Times New Roman" w:cs="Times New Roman" w:eastAsia="Times New Roman" w:hAnsi="Times New Roman"/>
          <w:sz w:val="22"/>
          <w:szCs w:val="22"/>
          <w:color w:val="auto"/>
        </w:rPr>
        <w:t>” means the date of the Participant’s Termination of Employment.</w:t>
      </w:r>
    </w:p>
    <w:p>
      <w:pPr>
        <w:spacing w:after="0" w:line="207" w:lineRule="exact"/>
        <w:rPr>
          <w:rFonts w:ascii="Times New Roman" w:cs="Times New Roman" w:eastAsia="Times New Roman" w:hAnsi="Times New Roman"/>
          <w:sz w:val="22"/>
          <w:szCs w:val="22"/>
          <w:color w:val="auto"/>
        </w:rPr>
      </w:pPr>
    </w:p>
    <w:p>
      <w:pPr>
        <w:ind w:left="760" w:hanging="752"/>
        <w:spacing w:after="0"/>
        <w:tabs>
          <w:tab w:leader="none" w:pos="760" w:val="left"/>
        </w:tabs>
        <w:numPr>
          <w:ilvl w:val="0"/>
          <w:numId w:val="1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RIGHTS AS STOCKHOLDER; DIVIDEND EQUIVALENTS</w:t>
      </w:r>
    </w:p>
    <w:p>
      <w:pPr>
        <w:spacing w:after="0" w:line="209" w:lineRule="exact"/>
        <w:rPr>
          <w:rFonts w:ascii="Times New Roman" w:cs="Times New Roman" w:eastAsia="Times New Roman" w:hAnsi="Times New Roman"/>
          <w:sz w:val="22"/>
          <w:szCs w:val="22"/>
          <w:b w:val="1"/>
          <w:bCs w:val="1"/>
          <w:color w:val="auto"/>
        </w:rPr>
      </w:pPr>
    </w:p>
    <w:p>
      <w:pPr>
        <w:ind w:left="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(h)Participant shall not be, nor have any of the rights or privileges of, a stockholder of the Company in respect of any</w:t>
      </w:r>
    </w:p>
    <w:p>
      <w:pPr>
        <w:spacing w:after="0" w:line="1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color w:val="auto"/>
        </w:rPr>
        <w:t>RSUs unless and until shares of Common Stock settled for such RSUs shall have been issued by the Company to Participant (as evidenced by the appropriate entry on the books of the Company or of a duly authorized transfer agent of the Company).</w:t>
      </w:r>
    </w:p>
    <w:p>
      <w:pPr>
        <w:spacing w:after="0" w:line="178" w:lineRule="exact"/>
        <w:rPr>
          <w:sz w:val="20"/>
          <w:szCs w:val="20"/>
          <w:color w:val="auto"/>
        </w:rPr>
      </w:pPr>
    </w:p>
    <w:p>
      <w:pPr>
        <w:jc w:val="both"/>
        <w:ind w:firstLine="756"/>
        <w:spacing w:after="0" w:line="234" w:lineRule="auto"/>
        <w:tabs>
          <w:tab w:leader="none" w:pos="1016"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from and after the Grant Date and until the earlier of (i) the Participant’s receipt of Common Stock upon payment of RSUs and (ii) the time when the Participant’s right to receive Common Stock upon payment of RSUs is forfeited, on the date that the Company pays a cash dividend (if any) to holders of Common Stock generally, the Participant shall be entitled, as a Dividend Equivalent, to a number of additional whole RSUs determined by dividing (i) the product of (A) the dollar amount of the cash dividend paid per share of Common Stock on such date and (B) the total number of RSUs (including dividend equivalents paid thereon) previously credited to the Participant as of such date, by (ii) the Fair Market Value per share of Common Stock on such date. Such Dividend Equivalents (if any) shall be subject to the same terms and conditions and shall be settled or forfeited in the same manner and at the same time as the RSUs to which the Dividend Equivalents were credited.</w:t>
      </w:r>
    </w:p>
    <w:p>
      <w:pPr>
        <w:spacing w:after="0" w:line="176" w:lineRule="exact"/>
        <w:rPr>
          <w:rFonts w:ascii="Times New Roman" w:cs="Times New Roman" w:eastAsia="Times New Roman" w:hAnsi="Times New Roman"/>
          <w:sz w:val="22"/>
          <w:szCs w:val="22"/>
          <w:color w:val="auto"/>
        </w:rPr>
      </w:pPr>
    </w:p>
    <w:p>
      <w:pPr>
        <w:ind w:left="760" w:hanging="752"/>
        <w:spacing w:after="0"/>
        <w:tabs>
          <w:tab w:leader="none" w:pos="760" w:val="left"/>
        </w:tabs>
        <w:numPr>
          <w:ilvl w:val="0"/>
          <w:numId w:val="1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RESTRICTIONS ON RESALES OF SHARES</w:t>
      </w:r>
    </w:p>
    <w:p>
      <w:pPr>
        <w:spacing w:after="0" w:line="20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The Company may impose such restrictions, conditions or limitations as it determines appropriate as to the timing and manner of any resales by the Participant or other subsequent transfers by the Participant of any shares of Common Stock issued pursuant to Vested RSUs, including (a) restrictions under an insider trading policy, (b) restrictions designed to delay and/or coordinate the timing and manner of sales by Participant and other holders and (c) restrictions as to the use of a specified brokerage firm for such resales or other transfers.</w:t>
      </w:r>
    </w:p>
    <w:p>
      <w:pPr>
        <w:spacing w:after="0" w:line="176" w:lineRule="exact"/>
        <w:rPr>
          <w:sz w:val="20"/>
          <w:szCs w:val="20"/>
          <w:color w:val="auto"/>
        </w:rPr>
      </w:pPr>
    </w:p>
    <w:p>
      <w:pPr>
        <w:ind w:left="760" w:hanging="752"/>
        <w:spacing w:after="0"/>
        <w:tabs>
          <w:tab w:leader="none" w:pos="760" w:val="left"/>
        </w:tabs>
        <w:numPr>
          <w:ilvl w:val="0"/>
          <w:numId w:val="1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INCOME TAXES</w:t>
      </w:r>
    </w:p>
    <w:p>
      <w:pPr>
        <w:spacing w:after="0" w:line="20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To the extent required by applicable federal, state, local or foreign law, the Participant shall make arrangements satisfactory to the Company for the satisfaction of any withholding tax obligations that arise by reason of the grant or vesting of the RSUs. The Company shall not be required to issue shares or to recognize the disposition of such shares until such obligations are satisfied.</w:t>
      </w:r>
    </w:p>
    <w:p>
      <w:pPr>
        <w:spacing w:after="0" w:line="135" w:lineRule="exact"/>
        <w:rPr>
          <w:sz w:val="20"/>
          <w:szCs w:val="20"/>
          <w:color w:val="auto"/>
        </w:rPr>
      </w:pPr>
    </w:p>
    <w:p>
      <w:pPr>
        <w:ind w:left="760" w:hanging="752"/>
        <w:spacing w:after="0"/>
        <w:tabs>
          <w:tab w:leader="none" w:pos="760" w:val="left"/>
        </w:tabs>
        <w:numPr>
          <w:ilvl w:val="0"/>
          <w:numId w:val="1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NONTRANSFERABILITY­ OF AWARD</w:t>
      </w:r>
    </w:p>
    <w:p>
      <w:pPr>
        <w:spacing w:after="0" w:line="20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Participant understands, acknowledges and agrees that, except as otherwise provided in the Plan or as permitted by the Committee, the Award may not be sold, assigned, transferred, pledged or otherwise directly or indirectly encumbered or disposed of other than by will or the laws of descent and distribution. Notwithstanding the foregoing, (a) the Participant shall be permitted to transfer the Award as a gift to an Assignee Entity in accordance with and subject to the limits of Section 17 of the Plan and (b) if not previously so transferred, any shares of Common Stock that become issuable hereunder but which otherwise remain unissued at the time of the Participant’s death shall be transferred to the Participant’s designated beneficiary or, if none, to the</w:t>
      </w:r>
    </w:p>
    <w:p>
      <w:pPr>
        <w:spacing w:after="0" w:line="200" w:lineRule="exact"/>
        <w:rPr>
          <w:sz w:val="20"/>
          <w:szCs w:val="20"/>
          <w:color w:val="auto"/>
        </w:rPr>
      </w:pPr>
    </w:p>
    <w:p>
      <w:pPr>
        <w:spacing w:after="0" w:line="38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93" w:name="page94"/>
    <w:bookmarkEnd w:id="93"/>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Participant’s estate.</w:t>
      </w:r>
    </w:p>
    <w:p>
      <w:pPr>
        <w:spacing w:after="0" w:line="201" w:lineRule="exact"/>
        <w:rPr>
          <w:sz w:val="20"/>
          <w:szCs w:val="20"/>
          <w:color w:val="auto"/>
        </w:rPr>
      </w:pPr>
    </w:p>
    <w:p>
      <w:pPr>
        <w:ind w:left="760" w:hanging="752"/>
        <w:spacing w:after="0"/>
        <w:tabs>
          <w:tab w:leader="none" w:pos="760" w:val="left"/>
        </w:tabs>
        <w:numPr>
          <w:ilvl w:val="0"/>
          <w:numId w:val="1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OTHER AGREEMENTS SUPERSEDED</w:t>
      </w:r>
    </w:p>
    <w:p>
      <w:pPr>
        <w:spacing w:after="0" w:line="20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The Grant Notice, these Standard Terms and Conditions, the Confidentiality and Inventions Agreement and the Plan constitute the entire understanding between the Participant and the Company regarding the Award. Any prior agreements, commitments or negotiations concerning the Award are superseded; provided, however, that the terms of the Confidentiality and Inventions Agreement are in addition to and complement (and do not replace or supersede) all other agreements and obligations between the Company and any of its affiliates and the Participant with respect to confidentiality and intellectual property.</w:t>
      </w:r>
    </w:p>
    <w:p>
      <w:pPr>
        <w:spacing w:after="0" w:line="176" w:lineRule="exact"/>
        <w:rPr>
          <w:sz w:val="20"/>
          <w:szCs w:val="20"/>
          <w:color w:val="auto"/>
        </w:rPr>
      </w:pPr>
    </w:p>
    <w:p>
      <w:pPr>
        <w:ind w:left="760" w:hanging="752"/>
        <w:spacing w:after="0"/>
        <w:tabs>
          <w:tab w:leader="none" w:pos="760" w:val="left"/>
        </w:tabs>
        <w:numPr>
          <w:ilvl w:val="0"/>
          <w:numId w:val="1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LIMITATION OF INTEREST IN SHARES SUBJECT TO RESTRICTED STOCK UNITS</w:t>
      </w:r>
    </w:p>
    <w:p>
      <w:pPr>
        <w:spacing w:after="0" w:line="20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Neither the Participant (individually or as a member of a group) nor any beneficiary or other person claiming under or through the Participant shall have any right, title, interest, or privilege in or to any shares of Common Stock allocated or reserved for the purpose of the Plan or subject to the Grant Notice or these Standard Terms and Conditions except as to such shares of Common Stock, if any, as shall have been issued to such person in connection with the Award. Nothing in the Plan, in the Grant Notice, these Standard Terms and Conditions or any other instrument executed pursuant to the Plan shall confer upon the Participant any right to continue in the Company’s employ or service nor limit in any way the Company’s right to terminate the Participant’s employment at any time for any reason.</w:t>
      </w:r>
    </w:p>
    <w:p>
      <w:pPr>
        <w:spacing w:after="0" w:line="177" w:lineRule="exact"/>
        <w:rPr>
          <w:sz w:val="20"/>
          <w:szCs w:val="20"/>
          <w:color w:val="auto"/>
        </w:rPr>
      </w:pPr>
    </w:p>
    <w:p>
      <w:pPr>
        <w:ind w:left="760" w:hanging="752"/>
        <w:spacing w:after="0"/>
        <w:tabs>
          <w:tab w:leader="none" w:pos="760" w:val="left"/>
        </w:tabs>
        <w:numPr>
          <w:ilvl w:val="0"/>
          <w:numId w:val="1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w:t>
      </w:r>
    </w:p>
    <w:p>
      <w:pPr>
        <w:spacing w:after="0" w:line="209" w:lineRule="exact"/>
        <w:rPr>
          <w:rFonts w:ascii="Times New Roman" w:cs="Times New Roman" w:eastAsia="Times New Roman" w:hAnsi="Times New Roman"/>
          <w:sz w:val="22"/>
          <w:szCs w:val="22"/>
          <w:b w:val="1"/>
          <w:bCs w:val="1"/>
          <w:color w:val="auto"/>
        </w:rPr>
      </w:pPr>
    </w:p>
    <w:p>
      <w:pPr>
        <w:jc w:val="both"/>
        <w:ind w:firstLine="756"/>
        <w:spacing w:after="0" w:line="271" w:lineRule="auto"/>
        <w:tabs>
          <w:tab w:leader="none" w:pos="1016" w:val="left"/>
        </w:tabs>
        <w:numPr>
          <w:ilvl w:val="1"/>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any provision of these Standard Terms and Conditions is declared to be illegal, invalid or otherwise unenforceable by a court of competent jurisdiction, such provision shall be reformed, if possible, to the extent necessary to render it legal, valid and enforceable, or otherwise deleted, and the remainder of these Standard Terms and Conditions shall not be affected except to the extent necessary to reform or delete such illegal, invalid or unenforceable provision.</w:t>
      </w:r>
    </w:p>
    <w:p>
      <w:pPr>
        <w:spacing w:after="0" w:line="148"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(k)The headings preceding the text of the sections hereof are inserted solely for convenience of reference, and shall not constitute a part of these Standard Terms and Conditions, nor shall they affect its meaning, construction or effect. Words in the masculine gender shall include the feminine gender, and where appropriate, the plural shall include the singular and the singular shall include the plural.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References herein to any agreement, instrument or other document means such agreement, instrument or other document as amended, supplemented and modified from time to time to the extent permitted by the provisions thereof and not prohibited by the Plan</w:t>
      </w:r>
    </w:p>
    <w:p>
      <w:pPr>
        <w:spacing w:after="0" w:line="200" w:lineRule="exact"/>
        <w:rPr>
          <w:sz w:val="20"/>
          <w:szCs w:val="20"/>
          <w:color w:val="auto"/>
        </w:rPr>
      </w:pPr>
    </w:p>
    <w:p>
      <w:pPr>
        <w:spacing w:after="0" w:line="38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94" w:name="page95"/>
    <w:bookmarkEnd w:id="94"/>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 these Standard Terms and Conditions.</w:t>
      </w:r>
    </w:p>
    <w:p>
      <w:pPr>
        <w:spacing w:after="0" w:line="205" w:lineRule="exact"/>
        <w:rPr>
          <w:sz w:val="20"/>
          <w:szCs w:val="20"/>
          <w:color w:val="auto"/>
        </w:rPr>
      </w:pPr>
    </w:p>
    <w:p>
      <w:pPr>
        <w:ind w:firstLine="756"/>
        <w:spacing w:after="0" w:line="258" w:lineRule="auto"/>
        <w:tabs>
          <w:tab w:leader="none" w:pos="1016"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These Standard Terms and Conditions shall inure to the benefit of and be binding upon the parties hereto and their respective permitted heirs, beneficiaries, successors and assigns.</w:t>
      </w:r>
    </w:p>
    <w:p>
      <w:pPr>
        <w:spacing w:after="0" w:line="15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(m)These Standard Terms and Conditions shall be construed in accordance with and governed by the laws of the State of Delaware, without regard to principles of conflicts of law.</w:t>
      </w:r>
    </w:p>
    <w:p>
      <w:pPr>
        <w:spacing w:after="0" w:line="15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(n)In the event of any conflict between the Grant Notice, these Standard Terms and Conditions and the Plan, the Grant Notice and these Standard Terms and Conditions shall control. In the event of any conflict between the Grant Notice and these Standard Terms and Conditions, the Grant Notice shall control.</w:t>
      </w:r>
    </w:p>
    <w:p>
      <w:pPr>
        <w:spacing w:after="0" w:line="17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(o)All questions arising under the Plan or under these Standard Terms and Conditions shall be decided by the Committee in its total and absolute discretion.</w:t>
      </w:r>
    </w:p>
    <w:p>
      <w:pPr>
        <w:spacing w:after="0" w:line="153" w:lineRule="exact"/>
        <w:rPr>
          <w:sz w:val="20"/>
          <w:szCs w:val="20"/>
          <w:color w:val="auto"/>
        </w:rPr>
      </w:pPr>
    </w:p>
    <w:p>
      <w:pPr>
        <w:ind w:left="760" w:hanging="752"/>
        <w:spacing w:after="0"/>
        <w:tabs>
          <w:tab w:leader="none" w:pos="760" w:val="left"/>
        </w:tabs>
        <w:numPr>
          <w:ilvl w:val="0"/>
          <w:numId w:val="1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CLAWBACK</w:t>
      </w:r>
    </w:p>
    <w:p>
      <w:pPr>
        <w:spacing w:after="0" w:line="20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The RSUs and any shares of Common Stock received upon settlement of the RSUs will be subject to recoupment in accordance with any clawback policy adopted by the Company. No recovery of compensation under such a clawback policy will be an event giving rise to a right to resign for “good reason” or “constructive termination” (or similar term) under any agreement with the Company. By accepting the RSUs, the Participant is agreeing to be bound by any such clawback policy, as in effect or as may be adopted and/or modified from time to time by the Company in its discretion.</w:t>
      </w:r>
    </w:p>
    <w:p>
      <w:pPr>
        <w:spacing w:after="0" w:line="176" w:lineRule="exact"/>
        <w:rPr>
          <w:sz w:val="20"/>
          <w:szCs w:val="20"/>
          <w:color w:val="auto"/>
        </w:rPr>
      </w:pPr>
    </w:p>
    <w:p>
      <w:pPr>
        <w:ind w:left="760" w:hanging="752"/>
        <w:spacing w:after="0"/>
        <w:tabs>
          <w:tab w:leader="none" w:pos="760" w:val="left"/>
        </w:tabs>
        <w:numPr>
          <w:ilvl w:val="0"/>
          <w:numId w:val="1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ELECTRONIC DELIVERY</w:t>
      </w:r>
    </w:p>
    <w:p>
      <w:pPr>
        <w:spacing w:after="0" w:line="20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By executing the Grant Notice, the Participant hereby consents to the delivery of information (including, without limitation, information required to be delivered to the Participant pursuant to applicable securities laws) regarding the Company and the Subsidiaries, the Plan, and the Restricted Stock Units via Company web site or other electronic delivery.</w:t>
      </w:r>
    </w:p>
    <w:p>
      <w:pPr>
        <w:spacing w:after="0" w:line="200" w:lineRule="exact"/>
        <w:rPr>
          <w:sz w:val="20"/>
          <w:szCs w:val="20"/>
          <w:color w:val="auto"/>
        </w:rPr>
      </w:pPr>
    </w:p>
    <w:p>
      <w:pPr>
        <w:spacing w:after="0" w:line="3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CONFIDENTIALITY AND INVENTIONS AGREEMENT</w:t>
      </w:r>
    </w:p>
    <w:p>
      <w:pPr>
        <w:spacing w:after="0" w:line="20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As a condition to the receipt of the Award granted pursuant to the Grant Notice to which this Confidentiality and Inventions Agreement is attached and in consideration of the Participant’s continued employment with the Company, the Participant hereby confirms the Participant’s agreement as follows:</w:t>
      </w:r>
    </w:p>
    <w:p>
      <w:pPr>
        <w:spacing w:after="0" w:line="168" w:lineRule="exact"/>
        <w:rPr>
          <w:sz w:val="20"/>
          <w:szCs w:val="20"/>
          <w:color w:val="auto"/>
        </w:rPr>
      </w:pPr>
    </w:p>
    <w:p>
      <w:pPr>
        <w:ind w:left="520" w:hanging="512"/>
        <w:spacing w:after="0"/>
        <w:tabs>
          <w:tab w:leader="none" w:pos="520" w:val="left"/>
        </w:tabs>
        <w:numPr>
          <w:ilvl w:val="0"/>
          <w:numId w:val="1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w:t>
      </w:r>
    </w:p>
    <w:p>
      <w:pPr>
        <w:spacing w:after="0" w:line="20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0"/>
          <w:szCs w:val="20"/>
          <w:color w:val="auto"/>
        </w:rPr>
        <w:t>The Participant’s employment by the Company is in a capacity in which he or she may have access to, or contribute to the production of, Confidential Information and the Company Work Product (both as defined below). The Participant’s employment creates a relationship of confidence and trust between the Company and the Participant with respect to the Confidential Information and the Company Work Product as set forth herein. This Confidentiality and Inventions Agreement are subject to the terms of the Standard Terms and Conditions attached as Exhibit A to the Grant Notice to which this Confidentiality and Inventions Agreement is attached; provided however, that in the event of any conflict between the Standard Terms and Conditions and this Confidentiality and Inventions Agreement, this Confidentiality and Inventions Agreement shall control.</w:t>
      </w:r>
    </w:p>
    <w:p>
      <w:pPr>
        <w:spacing w:after="0" w:line="153" w:lineRule="exact"/>
        <w:rPr>
          <w:sz w:val="20"/>
          <w:szCs w:val="20"/>
          <w:color w:val="auto"/>
        </w:rPr>
      </w:pPr>
    </w:p>
    <w:p>
      <w:pPr>
        <w:ind w:left="520" w:hanging="512"/>
        <w:spacing w:after="0"/>
        <w:tabs>
          <w:tab w:leader="none" w:pos="520" w:val="left"/>
        </w:tabs>
        <w:numPr>
          <w:ilvl w:val="0"/>
          <w:numId w:val="1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Capitalized terms not otherwise defined herein shall have the meaning set forth in the Petco Health and Wellness Company, Inc.</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2021 Equity Incentive Plan, as amended from time to time. For purposes of this Confidentiality and Inventions Agreement:</w:t>
      </w:r>
    </w:p>
    <w:p>
      <w:pPr>
        <w:spacing w:after="0" w:line="175" w:lineRule="exact"/>
        <w:rPr>
          <w:sz w:val="20"/>
          <w:szCs w:val="20"/>
          <w:color w:val="auto"/>
        </w:rPr>
      </w:pPr>
    </w:p>
    <w:p>
      <w:pPr>
        <w:jc w:val="both"/>
        <w:ind w:right="80" w:firstLine="749"/>
        <w:spacing w:after="0" w:line="257" w:lineRule="auto"/>
        <w:rPr>
          <w:sz w:val="20"/>
          <w:szCs w:val="20"/>
          <w:color w:val="auto"/>
        </w:rPr>
      </w:pPr>
      <w:r>
        <w:rPr>
          <w:rFonts w:ascii="Times New Roman" w:cs="Times New Roman" w:eastAsia="Times New Roman" w:hAnsi="Times New Roman"/>
          <w:sz w:val="20"/>
          <w:szCs w:val="20"/>
          <w:color w:val="auto"/>
        </w:rPr>
        <w:t>(p)“</w:t>
      </w:r>
      <w:r>
        <w:rPr>
          <w:rFonts w:ascii="Times New Roman" w:cs="Times New Roman" w:eastAsia="Times New Roman" w:hAnsi="Times New Roman"/>
          <w:sz w:val="20"/>
          <w:szCs w:val="20"/>
          <w:b w:val="1"/>
          <w:bCs w:val="1"/>
          <w:i w:val="1"/>
          <w:iCs w:val="1"/>
          <w:color w:val="auto"/>
        </w:rPr>
        <w:t>Confidential Information</w:t>
      </w:r>
      <w:r>
        <w:rPr>
          <w:rFonts w:ascii="Times New Roman" w:cs="Times New Roman" w:eastAsia="Times New Roman" w:hAnsi="Times New Roman"/>
          <w:sz w:val="20"/>
          <w:szCs w:val="20"/>
          <w:color w:val="auto"/>
        </w:rPr>
        <w:t>” shall mean information or material (i) that is proprietary to the Company or confidential to the Company, whether or not designated or labeled as such, and (ii) that the Participant creates, discovers or develops, or of which the Participant obtains knowledge of or access to, in the course of the Participant’s employment with the Company. Confidential Information may include, but is not limited to, designs, works of authorship, formulae, ideas, concepts, techniques, inventions, devices, improvements, know-how, methods, processes, drawings, specifications, models, data, diagrams, flow charts, research, procedures, computer programs, marketing techniques and materials, business, marketing, development and product plans, financial information, customer lists and contact information, personnel information, and other confidential business or technical information created on behalf of the Company or obtained as a result of or in the course of employment with the Company. For purposes of this Confidentiality and Inventions Agreement,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shall mean the Company or any of its Affiliates. To the extent that the participant can demonstrate by competent proof that one of the following exceptions applies, the Participant shall have no obligation under this Confidentiality and Inventions Agreement to maintain in confidence any: (I) INFORMATION THAT IS OR BECOMES GENERALLY PUBLICLY KNOWN OTHER THAN AS A RESULT OF THE PARTICIPANT’S DISCLOSURE IN VIOLATION OF THIS AGREEMENT, (II) INFORMATION THAT WAS KNOWN BY THE PARTICIPANT OR AVAILABLE TO THE PARTICIPANT WITHOUT RESTRICTION PRIOR TO DISCLOSURE TO THE PARTICIPANT BY THE COMPANY, (III) INFORMATION THAT BECOMES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B</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4"/>
          <w:szCs w:val="14"/>
          <w:color w:val="auto"/>
        </w:rPr>
        <w:t>onfidentiality and</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nventions</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462280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96" w:name="page97"/>
    <w:bookmarkEnd w:id="96"/>
    <w:p>
      <w:pPr>
        <w:spacing w:after="0" w:line="18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AVAILABLE TO THE PARTICIPANT ON A NON-CONFIDENTIAL BASIS FROM A THIRD PARTY THAT IS NOT SUBJECT TO CONFIDENTIALITY OBLIGATIONS IN FAVOR, OR THAT INURE TO THE BENEFIT, OF THE COMPANY, AND (IV) INFORMATION THAT WAS DEVELOPED INDEPENDENTLY BY OR FOR THE PARTICIPANT WITHOUT REFERENCE TO THE CONFIDENTIAL INFORMATION, USE OF COMPANY RESOURCES OR BREACH OF THIS AGREEMENT, INCLUDING, WITHOUT LIMITATION, THE “PRE-EMPLOYMENT WORK PRODUCT” (AS DEFINED BELOW).</w:t>
      </w:r>
    </w:p>
    <w:p>
      <w:pPr>
        <w:spacing w:after="0" w:line="173"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20"/>
          <w:szCs w:val="20"/>
          <w:color w:val="auto"/>
        </w:rPr>
        <w:t>(q)“</w:t>
      </w:r>
      <w:r>
        <w:rPr>
          <w:rFonts w:ascii="Times New Roman" w:cs="Times New Roman" w:eastAsia="Times New Roman" w:hAnsi="Times New Roman"/>
          <w:sz w:val="20"/>
          <w:szCs w:val="20"/>
          <w:b w:val="1"/>
          <w:bCs w:val="1"/>
          <w:i w:val="1"/>
          <w:iCs w:val="1"/>
          <w:color w:val="auto"/>
        </w:rPr>
        <w:t>Work Product</w:t>
      </w:r>
      <w:r>
        <w:rPr>
          <w:rFonts w:ascii="Times New Roman" w:cs="Times New Roman" w:eastAsia="Times New Roman" w:hAnsi="Times New Roman"/>
          <w:sz w:val="20"/>
          <w:szCs w:val="20"/>
          <w:color w:val="auto"/>
        </w:rPr>
        <w:t>” shall mean inventions, data, ideas, designs, drawings, works of authorship, trademarks, service marks, trade names, service names, logos, developments, formulae, concepts, techniques, devices, improvements, know-how, methods, processes, programs and discoveries, whether or not patentable or protectable under applicable copyright or trademark law, or under other similar law, and whether or not reduced to practice or tangible form, together with any improvements thereon or thereto, derivative works therefrom, and intellectual property rights therein created on behalf of the Company as part of the obligation of employment in performing work for the Company or otherwise in the course of employment with the Company.</w:t>
      </w:r>
    </w:p>
    <w:p>
      <w:pPr>
        <w:spacing w:after="0" w:line="150" w:lineRule="exact"/>
        <w:rPr>
          <w:sz w:val="20"/>
          <w:szCs w:val="20"/>
          <w:color w:val="auto"/>
        </w:rPr>
      </w:pPr>
    </w:p>
    <w:p>
      <w:pPr>
        <w:ind w:left="520" w:hanging="512"/>
        <w:spacing w:after="0"/>
        <w:tabs>
          <w:tab w:leader="none" w:pos="520" w:val="left"/>
        </w:tabs>
        <w:numPr>
          <w:ilvl w:val="0"/>
          <w:numId w:val="1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CONFIDENTIALITY</w:t>
      </w:r>
    </w:p>
    <w:p>
      <w:pPr>
        <w:spacing w:after="0" w:line="209" w:lineRule="exact"/>
        <w:rPr>
          <w:rFonts w:ascii="Times New Roman" w:cs="Times New Roman" w:eastAsia="Times New Roman" w:hAnsi="Times New Roman"/>
          <w:sz w:val="22"/>
          <w:szCs w:val="22"/>
          <w:b w:val="1"/>
          <w:bCs w:val="1"/>
          <w:color w:val="auto"/>
        </w:rPr>
      </w:pPr>
    </w:p>
    <w:p>
      <w:pPr>
        <w:jc w:val="both"/>
        <w:ind w:firstLine="756"/>
        <w:spacing w:after="0" w:line="233" w:lineRule="auto"/>
        <w:tabs>
          <w:tab w:leader="none" w:pos="1016"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of the Participant’s employment by the Company and at all times thereafter, The Participant will keep in strict confidence and trust all Confidential Information, and the Participant will not, directly or indirectly, disclose, distribute, sell, transfer, use, lecture upon or publish any Confidential Information, except as may be necessary in the course of performing the Participant’s duties as an employee of the Company or as the Company authorizes or permits. Notwithstanding the foregoing, the Participant shall be entitled to continue to use Confidential Information of the Company transferred to a purchaser (“</w:t>
      </w:r>
      <w:r>
        <w:rPr>
          <w:rFonts w:ascii="Times New Roman" w:cs="Times New Roman" w:eastAsia="Times New Roman" w:hAnsi="Times New Roman"/>
          <w:sz w:val="22"/>
          <w:szCs w:val="22"/>
          <w:b w:val="1"/>
          <w:bCs w:val="1"/>
          <w:i w:val="1"/>
          <w:iCs w:val="1"/>
          <w:color w:val="auto"/>
        </w:rPr>
        <w:t>Purchaser</w:t>
      </w:r>
      <w:r>
        <w:rPr>
          <w:rFonts w:ascii="Times New Roman" w:cs="Times New Roman" w:eastAsia="Times New Roman" w:hAnsi="Times New Roman"/>
          <w:sz w:val="22"/>
          <w:szCs w:val="22"/>
          <w:color w:val="auto"/>
        </w:rPr>
        <w:t>”) of all or substantially all of the assets of a business (“</w:t>
      </w:r>
      <w:r>
        <w:rPr>
          <w:rFonts w:ascii="Times New Roman" w:cs="Times New Roman" w:eastAsia="Times New Roman" w:hAnsi="Times New Roman"/>
          <w:sz w:val="22"/>
          <w:szCs w:val="22"/>
          <w:b w:val="1"/>
          <w:bCs w:val="1"/>
          <w:i w:val="1"/>
          <w:iCs w:val="1"/>
          <w:color w:val="auto"/>
        </w:rPr>
        <w:t>Business</w:t>
      </w:r>
      <w:r>
        <w:rPr>
          <w:rFonts w:ascii="Times New Roman" w:cs="Times New Roman" w:eastAsia="Times New Roman" w:hAnsi="Times New Roman"/>
          <w:sz w:val="22"/>
          <w:szCs w:val="22"/>
          <w:color w:val="auto"/>
        </w:rPr>
        <w:t>”) of Company (an “</w:t>
      </w:r>
      <w:r>
        <w:rPr>
          <w:rFonts w:ascii="Times New Roman" w:cs="Times New Roman" w:eastAsia="Times New Roman" w:hAnsi="Times New Roman"/>
          <w:sz w:val="22"/>
          <w:szCs w:val="22"/>
          <w:b w:val="1"/>
          <w:bCs w:val="1"/>
          <w:i w:val="1"/>
          <w:iCs w:val="1"/>
          <w:color w:val="auto"/>
        </w:rPr>
        <w:t>Acquisition</w:t>
      </w:r>
      <w:r>
        <w:rPr>
          <w:rFonts w:ascii="Times New Roman" w:cs="Times New Roman" w:eastAsia="Times New Roman" w:hAnsi="Times New Roman"/>
          <w:sz w:val="22"/>
          <w:szCs w:val="22"/>
          <w:color w:val="auto"/>
        </w:rPr>
        <w:t>”) solely to the extent that the Participant becomes an employee of such Purchaser or Purchaser’s designated affiliate upon consummation of the Acquisition and such Confidential Information is used in the Business prior to consummation of the Acquisition. The Participant acknowledges and agrees that, upon consummation of the Acquisition, the Confidential Information shall be deemed the Confidential Information of the Purchaser and subject to the Participant’s applicable employment, confidentiality and inventions assignment agreement with such Purchaser.</w:t>
      </w:r>
    </w:p>
    <w:p>
      <w:pPr>
        <w:spacing w:after="0" w:line="184" w:lineRule="exact"/>
        <w:rPr>
          <w:rFonts w:ascii="Times New Roman" w:cs="Times New Roman" w:eastAsia="Times New Roman" w:hAnsi="Times New Roman"/>
          <w:sz w:val="22"/>
          <w:szCs w:val="22"/>
          <w:color w:val="auto"/>
        </w:rPr>
      </w:pPr>
    </w:p>
    <w:p>
      <w:pPr>
        <w:jc w:val="both"/>
        <w:ind w:firstLine="756"/>
        <w:spacing w:after="0" w:line="235" w:lineRule="auto"/>
        <w:tabs>
          <w:tab w:leader="none" w:pos="1016"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recognizes that the Company has received and in the future will receive information from third parties which is subject to an obligation on the Company’s part to maintain the confidentiality of such information and to use it only for certain limited purposes. The Participant agrees, during the term of the Participant’s employment and thereafter, to hold all such confidential or proprietary information of third parties in the strictest confidence and not to disclose or use it, except as necessary in performing the Participant’s duties as an employee of the Company consistent with the Company’s agreement with such third party. The Participant agrees that such information will be subject to the terms of this Confidentiality and Inventions Agreement as Confidential Information.</w:t>
      </w:r>
    </w:p>
    <w:p>
      <w:pPr>
        <w:spacing w:after="0" w:line="180" w:lineRule="exact"/>
        <w:rPr>
          <w:rFonts w:ascii="Times New Roman" w:cs="Times New Roman" w:eastAsia="Times New Roman" w:hAnsi="Times New Roman"/>
          <w:sz w:val="22"/>
          <w:szCs w:val="22"/>
          <w:color w:val="auto"/>
        </w:rPr>
      </w:pPr>
    </w:p>
    <w:p>
      <w:pPr>
        <w:ind w:left="1020" w:hanging="264"/>
        <w:spacing w:after="0"/>
        <w:tabs>
          <w:tab w:leader="none" w:pos="1020"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Protected Disclosures</w:t>
      </w:r>
      <w:r>
        <w:rPr>
          <w:rFonts w:ascii="Times New Roman" w:cs="Times New Roman" w:eastAsia="Times New Roman" w:hAnsi="Times New Roman"/>
          <w:sz w:val="22"/>
          <w:szCs w:val="22"/>
          <w:color w:val="auto"/>
        </w:rPr>
        <w:t>. 18 U.S.C. § 1833(b) provides: “An individual shall not be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97" w:name="page98"/>
    <w:bookmarkEnd w:id="97"/>
    <w:p>
      <w:pPr>
        <w:spacing w:after="0" w:line="102" w:lineRule="exact"/>
        <w:rPr>
          <w:sz w:val="20"/>
          <w:szCs w:val="20"/>
          <w:color w:val="auto"/>
        </w:rPr>
      </w:pPr>
    </w:p>
    <w:p>
      <w:pPr>
        <w:jc w:val="both"/>
        <w:ind w:right="80"/>
        <w:spacing w:after="0" w:line="232" w:lineRule="auto"/>
        <w:rPr>
          <w:sz w:val="20"/>
          <w:szCs w:val="20"/>
          <w:color w:val="auto"/>
        </w:rPr>
      </w:pPr>
      <w:r>
        <w:rPr>
          <w:rFonts w:ascii="Times New Roman" w:cs="Times New Roman" w:eastAsia="Times New Roman" w:hAnsi="Times New Roman"/>
          <w:sz w:val="22"/>
          <w:szCs w:val="22"/>
          <w:color w:val="auto"/>
        </w:rPr>
        <w:t>held criminally or civilly liable under any Federal or State trade secret law for the disclosure of a trade secret that—(A)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Nothing in this Agreement is intended to conflict with 18 U.S.C. § 1833(b) or create liability for disclosures of trade secrets that are expressly allowed by 18 U.S.C. § 1833(b). Accordingly, the parties to this Agreement have the right to disclose in confidence trade secrets to federal, state, and local government officials, or to an attorney, for the sole purpose of reporting or investigating a suspected violation of law. The parties also have the right to disclose trade secrets in a document filed in a lawsuit or other proceeding, but only if the filing is made under seal and protected from public disclosure. Nothing in this Confidentiality and Inventions Agreement prevents the Participant from discussing or disclosing information about unlawful acts in the workplace, such as harassment or discrimination or any other conduct that the Participant has reason to believe is unlawful. Furthermore, and for the avoidance of doubt, nothing in this Confidentiality and Inventions Agreement limits or restricts the Participant’s ability to communicate with the Securities and Exchange Commission or any other federal, state or local governmental agency or commission (each a “</w:t>
      </w:r>
      <w:r>
        <w:rPr>
          <w:rFonts w:ascii="Times New Roman" w:cs="Times New Roman" w:eastAsia="Times New Roman" w:hAnsi="Times New Roman"/>
          <w:sz w:val="22"/>
          <w:szCs w:val="22"/>
          <w:b w:val="1"/>
          <w:bCs w:val="1"/>
          <w:i w:val="1"/>
          <w:iCs w:val="1"/>
          <w:color w:val="auto"/>
        </w:rPr>
        <w:t>Government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Agency</w:t>
      </w:r>
      <w:r>
        <w:rPr>
          <w:rFonts w:ascii="Times New Roman" w:cs="Times New Roman" w:eastAsia="Times New Roman" w:hAnsi="Times New Roman"/>
          <w:sz w:val="22"/>
          <w:szCs w:val="22"/>
          <w:color w:val="auto"/>
        </w:rPr>
        <w:t>”) or otherwise participate in any investigation or proceeding that may be conducted by any Government Agency,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including providing documents or other information and reporting possible violations of law or regulation or other disclosures protected under the whistleblower provisions of applicable law or regulation, without notice to the Company.</w:t>
      </w:r>
    </w:p>
    <w:p>
      <w:pPr>
        <w:spacing w:after="0" w:line="182" w:lineRule="exact"/>
        <w:rPr>
          <w:sz w:val="20"/>
          <w:szCs w:val="20"/>
          <w:color w:val="auto"/>
        </w:rPr>
      </w:pPr>
    </w:p>
    <w:p>
      <w:pPr>
        <w:ind w:left="520" w:hanging="512"/>
        <w:spacing w:after="0"/>
        <w:tabs>
          <w:tab w:leader="none" w:pos="520" w:val="left"/>
        </w:tabs>
        <w:numPr>
          <w:ilvl w:val="0"/>
          <w:numId w:val="1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COMPANY PROPERTY</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All apparatus, computers, computer files and media, notes, data, documents, reference materials, sketches, memoranda, records, drawings, engineering log books, equipment, lab/inventor notebooks, programs, prototypes, samples, equipment, tangible embodiments of information, and other physical property, whether or not pertaining to Confidential Information, furnished to the Participant or produced by the Participant or others in connection with the Participant’s employment, shall be and remain the sole property of the Company and any such property actually in the Participant’s possession or control shall be returned promptly to the Company as and when requested in writing by the Company. Should the Company not so request, the Participant shall return and deliver all such property to the Company upon termination of the Participant’s employment. The Participant may not retain any such property or any reproduction of such property upon such termination. The Participant further agrees that any property situated on the Company’s premises and owned, leased, maintained or otherwise contracted for by the Company, including, but not limited to, computers, computer files, e-mail, voicemail, disks and other electronic storage media, filing cabinets, desks or other work areas, are subject to inspection by the Company’s representatives at any time with or without notice.</w:t>
      </w:r>
    </w:p>
    <w:p>
      <w:pPr>
        <w:spacing w:after="0" w:line="162" w:lineRule="exact"/>
        <w:rPr>
          <w:sz w:val="20"/>
          <w:szCs w:val="20"/>
          <w:color w:val="auto"/>
        </w:rPr>
      </w:pPr>
    </w:p>
    <w:p>
      <w:pPr>
        <w:ind w:left="520" w:hanging="512"/>
        <w:spacing w:after="0"/>
        <w:tabs>
          <w:tab w:leader="none" w:pos="520" w:val="left"/>
        </w:tabs>
        <w:numPr>
          <w:ilvl w:val="0"/>
          <w:numId w:val="1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COMPANY WORK PRODUCT</w:t>
      </w:r>
    </w:p>
    <w:p>
      <w:pPr>
        <w:spacing w:after="0" w:line="20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Subject to Section 6 and 7 below, the Participant agrees that any Work Product, in whole or in part, conceived, developed, made or reduced to practice by the Participant (either solely or in conjunction with others) during the term of his or her employment with the Company (collectively, the “</w:t>
      </w:r>
      <w:r>
        <w:rPr>
          <w:rFonts w:ascii="Times New Roman" w:cs="Times New Roman" w:eastAsia="Times New Roman" w:hAnsi="Times New Roman"/>
          <w:sz w:val="20"/>
          <w:szCs w:val="20"/>
          <w:b w:val="1"/>
          <w:bCs w:val="1"/>
          <w:i w:val="1"/>
          <w:iCs w:val="1"/>
          <w:color w:val="auto"/>
        </w:rPr>
        <w:t>Company Work Product</w:t>
      </w:r>
      <w:r>
        <w:rPr>
          <w:rFonts w:ascii="Times New Roman" w:cs="Times New Roman" w:eastAsia="Times New Roman" w:hAnsi="Times New Roman"/>
          <w:sz w:val="20"/>
          <w:szCs w:val="20"/>
          <w:color w:val="auto"/>
        </w:rPr>
        <w:t>”) shall be owned exclusively by the Company (or, to the extent</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183"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applicable, a Purchaser pursuant to an Acquisition). Without limiting the foregoing, the Participant agrees that any of the Company Work Product shall be deemed to be “works made for hire” as defined in U.S. Copyright Act §101, and all right, title, and interest therein shall vest solely in the Company from conception. The Participant hereby irrevocably assigns and transfers, and agrees to assign and transfer in the future on the Company’s request, to the Company all right, title and interest in and to any Company Work Product, including, but not limited to, patents, copyrights and other intellectual property rights therein. The Participant shall treat any such Company Work Product as Confidential Information. The Participant will execute all applications, assignments, instruments and other documents and perform all acts consistent herewith as the Company or its counsel may deem necessary or desirable to obtain, perfect or enforce any patents, copyright registrations or other protections on such Company Work Product and to otherwise protect the interests of the Company therein. The Participant’s obligation to reasonably assist the Company in obtaining and enforcing the intellectual property and other rights in the Company Work Product in any and all jurisdictions shall continue beyond the termination of the Participant’s employment. The Participant acknowledges that the Company may need to secure the Participant’s signature for lawful and necessary documents required to apply for, maintain or enforce intellectual property and other rights with respect to the Company Work Product (including, but not limited to, renewals, extensions, continuations, divisions or continuations in part of patent applications). The Participant hereby irrevocably designates and appoints the Company and its duly authorized officers and agents, as the Participant’s agents and attorneys-in-fact, to act for and on the Participant’s behalf and instead of the Participant, to execute and file any such document(s) and to do all other lawfully permitted acts to further the prosecution, issuance and enforcement of patents, copyright registrations and other protections on the Company Work Product with the same legal force and effect as if executed by the Participant. The Participant further hereby waives and relinquishes any and all moral rights that the Participant may have in the Company Work Product.</w:t>
      </w:r>
    </w:p>
    <w:p>
      <w:pPr>
        <w:spacing w:after="0" w:line="175" w:lineRule="exact"/>
        <w:rPr>
          <w:sz w:val="20"/>
          <w:szCs w:val="20"/>
          <w:color w:val="auto"/>
        </w:rPr>
      </w:pPr>
    </w:p>
    <w:p>
      <w:pPr>
        <w:ind w:left="520" w:hanging="512"/>
        <w:spacing w:after="0"/>
        <w:tabs>
          <w:tab w:leader="none" w:pos="520" w:val="left"/>
        </w:tabs>
        <w:numPr>
          <w:ilvl w:val="0"/>
          <w:numId w:val="1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EXCEPTION TO ASSIGNMENTS</w:t>
      </w:r>
    </w:p>
    <w:p>
      <w:pPr>
        <w:spacing w:after="0" w:line="20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Pursuant to Section 2870 of the California Labor Code, the requirements set forth in Section 5 of this Agreement shall not apply to an invention that the Participant develops entirely on his or her own time without using the Company’s equipment, supplies, facilities, or trade secret information except for those inventions that either: (i) relate at the time of conception or reduction to practice of the invention to the Company’s business, or actual or demonstrably anticipated research or development of the Company; or (ii) result from any work performed by the Participant for the Company.</w:t>
      </w:r>
    </w:p>
    <w:p>
      <w:pPr>
        <w:spacing w:after="0" w:line="176" w:lineRule="exact"/>
        <w:rPr>
          <w:sz w:val="20"/>
          <w:szCs w:val="20"/>
          <w:color w:val="auto"/>
        </w:rPr>
      </w:pPr>
    </w:p>
    <w:p>
      <w:pPr>
        <w:ind w:left="520" w:hanging="512"/>
        <w:spacing w:after="0"/>
        <w:tabs>
          <w:tab w:leader="none" w:pos="520" w:val="left"/>
        </w:tabs>
        <w:numPr>
          <w:ilvl w:val="0"/>
          <w:numId w:val="1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PRE-EMPLOYMENT WORK PRODUCT</w:t>
      </w:r>
    </w:p>
    <w:p>
      <w:pPr>
        <w:spacing w:after="0" w:line="20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(u)Work Product includes only things done for the Company in performing work for the Company.</w:t>
      </w:r>
    </w:p>
    <w:p>
      <w:pPr>
        <w:spacing w:after="0" w:line="205" w:lineRule="exact"/>
        <w:rPr>
          <w:sz w:val="20"/>
          <w:szCs w:val="20"/>
          <w:color w:val="auto"/>
        </w:rPr>
      </w:pPr>
    </w:p>
    <w:p>
      <w:pPr>
        <w:jc w:val="both"/>
        <w:ind w:right="80" w:firstLine="749"/>
        <w:spacing w:after="0" w:line="237" w:lineRule="auto"/>
        <w:rPr>
          <w:sz w:val="20"/>
          <w:szCs w:val="20"/>
          <w:color w:val="auto"/>
        </w:rPr>
      </w:pPr>
      <w:r>
        <w:rPr>
          <w:rFonts w:ascii="Times New Roman" w:cs="Times New Roman" w:eastAsia="Times New Roman" w:hAnsi="Times New Roman"/>
          <w:sz w:val="22"/>
          <w:szCs w:val="22"/>
          <w:color w:val="auto"/>
        </w:rPr>
        <w:t>(v)The Participant acknowledges that the Company has a strict policy against using proprietary information belonging to any other person or entity without the express permission of the owner of that information. The Participant represents and warrants that the Participant’s performance of all of the terms of this Confidentiality and Inventions Agreement and as an employee of the Company does not and will not result in a breach of any duty owed by the Participant to a third party to keep in confidence any information, knowledge or data. The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spacing w:after="0" w:line="102" w:lineRule="exact"/>
        <w:rPr>
          <w:sz w:val="20"/>
          <w:szCs w:val="20"/>
          <w:color w:val="auto"/>
        </w:rPr>
      </w:pPr>
    </w:p>
    <w:p>
      <w:pPr>
        <w:jc w:val="both"/>
        <w:ind w:right="80"/>
        <w:spacing w:after="0" w:line="237" w:lineRule="auto"/>
        <w:rPr>
          <w:sz w:val="20"/>
          <w:szCs w:val="20"/>
          <w:color w:val="auto"/>
        </w:rPr>
      </w:pPr>
      <w:r>
        <w:rPr>
          <w:rFonts w:ascii="Times New Roman" w:cs="Times New Roman" w:eastAsia="Times New Roman" w:hAnsi="Times New Roman"/>
          <w:sz w:val="22"/>
          <w:szCs w:val="22"/>
          <w:color w:val="auto"/>
        </w:rPr>
        <w:t>Participant has not brought or used, and will not bring to the Company, or use, induce the Company to use, or disclose in the performance of the Participant’s duties, nor has the Participant used or disclosed in the performance of any services for the Company prior to the effective date of the Participant’s employment with the Company (if any), any equipment, supplies, facility, electronic media, software, trade secret or other information or property of any former employer or any other person or entity, unless the Participant has obtained their written authorization for its possession and use.</w:t>
      </w:r>
    </w:p>
    <w:p>
      <w:pPr>
        <w:spacing w:after="0" w:line="176" w:lineRule="exact"/>
        <w:rPr>
          <w:sz w:val="20"/>
          <w:szCs w:val="20"/>
          <w:color w:val="auto"/>
        </w:rPr>
      </w:pPr>
    </w:p>
    <w:p>
      <w:pPr>
        <w:ind w:left="520" w:hanging="512"/>
        <w:spacing w:after="0"/>
        <w:tabs>
          <w:tab w:leader="none" w:pos="520" w:val="left"/>
        </w:tabs>
        <w:numPr>
          <w:ilvl w:val="0"/>
          <w:numId w:val="1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RECORDS</w:t>
      </w:r>
    </w:p>
    <w:p>
      <w:pPr>
        <w:spacing w:after="0" w:line="20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Participant agrees that he or he or she will keep and maintain adequate and current written records (in the form of notes, sketches, drawings or such other form(s) as may be specified by the Company) of all the Company Work Product made by the Participant during the term of his or his or her employment with the Company, which records shall be available at all times to the Company and shall remain the sole property of the Company.</w:t>
      </w:r>
    </w:p>
    <w:p>
      <w:pPr>
        <w:spacing w:after="0" w:line="175" w:lineRule="exact"/>
        <w:rPr>
          <w:sz w:val="20"/>
          <w:szCs w:val="20"/>
          <w:color w:val="auto"/>
        </w:rPr>
      </w:pPr>
    </w:p>
    <w:p>
      <w:pPr>
        <w:ind w:left="520" w:hanging="512"/>
        <w:spacing w:after="0"/>
        <w:tabs>
          <w:tab w:leader="none" w:pos="520" w:val="left"/>
        </w:tabs>
        <w:numPr>
          <w:ilvl w:val="0"/>
          <w:numId w:val="1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PRESUMPTION</w:t>
      </w:r>
    </w:p>
    <w:p>
      <w:pPr>
        <w:spacing w:after="0" w:line="20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If any application for any United States or foreign patent related to or useful in the business of the Company or any customer of the Company shall be filed by or for the Participant during the period of one year after the Participant’s employment is terminated, the subject matter covered by such application shall be presumed to have been conceived during the Participant’s employment with the Company.</w:t>
      </w:r>
    </w:p>
    <w:p>
      <w:pPr>
        <w:spacing w:after="0" w:line="175" w:lineRule="exact"/>
        <w:rPr>
          <w:sz w:val="20"/>
          <w:szCs w:val="20"/>
          <w:color w:val="auto"/>
        </w:rPr>
      </w:pPr>
    </w:p>
    <w:p>
      <w:pPr>
        <w:ind w:left="520" w:hanging="512"/>
        <w:spacing w:after="0"/>
        <w:tabs>
          <w:tab w:leader="none" w:pos="520" w:val="left"/>
        </w:tabs>
        <w:numPr>
          <w:ilvl w:val="0"/>
          <w:numId w:val="1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AGREEMENTS WITH THIRD PARTIES OR THE U.S. GOVERNMENT.</w:t>
      </w:r>
    </w:p>
    <w:p>
      <w:pPr>
        <w:spacing w:after="0" w:line="20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The Participant acknowledges that the Company from time to time may have agreements with other persons or entities, or with the U.S. Government or agencies thereof, which impose obligations or restrictions on the Company regarding inventions made during the course of work thereunder or regarding the confidential nature of such work. The Participant agrees to be bound by all such obligations and restrictions of which the Participant has been made aware of by the Company and to take all action necessary to discharge the obligations of the Company thereunder.</w:t>
      </w:r>
    </w:p>
    <w:p>
      <w:pPr>
        <w:spacing w:after="0" w:line="176" w:lineRule="exact"/>
        <w:rPr>
          <w:sz w:val="20"/>
          <w:szCs w:val="20"/>
          <w:color w:val="auto"/>
        </w:rPr>
      </w:pPr>
    </w:p>
    <w:p>
      <w:pPr>
        <w:ind w:left="520" w:hanging="512"/>
        <w:spacing w:after="0"/>
        <w:tabs>
          <w:tab w:leader="none" w:pos="520" w:val="left"/>
        </w:tabs>
        <w:numPr>
          <w:ilvl w:val="0"/>
          <w:numId w:val="1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INJUNCTIVE RELIEF</w:t>
      </w:r>
    </w:p>
    <w:p>
      <w:pPr>
        <w:spacing w:after="0" w:line="20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Because of the unique nature of the Confidential Information and the Company Work Product, the Participant understands and agrees that the Company may suffer immediate and irreparable harm if the Participant fails to comply with any of his or her obligations under this Confidentiality and Inventions Agreement and that monetary damages may be inadequate to compensate the Company for such breach. Accordingly, the Participant agrees that in the event of a breach or threatened breach of this Confidentiality and Inventions Agreement, in addition to any other remedies available to it at law or in equity, the Company will be entitled, without posting bond or other security, to seek injunctive relief to enforce the terms of this Confidentiality and Inventions Agreement, including, but not limited to, restraining the Participant from violating this Confidentiality and Inventions Agreement or compelling the Participant to cease and desist all unauthorized use and disclosure of the Confidential Information and the Company Work Product. The Participant will indemnify the Company against any costs, including, but not limited to, reasonable outside legal fees and costs, incurred in obtaining relief against the Participant’s breach</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of this Confidentiality and Inventions Agreement. Nothing in this Section 11 shall be construed as prohibiting the Company from pursuing any other remedies available to it for such breach or threatened breach, including, but not limited to, recovery of damages.</w:t>
      </w:r>
    </w:p>
    <w:p>
      <w:pPr>
        <w:spacing w:after="0" w:line="168" w:lineRule="exact"/>
        <w:rPr>
          <w:sz w:val="20"/>
          <w:szCs w:val="20"/>
          <w:color w:val="auto"/>
        </w:rPr>
      </w:pPr>
    </w:p>
    <w:p>
      <w:pPr>
        <w:ind w:left="520" w:hanging="512"/>
        <w:spacing w:after="0"/>
        <w:tabs>
          <w:tab w:leader="none" w:pos="520" w:val="left"/>
        </w:tabs>
        <w:numPr>
          <w:ilvl w:val="0"/>
          <w:numId w:val="1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DISCLOSURE OF OBLIGATIONS</w:t>
      </w:r>
    </w:p>
    <w:p>
      <w:pPr>
        <w:spacing w:after="0" w:line="209"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22"/>
          <w:szCs w:val="22"/>
          <w:color w:val="auto"/>
        </w:rPr>
        <w:t>The Participant is hereby permitted and the Participant authorizes the Company to provide a copy of this Confidentiality and Inventions Agreement and any exhibits hereto to any of the Participant’s future employers, and to notify any such future employers of the Participant’s obligations and the Company’s rights hereunder, provided that neither party is under any obligation to do so.</w:t>
      </w:r>
    </w:p>
    <w:p>
      <w:pPr>
        <w:spacing w:after="0" w:line="175" w:lineRule="exact"/>
        <w:rPr>
          <w:sz w:val="20"/>
          <w:szCs w:val="20"/>
          <w:color w:val="auto"/>
        </w:rPr>
      </w:pPr>
    </w:p>
    <w:p>
      <w:pPr>
        <w:ind w:left="520" w:hanging="512"/>
        <w:spacing w:after="0"/>
        <w:tabs>
          <w:tab w:leader="none" w:pos="520" w:val="left"/>
        </w:tabs>
        <w:numPr>
          <w:ilvl w:val="0"/>
          <w:numId w:val="1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JURISDICTION AND VENUE</w:t>
      </w:r>
    </w:p>
    <w:p>
      <w:pPr>
        <w:spacing w:after="0" w:line="20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This Confidentiality and Inventions Agreement will be governed by the laws of the State of California without regard to any conflicts-of-law rules. To the extent that any lawsuit is permitted under this Confidentiality and Inventions Agreement, the Participant hereby expressly consents to the personal and exclusive jurisdiction and venue of the state and federal courts located in San Diego, California for any lawsuit filed against the Participant by the Company. Nothing herein shall limit the right of the Company to seek and obtain injunctive relief in any jurisdiction for violation of the portions of this Confidentiality and Inventions Agreement dealing with protection of Confidential Information or the Company Work Product.</w:t>
      </w:r>
    </w:p>
    <w:p>
      <w:pPr>
        <w:spacing w:after="0" w:line="175" w:lineRule="exact"/>
        <w:rPr>
          <w:sz w:val="20"/>
          <w:szCs w:val="20"/>
          <w:color w:val="auto"/>
        </w:rPr>
      </w:pPr>
    </w:p>
    <w:p>
      <w:pPr>
        <w:ind w:left="520" w:hanging="512"/>
        <w:spacing w:after="0"/>
        <w:tabs>
          <w:tab w:leader="none" w:pos="520" w:val="left"/>
        </w:tabs>
        <w:numPr>
          <w:ilvl w:val="0"/>
          <w:numId w:val="1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ASSIGNMENT; INUREMENT</w:t>
      </w:r>
    </w:p>
    <w:p>
      <w:pPr>
        <w:spacing w:after="0" w:line="20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Neither this Confidentiality and Inventions Agreement nor any duties or obligations under this Confidentiality and Inventions Agreement may be assigned by the Participant without the prior written consent of the Company. The Participant understands and agrees that the Company may freely assign this Confidentiality and Inventions Agreement. This Agreement shall inure to the benefit of, and shall be binding upon, the permitted assigns, successors in interest (including any Purchaser upon consummation of an Acquisition), personal representatives, estates, heirs, and legatees of each of the parties hereto. Any assignment in violation of this Section 14 shall be null and void.</w:t>
      </w:r>
    </w:p>
    <w:p>
      <w:pPr>
        <w:spacing w:after="0" w:line="175" w:lineRule="exact"/>
        <w:rPr>
          <w:sz w:val="20"/>
          <w:szCs w:val="20"/>
          <w:color w:val="auto"/>
        </w:rPr>
      </w:pPr>
    </w:p>
    <w:p>
      <w:pPr>
        <w:ind w:left="520" w:hanging="512"/>
        <w:spacing w:after="0"/>
        <w:tabs>
          <w:tab w:leader="none" w:pos="520" w:val="left"/>
        </w:tabs>
        <w:numPr>
          <w:ilvl w:val="0"/>
          <w:numId w:val="1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SURVIVORSHIP</w:t>
      </w:r>
    </w:p>
    <w:p>
      <w:pPr>
        <w:spacing w:after="0" w:line="20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rights and obligations of the parties to this Confidentiality and Inventions Agreement will survive termination of my employment with the Company.</w:t>
      </w:r>
    </w:p>
    <w:p>
      <w:pPr>
        <w:spacing w:after="0" w:line="153" w:lineRule="exact"/>
        <w:rPr>
          <w:sz w:val="20"/>
          <w:szCs w:val="20"/>
          <w:color w:val="auto"/>
        </w:rPr>
      </w:pPr>
    </w:p>
    <w:p>
      <w:pPr>
        <w:ind w:left="520" w:hanging="512"/>
        <w:spacing w:after="0"/>
        <w:tabs>
          <w:tab w:leader="none" w:pos="520" w:val="left"/>
        </w:tabs>
        <w:numPr>
          <w:ilvl w:val="0"/>
          <w:numId w:val="1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w:t>
      </w:r>
    </w:p>
    <w:p>
      <w:pPr>
        <w:spacing w:after="0" w:line="20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In the event that any provision hereof or any obligation or grant of rights by the Participant hereunder is found invalid or unenforceable pursuant to judicial decree or decision, any such provision, obligation or grant of rights shall be deemed and construed to extend only to the maximum permitted by law, the invalid or unenforceable portions shall be severed, and the remainder of this Confidentiality and Inventions Agreement shall remain valid and enforceable according to its terms. This Confidentiality and Inventions Agreement may not be amended, waived or modified, except by an instrument in writing executed by the Participant and a duly authorized representative of the Company.</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79" w:lineRule="exact"/>
        <w:rPr>
          <w:sz w:val="20"/>
          <w:szCs w:val="20"/>
          <w:color w:val="auto"/>
        </w:rPr>
      </w:pPr>
    </w:p>
    <w:p>
      <w:pPr>
        <w:ind w:left="520" w:hanging="512"/>
        <w:spacing w:after="0"/>
        <w:tabs>
          <w:tab w:leader="none" w:pos="520" w:val="left"/>
        </w:tabs>
        <w:numPr>
          <w:ilvl w:val="0"/>
          <w:numId w:val="1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ACKNOWLEDGMENT</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EMPLOYEE ACKNOWLEDGES THAT, IN EXECUTING THE GRANT NOTICE TO WHICH THIS CONFIDENTIALITY AND INVENTIONS AGREEMENT IS ATTACHED, EMPLOYEE HAS HAD THE OPPORTUNITY TO SEEK THE ADVICE OF INDEPENDENT LEGAL COUNSEL, AND EMPLOYEE HAS READ AND UNDERSTOOD ALL OF THE</w:t>
      </w:r>
    </w:p>
    <w:p>
      <w:pPr>
        <w:spacing w:after="0" w:line="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TERMS AND PROVISIONS OF THIS CONFIDENTIALITY AND INVENTIONS AGREEMENT. THIS CONFIDENTIALITY AND INVENTIONS AGREEMENT SHALL NOT BE CONSTRUED AGAINST ANY PARTY BY REASON OF THE DRAFTING OR PREPARATION HEREOF.</w:t>
      </w:r>
    </w:p>
    <w:p>
      <w:pPr>
        <w:spacing w:after="0" w:line="200" w:lineRule="exact"/>
        <w:rPr>
          <w:sz w:val="20"/>
          <w:szCs w:val="20"/>
          <w:color w:val="auto"/>
        </w:rPr>
      </w:pPr>
    </w:p>
    <w:p>
      <w:pPr>
        <w:spacing w:after="0" w:line="38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02" w:name="page103"/>
    <w:bookmarkEnd w:id="102"/>
    <w:p>
      <w:pPr>
        <w:ind w:left="9680"/>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SEPARATION AGREEMENT</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AND GENERAL RELEASE OF CLAIMS</w:t>
      </w:r>
    </w:p>
    <w:p>
      <w:pPr>
        <w:spacing w:after="0" w:line="193"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This SEPARATION AGREEMENT AND GENERAL RELEASE OF CLAIMS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is entered into by and between Petco Animal Supplies Stores,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Darren MacDonald (“</w:t>
      </w:r>
      <w:r>
        <w:rPr>
          <w:rFonts w:ascii="Times New Roman" w:cs="Times New Roman" w:eastAsia="Times New Roman" w:hAnsi="Times New Roman"/>
          <w:sz w:val="20"/>
          <w:szCs w:val="20"/>
          <w:u w:val="single" w:color="auto"/>
          <w:color w:val="auto"/>
        </w:rPr>
        <w:t>Executive</w:t>
      </w:r>
      <w:r>
        <w:rPr>
          <w:rFonts w:ascii="Times New Roman" w:cs="Times New Roman" w:eastAsia="Times New Roman" w:hAnsi="Times New Roman"/>
          <w:sz w:val="20"/>
          <w:szCs w:val="20"/>
          <w:color w:val="auto"/>
        </w:rPr>
        <w:t xml:space="preserve">”), and solely for purposes of </w:t>
      </w:r>
      <w:r>
        <w:rPr>
          <w:rFonts w:ascii="Times New Roman" w:cs="Times New Roman" w:eastAsia="Times New Roman" w:hAnsi="Times New Roman"/>
          <w:sz w:val="20"/>
          <w:szCs w:val="20"/>
          <w:u w:val="single" w:color="auto"/>
          <w:color w:val="auto"/>
        </w:rPr>
        <w:t>Section 2(c)</w:t>
      </w:r>
      <w:r>
        <w:rPr>
          <w:rFonts w:ascii="Times New Roman" w:cs="Times New Roman" w:eastAsia="Times New Roman" w:hAnsi="Times New Roman"/>
          <w:sz w:val="20"/>
          <w:szCs w:val="20"/>
          <w:color w:val="auto"/>
        </w:rPr>
        <w:t>, Scooby LP (“</w:t>
      </w:r>
      <w:r>
        <w:rPr>
          <w:rFonts w:ascii="Times New Roman" w:cs="Times New Roman" w:eastAsia="Times New Roman" w:hAnsi="Times New Roman"/>
          <w:sz w:val="20"/>
          <w:szCs w:val="20"/>
          <w:u w:val="single" w:color="auto"/>
          <w:color w:val="auto"/>
        </w:rPr>
        <w:t>Scooby</w:t>
      </w:r>
      <w:r>
        <w:rPr>
          <w:rFonts w:ascii="Times New Roman" w:cs="Times New Roman" w:eastAsia="Times New Roman" w:hAnsi="Times New Roman"/>
          <w:sz w:val="20"/>
          <w:szCs w:val="20"/>
          <w:color w:val="auto"/>
        </w:rPr>
        <w:t>”). Executive, the Company and Scooby are each referred to herein as a “</w:t>
      </w:r>
      <w:r>
        <w:rPr>
          <w:rFonts w:ascii="Times New Roman" w:cs="Times New Roman" w:eastAsia="Times New Roman" w:hAnsi="Times New Roman"/>
          <w:sz w:val="20"/>
          <w:szCs w:val="20"/>
          <w:u w:val="single" w:color="auto"/>
          <w:color w:val="auto"/>
        </w:rPr>
        <w:t>Party</w:t>
      </w:r>
      <w:r>
        <w:rPr>
          <w:rFonts w:ascii="Times New Roman" w:cs="Times New Roman" w:eastAsia="Times New Roman" w:hAnsi="Times New Roman"/>
          <w:sz w:val="20"/>
          <w:szCs w:val="20"/>
          <w:color w:val="auto"/>
        </w:rPr>
        <w:t>” and collectively as the “</w:t>
      </w:r>
      <w:r>
        <w:rPr>
          <w:rFonts w:ascii="Times New Roman" w:cs="Times New Roman" w:eastAsia="Times New Roman" w:hAnsi="Times New Roman"/>
          <w:sz w:val="20"/>
          <w:szCs w:val="20"/>
          <w:u w:val="single" w:color="auto"/>
          <w:color w:val="auto"/>
        </w:rPr>
        <w:t>Parties</w:t>
      </w:r>
      <w:r>
        <w:rPr>
          <w:rFonts w:ascii="Times New Roman" w:cs="Times New Roman" w:eastAsia="Times New Roman" w:hAnsi="Times New Roman"/>
          <w:sz w:val="20"/>
          <w:szCs w:val="20"/>
          <w:color w:val="auto"/>
        </w:rPr>
        <w:t>.”</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Executive’s employment with the Company terminated effective as of April 12, 2024 (the “</w:t>
      </w:r>
      <w:r>
        <w:rPr>
          <w:rFonts w:ascii="Times New Roman" w:cs="Times New Roman" w:eastAsia="Times New Roman" w:hAnsi="Times New Roman"/>
          <w:sz w:val="20"/>
          <w:szCs w:val="20"/>
          <w:u w:val="single" w:color="auto"/>
          <w:color w:val="auto"/>
        </w:rPr>
        <w:t>Separation Date</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Executive holds the Common Series C Units in Scooby set forth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hereto (the “</w:t>
      </w:r>
      <w:r>
        <w:rPr>
          <w:rFonts w:ascii="Times New Roman" w:cs="Times New Roman" w:eastAsia="Times New Roman" w:hAnsi="Times New Roman"/>
          <w:sz w:val="20"/>
          <w:szCs w:val="20"/>
          <w:u w:val="single" w:color="auto"/>
          <w:color w:val="auto"/>
        </w:rPr>
        <w:t>Units</w:t>
      </w:r>
      <w:r>
        <w:rPr>
          <w:rFonts w:ascii="Times New Roman" w:cs="Times New Roman" w:eastAsia="Times New Roman" w:hAnsi="Times New Roman"/>
          <w:sz w:val="20"/>
          <w:szCs w:val="20"/>
          <w:color w:val="auto"/>
        </w:rPr>
        <w:t>”) pursuant to those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Common Series C Unit Award Agreements between Executive and Scooby (collectively, the “</w:t>
      </w:r>
      <w:r>
        <w:rPr>
          <w:rFonts w:ascii="Times New Roman" w:cs="Times New Roman" w:eastAsia="Times New Roman" w:hAnsi="Times New Roman"/>
          <w:sz w:val="20"/>
          <w:szCs w:val="20"/>
          <w:u w:val="single" w:color="auto"/>
          <w:color w:val="auto"/>
        </w:rPr>
        <w:t>Award Agreements</w:t>
      </w:r>
      <w:r>
        <w:rPr>
          <w:rFonts w:ascii="Times New Roman" w:cs="Times New Roman" w:eastAsia="Times New Roman" w:hAnsi="Times New Roman"/>
          <w:sz w:val="20"/>
          <w:szCs w:val="20"/>
          <w:color w:val="auto"/>
        </w:rPr>
        <w:t xml:space="preserve">”), which are vested and unvested as of the Separation Date as set forth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w:t>
      </w:r>
    </w:p>
    <w:p>
      <w:pPr>
        <w:spacing w:after="0" w:line="170"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Executive and Petco Animal Supplies, Inc. (“PASI”) are parties to that certain Employment Agreement dated May 25,</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2019 (the “Employment Agreement”) and Executive is a participant in the Petco Health and Wellness Company, Inc. Executive Severance Plan (the “</w:t>
      </w:r>
      <w:r>
        <w:rPr>
          <w:rFonts w:ascii="Times New Roman" w:cs="Times New Roman" w:eastAsia="Times New Roman" w:hAnsi="Times New Roman"/>
          <w:sz w:val="20"/>
          <w:szCs w:val="20"/>
          <w:u w:val="single" w:color="auto"/>
          <w:color w:val="auto"/>
        </w:rPr>
        <w:t>Severance Plan</w:t>
      </w:r>
      <w:r>
        <w:rPr>
          <w:rFonts w:ascii="Times New Roman" w:cs="Times New Roman" w:eastAsia="Times New Roman" w:hAnsi="Times New Roman"/>
          <w:sz w:val="20"/>
          <w:szCs w:val="20"/>
          <w:color w:val="auto"/>
        </w:rPr>
        <w:t>”);</w:t>
      </w:r>
    </w:p>
    <w:p>
      <w:pPr>
        <w:spacing w:after="0" w:line="170"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Company and Scooby wish to provide Executive with certain separation benefits, which are conditioned upon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Executive’s execution, delivery and non-revocation of this Agreement; and</w:t>
      </w:r>
    </w:p>
    <w:p>
      <w:pPr>
        <w:spacing w:after="0" w:line="153"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Parties wish to resolve any and all claims that Executive has or may have against the Company, Scooby and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Company Parties (as defined below), including any claims that Executive has or may have arising from or relating to Executive’s employment, or the end of Executive’s employment, with any Company Party.</w:t>
      </w:r>
    </w:p>
    <w:p>
      <w:pPr>
        <w:spacing w:after="0" w:line="170"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promises set forth herein, and for other good and valuable consideration, the receipt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sufficiency of which are hereby acknowledged by Executive and the Company, the Parties, intending to be legally bound, hereby agree as follows:</w:t>
      </w:r>
    </w:p>
    <w:p>
      <w:pPr>
        <w:spacing w:after="0" w:line="170" w:lineRule="exact"/>
        <w:rPr>
          <w:sz w:val="20"/>
          <w:szCs w:val="20"/>
          <w:color w:val="auto"/>
        </w:rPr>
      </w:pPr>
    </w:p>
    <w:p>
      <w:pPr>
        <w:ind w:left="520" w:hanging="512"/>
        <w:spacing w:after="0"/>
        <w:tabs>
          <w:tab w:leader="none" w:pos="520" w:val="left"/>
        </w:tabs>
        <w:numPr>
          <w:ilvl w:val="0"/>
          <w:numId w:val="1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Separation from Employment</w:t>
      </w:r>
      <w:r>
        <w:rPr>
          <w:rFonts w:ascii="Times New Roman" w:cs="Times New Roman" w:eastAsia="Times New Roman" w:hAnsi="Times New Roman"/>
          <w:sz w:val="20"/>
          <w:szCs w:val="20"/>
          <w:color w:val="auto"/>
        </w:rPr>
        <w:t>.</w:t>
      </w:r>
    </w:p>
    <w:p>
      <w:pPr>
        <w:spacing w:after="0" w:line="218" w:lineRule="exact"/>
        <w:rPr>
          <w:rFonts w:ascii="Times New Roman" w:cs="Times New Roman" w:eastAsia="Times New Roman" w:hAnsi="Times New Roman"/>
          <w:sz w:val="20"/>
          <w:szCs w:val="20"/>
          <w:b w:val="1"/>
          <w:bCs w:val="1"/>
          <w:color w:val="auto"/>
        </w:rPr>
      </w:pPr>
    </w:p>
    <w:p>
      <w:pPr>
        <w:jc w:val="both"/>
        <w:ind w:firstLine="757"/>
        <w:spacing w:after="0" w:line="245" w:lineRule="auto"/>
        <w:tabs>
          <w:tab w:leader="none" w:pos="1018" w:val="left"/>
        </w:tabs>
        <w:numPr>
          <w:ilvl w:val="1"/>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Executive’s employment with the Company terminated effective as of the Separation Date. As of the Separation Date, Executive will no longer be employed by the Company or any other Company Party, and Executive will be deemed to have automatically resigned (i) as an officer of the Company and its affiliates (as applicable) and (ii) from the board of managers, board of directors or similar governing body of each of the Company and its affiliates (as applicable) and any other corporation, limited liability company, trade organization, or other entity in which the Company or any of its affiliates holds an equity interest or with respect to which board or similar governing body Executive serves as the designee or other representative of the Company or any of its affiliates.</w:t>
      </w:r>
    </w:p>
    <w:p>
      <w:pPr>
        <w:spacing w:after="0" w:line="182" w:lineRule="exact"/>
        <w:rPr>
          <w:rFonts w:ascii="Times New Roman" w:cs="Times New Roman" w:eastAsia="Times New Roman" w:hAnsi="Times New Roman"/>
          <w:sz w:val="20"/>
          <w:szCs w:val="20"/>
          <w:color w:val="auto"/>
        </w:rPr>
      </w:pPr>
    </w:p>
    <w:p>
      <w:pPr>
        <w:jc w:val="both"/>
        <w:ind w:firstLine="757"/>
        <w:spacing w:after="0" w:line="253" w:lineRule="auto"/>
        <w:tabs>
          <w:tab w:leader="none" w:pos="1018" w:val="left"/>
        </w:tabs>
        <w:numPr>
          <w:ilvl w:val="1"/>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acknowledges and agrees that Executive has been paid in full all bonuses, been provided all benefits, and otherwise received all wages, compensation and other sums that Executive has been owed by each Company Party. Executive further acknowledges and agrees that Executive has received all leaves (paid and unpaid) that Executive has been entitled to receive from each Company Party.</w:t>
      </w:r>
    </w:p>
    <w:p>
      <w:pPr>
        <w:spacing w:after="0" w:line="172" w:lineRule="exact"/>
        <w:rPr>
          <w:rFonts w:ascii="Times New Roman" w:cs="Times New Roman" w:eastAsia="Times New Roman" w:hAnsi="Times New Roman"/>
          <w:sz w:val="20"/>
          <w:szCs w:val="20"/>
          <w:color w:val="auto"/>
        </w:rPr>
      </w:pPr>
    </w:p>
    <w:p>
      <w:pPr>
        <w:jc w:val="both"/>
        <w:ind w:firstLine="8"/>
        <w:spacing w:after="0" w:line="255" w:lineRule="auto"/>
        <w:tabs>
          <w:tab w:leader="none" w:pos="509" w:val="left"/>
        </w:tabs>
        <w:numPr>
          <w:ilvl w:val="0"/>
          <w:numId w:val="1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Separation Payments and Benefits</w:t>
      </w:r>
      <w:r>
        <w:rPr>
          <w:rFonts w:ascii="Times New Roman" w:cs="Times New Roman" w:eastAsia="Times New Roman" w:hAnsi="Times New Roman"/>
          <w:sz w:val="20"/>
          <w:szCs w:val="20"/>
          <w:color w:val="auto"/>
        </w:rPr>
        <w:t>. Provided that Executive: (x) executes this Agreement on or after the Separation Date and returns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copy of this Agreement that has been executed by Executive to the Company so that it is received by Giovanni Insana, Chief Legal Officer and Secretary, 10850 Via Frontera,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866140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03" w:name="page104"/>
    <w:bookmarkEnd w:id="103"/>
    <w:p>
      <w:pPr>
        <w:spacing w:after="0" w:line="187" w:lineRule="exact"/>
        <w:rPr>
          <w:sz w:val="20"/>
          <w:szCs w:val="20"/>
          <w:color w:val="auto"/>
        </w:rPr>
      </w:pPr>
    </w:p>
    <w:p>
      <w:pPr>
        <w:jc w:val="both"/>
        <w:ind w:firstLine="509"/>
        <w:spacing w:after="0" w:line="249" w:lineRule="auto"/>
        <w:rPr>
          <w:sz w:val="20"/>
          <w:szCs w:val="20"/>
          <w:color w:val="auto"/>
        </w:rPr>
      </w:pPr>
      <w:r>
        <w:rPr>
          <w:rFonts w:ascii="Times New Roman" w:cs="Times New Roman" w:eastAsia="Times New Roman" w:hAnsi="Times New Roman"/>
          <w:sz w:val="20"/>
          <w:szCs w:val="20"/>
          <w:color w:val="auto"/>
        </w:rPr>
        <w:t xml:space="preserve">San Diego, California 92127 (email: Giovanni.Insana@petco.com) by no later than 5:00 pm PT on May 27, 2024 (which is at least 45 days following the date this Agreement was provided to Executive); (y) does not revoke Executive’s acceptance of this Agreement pursuant to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xml:space="preserve">; and (z) remains in compliance with the other terms and conditions set forth in this Agreement (including </w:t>
      </w:r>
      <w:r>
        <w:rPr>
          <w:rFonts w:ascii="Times New Roman" w:cs="Times New Roman" w:eastAsia="Times New Roman" w:hAnsi="Times New Roman"/>
          <w:sz w:val="20"/>
          <w:szCs w:val="20"/>
          <w:u w:val="single" w:color="auto"/>
          <w:color w:val="auto"/>
        </w:rPr>
        <w:t>Sections 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w:t>
      </w:r>
      <w:r>
        <w:rPr>
          <w:rFonts w:ascii="Times New Roman" w:cs="Times New Roman" w:eastAsia="Times New Roman" w:hAnsi="Times New Roman"/>
          <w:sz w:val="20"/>
          <w:szCs w:val="20"/>
          <w:color w:val="auto"/>
        </w:rPr>
        <w:t>), Executive shall be provided with the following separation payments and benefits:</w:t>
      </w:r>
    </w:p>
    <w:p>
      <w:pPr>
        <w:spacing w:after="0" w:line="178" w:lineRule="exact"/>
        <w:rPr>
          <w:sz w:val="20"/>
          <w:szCs w:val="20"/>
          <w:color w:val="auto"/>
        </w:rPr>
      </w:pPr>
    </w:p>
    <w:p>
      <w:pPr>
        <w:jc w:val="both"/>
        <w:ind w:firstLine="757"/>
        <w:spacing w:after="0" w:line="249" w:lineRule="auto"/>
        <w:tabs>
          <w:tab w:leader="none" w:pos="1018"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pay to Executive a lump sum cash payment of $653,833.84, representing 12 months of Executive’s base salary and 12 months of monthly premiums for Executive’s and Executive’s covered dependents’ participation in the Company’s group health plans pursuant to COBRA (as defined in the Severance Plan), payable within 30 days following the expiration of the Release Revocation Period (as defined below);</w:t>
      </w:r>
    </w:p>
    <w:p>
      <w:pPr>
        <w:spacing w:after="0" w:line="178"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pay to Executive a pro rata portion of the actual annual incentive that Executive would have earned for the 2024 fiscal year, based on the number of days Executive is employed during such fiscal year, payable on the date when annual incentives under the applicable incentive plan are otherwise paid and in all events by April 15, 2025, with any individual performance metrics calculated based on the average calculated payout percentage for all participants in such annual incentive plan, rounded to the nearest whole percentage point; and</w:t>
      </w:r>
    </w:p>
    <w:p>
      <w:pPr>
        <w:spacing w:after="0" w:line="183"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accordance with the terms of the Award Agreements, the Units designated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to be accelerated shall become fully vested effective as of the Separation Date upon the expiration of the Release Revocation Period, and for the avoidance of doubt, all of the Units (including the Units that vest hereunder) shall otherwise remain subject to the terms and conditions of the Award Agreements in all respects.</w:t>
      </w:r>
    </w:p>
    <w:p>
      <w:pPr>
        <w:spacing w:after="0" w:line="17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Executive acknowledges and agrees that the consideration referenced in this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represents the entirety of the amounts Executive is eligible to receive as severance pay and benefits from the Company or any other Company Party, including under the Award Agreements, the Employment Agreement, the Severance Plan. Executive further acknowledges that as of the Separation Date, (i) all Units which remain unvested after giving effect to </w:t>
      </w:r>
      <w:r>
        <w:rPr>
          <w:rFonts w:ascii="Times New Roman" w:cs="Times New Roman" w:eastAsia="Times New Roman" w:hAnsi="Times New Roman"/>
          <w:sz w:val="20"/>
          <w:szCs w:val="20"/>
          <w:u w:val="single" w:color="auto"/>
          <w:color w:val="auto"/>
        </w:rPr>
        <w:t>Section 2(c)</w:t>
      </w:r>
      <w:r>
        <w:rPr>
          <w:rFonts w:ascii="Times New Roman" w:cs="Times New Roman" w:eastAsia="Times New Roman" w:hAnsi="Times New Roman"/>
          <w:sz w:val="20"/>
          <w:szCs w:val="20"/>
          <w:color w:val="auto"/>
        </w:rPr>
        <w:t xml:space="preserve"> shall be forfeited upon the Separation Date for no consideration, and Executive shall have no rights with respect thereto; and (ii) Executive will automatically forfeit any and all unvested restricted stock units, performance stock units and stock options granted under the Petco Health and Wellness Company, Inc. 2021 Equity Incentive Plan, and such awards shall terminate automatically and without any further action by the Company and at no cost to the Company.</w:t>
      </w:r>
    </w:p>
    <w:p>
      <w:pPr>
        <w:spacing w:after="0" w:line="180" w:lineRule="exact"/>
        <w:rPr>
          <w:sz w:val="20"/>
          <w:szCs w:val="20"/>
          <w:color w:val="auto"/>
        </w:rPr>
      </w:pPr>
    </w:p>
    <w:p>
      <w:pPr>
        <w:ind w:left="520" w:hanging="512"/>
        <w:spacing w:after="0"/>
        <w:tabs>
          <w:tab w:leader="none" w:pos="520" w:val="left"/>
        </w:tabs>
        <w:numPr>
          <w:ilvl w:val="0"/>
          <w:numId w:val="18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Release of Liability for Claims</w:t>
      </w:r>
      <w:r>
        <w:rPr>
          <w:rFonts w:ascii="Times New Roman" w:cs="Times New Roman" w:eastAsia="Times New Roman" w:hAnsi="Times New Roman"/>
          <w:sz w:val="20"/>
          <w:szCs w:val="20"/>
          <w:color w:val="auto"/>
        </w:rPr>
        <w:t>.</w:t>
      </w:r>
    </w:p>
    <w:p>
      <w:pPr>
        <w:spacing w:after="0" w:line="218" w:lineRule="exact"/>
        <w:rPr>
          <w:rFonts w:ascii="Times New Roman" w:cs="Times New Roman" w:eastAsia="Times New Roman" w:hAnsi="Times New Roman"/>
          <w:sz w:val="20"/>
          <w:szCs w:val="20"/>
          <w:b w:val="1"/>
          <w:bCs w:val="1"/>
          <w:color w:val="auto"/>
        </w:rPr>
      </w:pPr>
    </w:p>
    <w:p>
      <w:pPr>
        <w:jc w:val="both"/>
        <w:ind w:firstLine="757"/>
        <w:spacing w:after="0" w:line="242" w:lineRule="auto"/>
        <w:tabs>
          <w:tab w:leader="none" w:pos="1018" w:val="left"/>
        </w:tabs>
        <w:numPr>
          <w:ilvl w:val="1"/>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good and valuable consideration, including the consideration set forth in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(and any portion thereof), Executive knowingly and voluntarily (for Executive, Executive’s family, and Executive’s heirs, executors, administrators and assigns) hereby releases and forever discharges the Company, Petco Animal Supplies, Inc., Scooby, Petco Health and Wellness Company, Inc. (collectively, the “</w:t>
      </w:r>
      <w:r>
        <w:rPr>
          <w:rFonts w:ascii="Times New Roman" w:cs="Times New Roman" w:eastAsia="Times New Roman" w:hAnsi="Times New Roman"/>
          <w:sz w:val="20"/>
          <w:szCs w:val="20"/>
          <w:u w:val="single" w:color="auto"/>
          <w:color w:val="auto"/>
        </w:rPr>
        <w:t>Petco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Affiliated Entities</w:t>
      </w:r>
      <w:r>
        <w:rPr>
          <w:rFonts w:ascii="Times New Roman" w:cs="Times New Roman" w:eastAsia="Times New Roman" w:hAnsi="Times New Roman"/>
          <w:sz w:val="20"/>
          <w:szCs w:val="20"/>
          <w:color w:val="auto"/>
        </w:rPr>
        <w:t>”) and their respective affiliates, predecessors, successors, subsidiaries and benefit plans, and the foregoing entities’ respective equity-holders, officers, directors, managers, members, partners, Executives, agents, representatives, and other affiliated persons, and the Company’s and its affiliates’ benefit plans (and the fiduciaries and trustees of such plans) (collectively, the “</w:t>
      </w:r>
      <w:r>
        <w:rPr>
          <w:rFonts w:ascii="Times New Roman" w:cs="Times New Roman" w:eastAsia="Times New Roman" w:hAnsi="Times New Roman"/>
          <w:sz w:val="20"/>
          <w:szCs w:val="20"/>
          <w:u w:val="single" w:color="auto"/>
          <w:color w:val="auto"/>
        </w:rPr>
        <w:t>Company Parties</w:t>
      </w:r>
      <w:r>
        <w:rPr>
          <w:rFonts w:ascii="Times New Roman" w:cs="Times New Roman" w:eastAsia="Times New Roman" w:hAnsi="Times New Roman"/>
          <w:sz w:val="20"/>
          <w:szCs w:val="20"/>
          <w:color w:val="auto"/>
        </w:rPr>
        <w:t>”), from liability for, and Executive hereby waives, any and all claims, damages, or causes of action of any kind related to Executive’s ownership of any interest in any Company Party, Executive’s employment with any Company Party, the termination of such employment, and any other acts or omissions related to any matter occurring on or prior to the date that Executive executes this Agreement, including (i) any alleged violation through such time of: (A) any federal, state or local anti-discrimination, anti-harassment or anti-retaliation law, regulation or ordinance, including the Age Discrimination in</w:t>
      </w:r>
    </w:p>
    <w:p>
      <w:pPr>
        <w:spacing w:after="0" w:line="3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Employment Act of 1967 (including as amended by the Older Workers Benefit Protection Act), Title VII of the Civil Rights Act of 1964, the Civil Rights Act of 1991, Sections 1981 through 1988 of Title 42 of the United States Code and the Americans with Disabilities Act of 1990, as amended; (B) the Employee Retirement Income Security Act of 1974 (“</w:t>
      </w:r>
      <w:r>
        <w:rPr>
          <w:rFonts w:ascii="Times New Roman" w:cs="Times New Roman" w:eastAsia="Times New Roman" w:hAnsi="Times New Roman"/>
          <w:sz w:val="19"/>
          <w:szCs w:val="19"/>
          <w:u w:val="single" w:color="auto"/>
          <w:color w:val="auto"/>
        </w:rPr>
        <w:t>ERISA</w:t>
      </w:r>
      <w:r>
        <w:rPr>
          <w:rFonts w:ascii="Times New Roman" w:cs="Times New Roman" w:eastAsia="Times New Roman" w:hAnsi="Times New Roman"/>
          <w:sz w:val="19"/>
          <w:szCs w:val="19"/>
          <w:color w:val="auto"/>
        </w:rPr>
        <w:t>”); (C) the Immigration Reform Control Act; (D) the National Labor Relations Act; (E) the Occupational Safety and Health Act; (F) the Family and Medical Leave Act of 1993; (G) California’s Fair Employment and Housing Act, the California Pregnancy Disability Leave law, the California Family Rights Act, the Healthy Workplace Healthy Family Act of 2014, the California Labor Code, the Private Attorneys’ General Act (Labor Code§ 2698 et seq.), any Wage Orders issued by the California Industrial Welfare Commission and the California Business and Professionals Code, he Nevada Fair Employment Practices Act, Nevada's overtime, meal and rest period, and related wage and hour penalty statutes, NRS 608.250 relating to the payment of minimum wage for each hour worked, NRS 613.010, related to inducing a person to change their work location under false pretenses, and NRS 613.210, relating to the "blacklisting" of employees”; (H) any federal, state or local wage and hour law; (I) any other local, state or federal law, regulation or ordinance; or (J) any public policy, contract, tort, or common law claim; (ii) any and all rights, benefits or claims Executive may have under any employment contract, incentive compensation plan or equity-based plan with any Company Party or to any ownership interest in any Company Party (including the Employment Agreement, the Severance Plan and the Award Agreements); (iii) any claim for compensation or benefits of any kind not expressly set forth in this Agreement; and (iv) any allegation for costs, fees, or other expenses including attorneys’ fees incurred in or with respect to any of the foregoing (collectively, the “</w:t>
      </w:r>
      <w:r>
        <w:rPr>
          <w:rFonts w:ascii="Times New Roman" w:cs="Times New Roman" w:eastAsia="Times New Roman" w:hAnsi="Times New Roman"/>
          <w:sz w:val="19"/>
          <w:szCs w:val="19"/>
          <w:u w:val="single" w:color="auto"/>
          <w:color w:val="auto"/>
        </w:rPr>
        <w:t>Released Claims</w:t>
      </w:r>
      <w:r>
        <w:rPr>
          <w:rFonts w:ascii="Times New Roman" w:cs="Times New Roman" w:eastAsia="Times New Roman" w:hAnsi="Times New Roman"/>
          <w:sz w:val="19"/>
          <w:szCs w:val="19"/>
          <w:color w:val="auto"/>
        </w:rPr>
        <w:t xml:space="preserve">”). This Agreement is not intended to indicate that any such claims exist or that, if they do exist, they are meritorious. Rather, Executive is simply agreeing that, in exchange for any consideration received by Executive pursuant to </w:t>
      </w:r>
      <w:r>
        <w:rPr>
          <w:rFonts w:ascii="Times New Roman" w:cs="Times New Roman" w:eastAsia="Times New Roman" w:hAnsi="Times New Roman"/>
          <w:sz w:val="19"/>
          <w:szCs w:val="19"/>
          <w:u w:val="single" w:color="auto"/>
          <w:color w:val="auto"/>
        </w:rPr>
        <w:t>Section 2</w:t>
      </w:r>
      <w:r>
        <w:rPr>
          <w:rFonts w:ascii="Times New Roman" w:cs="Times New Roman" w:eastAsia="Times New Roman" w:hAnsi="Times New Roman"/>
          <w:sz w:val="19"/>
          <w:szCs w:val="19"/>
          <w:color w:val="auto"/>
        </w:rPr>
        <w:t xml:space="preserve">, any and all potential claims of this nature that Executive may have against the Company Parties, regardless of whether they actually exist, are expressly settled, compromised and waived. </w:t>
      </w:r>
      <w:r>
        <w:rPr>
          <w:rFonts w:ascii="Times New Roman" w:cs="Times New Roman" w:eastAsia="Times New Roman" w:hAnsi="Times New Roman"/>
          <w:sz w:val="19"/>
          <w:szCs w:val="19"/>
          <w:b w:val="1"/>
          <w:bCs w:val="1"/>
          <w:color w:val="auto"/>
        </w:rPr>
        <w:t>THIS</w:t>
      </w:r>
    </w:p>
    <w:p>
      <w:pPr>
        <w:spacing w:after="0" w:line="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color w:val="auto"/>
        </w:rPr>
        <w:t>RELEASE INCLUDES MATTERS ATTRIBUTABLE TO THE SOLE OR PARTIAL NEGLIGENCE (WHETHER GROSS OR SIMPLE) OR OTHER FAULT, INCLUDING STRICT LIABILITY, OF ANY OF THE COMPANY PARTIES.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(b) Section 1542 of the Civil Code of the State of California (“</w:t>
      </w:r>
      <w:r>
        <w:rPr>
          <w:rFonts w:ascii="Times New Roman" w:cs="Times New Roman" w:eastAsia="Times New Roman" w:hAnsi="Times New Roman"/>
          <w:sz w:val="20"/>
          <w:szCs w:val="20"/>
          <w:u w:val="single" w:color="auto"/>
          <w:color w:val="auto"/>
        </w:rPr>
        <w:t>Section 1542</w:t>
      </w:r>
      <w:r>
        <w:rPr>
          <w:rFonts w:ascii="Times New Roman" w:cs="Times New Roman" w:eastAsia="Times New Roman" w:hAnsi="Times New Roman"/>
          <w:sz w:val="20"/>
          <w:szCs w:val="20"/>
          <w:color w:val="auto"/>
        </w:rPr>
        <w:t>”) provides:</w:t>
      </w:r>
    </w:p>
    <w:p>
      <w:pPr>
        <w:spacing w:after="0" w:line="215" w:lineRule="exact"/>
        <w:rPr>
          <w:sz w:val="20"/>
          <w:szCs w:val="20"/>
          <w:color w:val="auto"/>
        </w:rPr>
      </w:pPr>
    </w:p>
    <w:p>
      <w:pPr>
        <w:jc w:val="both"/>
        <w:ind w:left="760" w:right="740"/>
        <w:spacing w:after="0" w:line="249" w:lineRule="auto"/>
        <w:rPr>
          <w:sz w:val="20"/>
          <w:szCs w:val="20"/>
          <w:color w:val="auto"/>
        </w:rPr>
      </w:pPr>
      <w:r>
        <w:rPr>
          <w:rFonts w:ascii="Times New Roman" w:cs="Times New Roman" w:eastAsia="Times New Roman" w:hAnsi="Times New Roman"/>
          <w:sz w:val="20"/>
          <w:szCs w:val="20"/>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Executive waives all rights under Section 1542 or any other law or statute of similar effect in any jurisdiction with respect to the Released Claims. Executive acknowledges that Executive understands the significance and specifically assumes the risk regarding the consequences of such release and such specific waiver of Section 1542.</w:t>
      </w:r>
    </w:p>
    <w:p>
      <w:pPr>
        <w:spacing w:after="0" w:line="176" w:lineRule="exact"/>
        <w:rPr>
          <w:sz w:val="20"/>
          <w:szCs w:val="20"/>
          <w:color w:val="auto"/>
        </w:rPr>
      </w:pPr>
    </w:p>
    <w:p>
      <w:pPr>
        <w:jc w:val="both"/>
        <w:ind w:firstLine="757"/>
        <w:spacing w:after="0" w:line="250" w:lineRule="auto"/>
        <w:tabs>
          <w:tab w:leader="none" w:pos="1018" w:val="left"/>
        </w:tabs>
        <w:numPr>
          <w:ilvl w:val="1"/>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the avoidance of doubt, nothing in this Agreement releases Executive’s rights to receive payments or benefits pursuant to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Further, in no event shall the Released Claims include (i) any claim that arises after the date that Executive signs this Agreement;</w:t>
      </w:r>
    </w:p>
    <w:p>
      <w:pPr>
        <w:spacing w:after="0" w:line="1" w:lineRule="exact"/>
        <w:rPr>
          <w:rFonts w:ascii="Times New Roman" w:cs="Times New Roman" w:eastAsia="Times New Roman" w:hAnsi="Times New Roman"/>
          <w:sz w:val="20"/>
          <w:szCs w:val="20"/>
          <w:color w:val="auto"/>
        </w:rPr>
      </w:pPr>
    </w:p>
    <w:p>
      <w:pPr>
        <w:jc w:val="both"/>
        <w:ind w:firstLine="8"/>
        <w:spacing w:after="0"/>
        <w:tabs>
          <w:tab w:leader="none" w:pos="296"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claim to unemployment benefits, worker’s compensation or vested benefits under an employee benefit plan that is subject to ERISA; and (iii) any claim for breach of, or otherwise arising out of, this Agreement. Further notwithstanding this release of liability, nothing in this Agreement prevents Executive from filing any non-legally waivable claim (including a challenge to the validity of this Agreement) with the Equal Employment Opportunity Commission (“</w:t>
      </w:r>
      <w:r>
        <w:rPr>
          <w:rFonts w:ascii="Times New Roman" w:cs="Times New Roman" w:eastAsia="Times New Roman" w:hAnsi="Times New Roman"/>
          <w:sz w:val="20"/>
          <w:szCs w:val="20"/>
          <w:u w:val="single" w:color="auto"/>
          <w:color w:val="auto"/>
        </w:rPr>
        <w:t>EEOC</w:t>
      </w:r>
      <w:r>
        <w:rPr>
          <w:rFonts w:ascii="Times New Roman" w:cs="Times New Roman" w:eastAsia="Times New Roman" w:hAnsi="Times New Roman"/>
          <w:sz w:val="20"/>
          <w:szCs w:val="20"/>
          <w:color w:val="auto"/>
        </w:rPr>
        <w:t>”) or comparable state or local agency or participating in (or cooperating with) any investigation or proceeding conducted by the EEOC or comparable state or local agency or cooperating in any such investigation or proceeding; however, Executive understands and agrees that Executive is waiving</w:t>
      </w:r>
    </w:p>
    <w:p>
      <w:pPr>
        <w:spacing w:after="0" w:line="3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8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any and all rights to recover any monetary or personal relief from a Company Party as a result of such EEOC or comparable state or local agency or proceeding or subsequent legal actions. Further, nothing in this Agreement prohibits or restricts Executive from (A) filing a charge or complaint with, or cooperating in any investigation with, the Securities and Exchange Commission, the Financial Industry Regulatory Authority, or any other governmental agency, entity or authority (each, a “</w:t>
      </w:r>
      <w:r>
        <w:rPr>
          <w:rFonts w:ascii="Times New Roman" w:cs="Times New Roman" w:eastAsia="Times New Roman" w:hAnsi="Times New Roman"/>
          <w:sz w:val="20"/>
          <w:szCs w:val="20"/>
          <w:u w:val="single" w:color="auto"/>
          <w:color w:val="auto"/>
        </w:rPr>
        <w:t>Government Agency</w:t>
      </w:r>
      <w:r>
        <w:rPr>
          <w:rFonts w:ascii="Times New Roman" w:cs="Times New Roman" w:eastAsia="Times New Roman" w:hAnsi="Times New Roman"/>
          <w:sz w:val="20"/>
          <w:szCs w:val="20"/>
          <w:color w:val="auto"/>
        </w:rPr>
        <w:t>”), (B) reporting violations of U.S. federal or state laws or regulations to a Government Agency, (C) making disclosures that are protected under U.S. federal and state whistleblower laws and regulations or (D) accepting any monetary reward in connection therewith. Nothing herein shall prevent Executive from discussing or disclosing information regarding unlawful acts in the workplace, such as harassment, discrimination or any other conduct that Executive has reason to believe is unlawful.</w:t>
      </w:r>
    </w:p>
    <w:p>
      <w:pPr>
        <w:spacing w:after="0" w:line="183" w:lineRule="exact"/>
        <w:rPr>
          <w:sz w:val="20"/>
          <w:szCs w:val="20"/>
          <w:color w:val="auto"/>
        </w:rPr>
      </w:pPr>
    </w:p>
    <w:p>
      <w:pPr>
        <w:jc w:val="both"/>
        <w:ind w:firstLine="8"/>
        <w:spacing w:after="0" w:line="244" w:lineRule="auto"/>
        <w:tabs>
          <w:tab w:leader="none" w:pos="509" w:val="left"/>
        </w:tabs>
        <w:numPr>
          <w:ilvl w:val="0"/>
          <w:numId w:val="1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Representations and Warranties Regarding Claims</w:t>
      </w:r>
      <w:r>
        <w:rPr>
          <w:rFonts w:ascii="Times New Roman" w:cs="Times New Roman" w:eastAsia="Times New Roman" w:hAnsi="Times New Roman"/>
          <w:sz w:val="20"/>
          <w:szCs w:val="20"/>
          <w:color w:val="auto"/>
        </w:rPr>
        <w:t>. Executive represents and warrants that, as of the time at which Executive signs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Executive has not filed or joined any claims, complaints, charges, or lawsuits against any of the Company Parties with any governmental agency or with any state or federal court or arbitrator for, or with respect to, a matter, claim, or incident that occurred or arose out of one or more occurrences that took place on or prior to the time at which Executive signs this Agreement (excluding, for the avoidance of doubt, any whistleblower complaints protected under applicable law), and Executive is not aware of any violation of any law, rule or regulation or any other misconduct by the Company or any of its officers or employees. Executive further represents and warrants that Executive has not made any assignment, sale, delivery, transfer or conveyance of any rights Executive has asserted or may have against any of the Company Parties with respect to any Released Claim.</w:t>
      </w:r>
    </w:p>
    <w:p>
      <w:pPr>
        <w:spacing w:after="0" w:line="179"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1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Covenants</w:t>
      </w:r>
      <w:r>
        <w:rPr>
          <w:rFonts w:ascii="Times New Roman" w:cs="Times New Roman" w:eastAsia="Times New Roman" w:hAnsi="Times New Roman"/>
          <w:sz w:val="20"/>
          <w:szCs w:val="20"/>
          <w:color w:val="auto"/>
        </w:rPr>
        <w:t>.</w:t>
      </w:r>
    </w:p>
    <w:p>
      <w:pPr>
        <w:spacing w:after="0" w:line="218" w:lineRule="exact"/>
        <w:rPr>
          <w:rFonts w:ascii="Times New Roman" w:cs="Times New Roman" w:eastAsia="Times New Roman" w:hAnsi="Times New Roman"/>
          <w:sz w:val="20"/>
          <w:szCs w:val="20"/>
          <w:b w:val="1"/>
          <w:bCs w:val="1"/>
          <w:color w:val="auto"/>
        </w:rPr>
      </w:pPr>
    </w:p>
    <w:p>
      <w:pPr>
        <w:jc w:val="both"/>
        <w:ind w:firstLine="757"/>
        <w:spacing w:after="0" w:line="246" w:lineRule="auto"/>
        <w:tabs>
          <w:tab w:leader="none" w:pos="1018"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acknowledges and agrees that Executive has continuing obligations to the Company and its affiliates pursuant to that certain Confidentiality and Inventions Agreement, including obligations relating to confidentiality and intellectual property, and the Employment Agreement, including obligations related to confidentiality and non-solicitation (collectively, the “</w:t>
      </w:r>
      <w:r>
        <w:rPr>
          <w:rFonts w:ascii="Times New Roman" w:cs="Times New Roman" w:eastAsia="Times New Roman" w:hAnsi="Times New Roman"/>
          <w:sz w:val="20"/>
          <w:szCs w:val="20"/>
          <w:u w:val="single" w:color="auto"/>
          <w:color w:val="auto"/>
        </w:rPr>
        <w:t>Covenants</w:t>
      </w:r>
      <w:r>
        <w:rPr>
          <w:rFonts w:ascii="Times New Roman" w:cs="Times New Roman" w:eastAsia="Times New Roman" w:hAnsi="Times New Roman"/>
          <w:sz w:val="20"/>
          <w:szCs w:val="20"/>
          <w:color w:val="auto"/>
        </w:rPr>
        <w:t>”). In entering into this Agreement, Executive acknowledges the continued effectiveness and enforceability of the Covenants, and Executive expressly reaffirms Executive’s commitment to abide by, and agrees that he will abide by, the terms of the Covenants.</w:t>
      </w:r>
    </w:p>
    <w:p>
      <w:pPr>
        <w:spacing w:after="0" w:line="183"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8"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shall refrain from publishing any oral or written statements about the Company and any Company Party that (i) are slanderous, libelous, disparaging or defamatory, (ii) disclose confidential information of or regarding any Company Party’s business affairs, directors, officers, managers, members, employees, consultants, agents or representatives, or (iii) place the Company, any Company Party or any of their respective directors, officers, managers, members, employees, consultants, agents or representatives in a false light before the public. The Company agrees to direct its current executive officers to refrain from publishing any oral or written statements about Executive that are slanderous, libelous, disparaging or defamatory or that place Executive in a false light before the public.</w:t>
      </w:r>
    </w:p>
    <w:p>
      <w:pPr>
        <w:spacing w:after="0" w:line="178" w:lineRule="exact"/>
        <w:rPr>
          <w:rFonts w:ascii="Times New Roman" w:cs="Times New Roman" w:eastAsia="Times New Roman" w:hAnsi="Times New Roman"/>
          <w:sz w:val="20"/>
          <w:szCs w:val="20"/>
          <w:color w:val="auto"/>
        </w:rPr>
      </w:pPr>
    </w:p>
    <w:p>
      <w:pPr>
        <w:jc w:val="both"/>
        <w:ind w:firstLine="8"/>
        <w:spacing w:after="0" w:line="244" w:lineRule="auto"/>
        <w:tabs>
          <w:tab w:leader="none" w:pos="509" w:val="left"/>
        </w:tabs>
        <w:numPr>
          <w:ilvl w:val="0"/>
          <w:numId w:val="1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Covenant to Cooperate in Legal Proceedings</w:t>
      </w:r>
      <w:r>
        <w:rPr>
          <w:rFonts w:ascii="Times New Roman" w:cs="Times New Roman" w:eastAsia="Times New Roman" w:hAnsi="Times New Roman"/>
          <w:sz w:val="20"/>
          <w:szCs w:val="20"/>
          <w:color w:val="auto"/>
        </w:rPr>
        <w:t>. Executive agrees to fully cooperate with the Petco Affiliated Entities and provide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truthful information in any internal investigation, any administrative, regulatory, or judicial proceeding or any dispute with a third party. Executive understands and agrees that Executive’s cooperation may include making Executive available to the Petco Affiliated Entities upon reasonable notice for interviews and factual investigations; appearing at the Petco Affiliated Entities’ request to give testimony without requiring service of a subpoena or other legal process; volunteering to the Petco Affiliated Entities pertinent information received by Executive in Executive’s capacity as an employee; and turning over to the Petco Affiliated Entities all relevant documents which are or may come into Executive’s possession in Executive’s capacity an employee or otherwise, all at times and on schedules that are reasonably consistent with Executive’s other permitted activities and commitments.</w:t>
      </w:r>
    </w:p>
    <w:p>
      <w:pPr>
        <w:spacing w:after="0" w:line="3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83" w:lineRule="exact"/>
        <w:rPr>
          <w:sz w:val="20"/>
          <w:szCs w:val="20"/>
          <w:color w:val="auto"/>
        </w:rPr>
      </w:pPr>
    </w:p>
    <w:p>
      <w:pPr>
        <w:ind w:left="520" w:hanging="512"/>
        <w:spacing w:after="0"/>
        <w:tabs>
          <w:tab w:leader="none" w:pos="520" w:val="left"/>
        </w:tabs>
        <w:numPr>
          <w:ilvl w:val="0"/>
          <w:numId w:val="1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Executive’s Acknowledgements</w:t>
      </w:r>
      <w:r>
        <w:rPr>
          <w:rFonts w:ascii="Times New Roman" w:cs="Times New Roman" w:eastAsia="Times New Roman" w:hAnsi="Times New Roman"/>
          <w:sz w:val="20"/>
          <w:szCs w:val="20"/>
          <w:color w:val="auto"/>
        </w:rPr>
        <w:t>. By executing and delivering this Agreement, Executive expressly acknowledges that:</w:t>
      </w:r>
    </w:p>
    <w:p>
      <w:pPr>
        <w:spacing w:after="0" w:line="218" w:lineRule="exact"/>
        <w:rPr>
          <w:rFonts w:ascii="Times New Roman" w:cs="Times New Roman" w:eastAsia="Times New Roman" w:hAnsi="Times New Roman"/>
          <w:sz w:val="20"/>
          <w:szCs w:val="20"/>
          <w:b w:val="1"/>
          <w:bCs w:val="1"/>
          <w:color w:val="auto"/>
        </w:rPr>
      </w:pPr>
    </w:p>
    <w:p>
      <w:pPr>
        <w:jc w:val="both"/>
        <w:ind w:firstLine="757"/>
        <w:spacing w:after="0" w:line="246" w:lineRule="auto"/>
        <w:tabs>
          <w:tab w:leader="none" w:pos="1018" w:val="left"/>
        </w:tabs>
        <w:numPr>
          <w:ilvl w:val="1"/>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has been given at least 45 days to review and consider this Agreement. If Executive signs this Agreement before the expiration of 45 days after Executive’s receipt of this Agreement, Executive has knowingly and voluntarily waived any longer consideration period than the one provided to Executive and such earlier signature was not induced by the Company through fraud, misrepresentation or a threat to withdraw or alter this Agreement prior to the expiration of such 45-day period. No changes (whether material or immaterial) to this Agreement shall restart the running of this 45-day period.</w:t>
      </w:r>
    </w:p>
    <w:p>
      <w:pPr>
        <w:spacing w:after="0" w:line="183"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1"/>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is receiving, pursuant to this Agreement, consideration in addition to anything of value to which Executive is already</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entitled;</w:t>
      </w:r>
    </w:p>
    <w:p>
      <w:pPr>
        <w:spacing w:after="0" w:line="192" w:lineRule="exact"/>
        <w:rPr>
          <w:rFonts w:ascii="Times New Roman" w:cs="Times New Roman" w:eastAsia="Times New Roman" w:hAnsi="Times New Roman"/>
          <w:sz w:val="20"/>
          <w:szCs w:val="20"/>
          <w:color w:val="auto"/>
        </w:rPr>
      </w:pPr>
    </w:p>
    <w:p>
      <w:pPr>
        <w:ind w:right="20" w:firstLine="757"/>
        <w:spacing w:after="0" w:line="268" w:lineRule="auto"/>
        <w:tabs>
          <w:tab w:leader="none" w:pos="1018" w:val="left"/>
        </w:tabs>
        <w:numPr>
          <w:ilvl w:val="1"/>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has been advised, and hereby is advised in writing, to discuss this Agreement with an attorney of Executive’s choice and that Executive has had an adequate opportunity to do so prior to executing this Agreement;</w:t>
      </w:r>
    </w:p>
    <w:p>
      <w:pPr>
        <w:spacing w:after="0" w:line="160"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1"/>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fully understands the final and binding effect of this Agreement; the only promises made to Executive to sign this Agreement are those stated herein; Executive is signing this Agreement knowingly, voluntarily and of Executive’s own free will with the full intent of releasing the Company Parties of all claims; Executive acknowledges and agrees that Executive has carefully read this Agreement; and that Executive understands and agrees to each of the terms of this Agreement;</w:t>
      </w:r>
    </w:p>
    <w:p>
      <w:pPr>
        <w:spacing w:after="0" w:line="178" w:lineRule="exact"/>
        <w:rPr>
          <w:rFonts w:ascii="Times New Roman" w:cs="Times New Roman" w:eastAsia="Times New Roman" w:hAnsi="Times New Roman"/>
          <w:sz w:val="20"/>
          <w:szCs w:val="20"/>
          <w:color w:val="auto"/>
        </w:rPr>
      </w:pPr>
    </w:p>
    <w:p>
      <w:pPr>
        <w:ind w:firstLine="757"/>
        <w:spacing w:after="0" w:line="268" w:lineRule="auto"/>
        <w:tabs>
          <w:tab w:leader="none" w:pos="1018" w:val="left"/>
        </w:tabs>
        <w:numPr>
          <w:ilvl w:val="1"/>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only matters relied upon by Executive in causing Executive to sign this Agreement are the provisions set forth in writing within the four corners of this Agreement;</w:t>
      </w:r>
    </w:p>
    <w:p>
      <w:pPr>
        <w:spacing w:after="0" w:line="160" w:lineRule="exact"/>
        <w:rPr>
          <w:rFonts w:ascii="Times New Roman" w:cs="Times New Roman" w:eastAsia="Times New Roman" w:hAnsi="Times New Roman"/>
          <w:sz w:val="20"/>
          <w:szCs w:val="20"/>
          <w:color w:val="auto"/>
        </w:rPr>
      </w:pPr>
    </w:p>
    <w:p>
      <w:pPr>
        <w:jc w:val="both"/>
        <w:ind w:firstLine="757"/>
        <w:spacing w:after="0" w:line="253" w:lineRule="auto"/>
        <w:tabs>
          <w:tab w:leader="none" w:pos="1018" w:val="left"/>
        </w:tabs>
        <w:numPr>
          <w:ilvl w:val="1"/>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Company Party has provided any tax or legal advice regarding this Agreement, and Executive has had an adequate opportunity to receive sufficient tax and legal advice from advisors of Executive’s own choosing such that Executive enters into this Agreement with full understanding of the tax and legal implications thereof; and</w:t>
      </w:r>
    </w:p>
    <w:p>
      <w:pPr>
        <w:spacing w:after="0" w:line="176"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1"/>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Executive has been provided with, and attached to this Agreement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is, a listing of (i) the job titles and ages of all employees selected for participation in the exit incentive program or other employment termination program pursuant to which the Executive is being offered this Agreement; (ii) the job titles and ages of all employees in the same job classification or organizational unit who were not selected for participation in the program; and (iii) information about the unit affected by the program, including any eligibility factors for such program and any time limits applicable to such program.</w:t>
      </w:r>
    </w:p>
    <w:p>
      <w:pPr>
        <w:spacing w:after="0" w:line="179" w:lineRule="exact"/>
        <w:rPr>
          <w:rFonts w:ascii="Times New Roman" w:cs="Times New Roman" w:eastAsia="Times New Roman" w:hAnsi="Times New Roman"/>
          <w:sz w:val="20"/>
          <w:szCs w:val="20"/>
          <w:color w:val="auto"/>
        </w:rPr>
      </w:pPr>
    </w:p>
    <w:p>
      <w:pPr>
        <w:jc w:val="both"/>
        <w:ind w:firstLine="8"/>
        <w:spacing w:after="0" w:line="244" w:lineRule="auto"/>
        <w:tabs>
          <w:tab w:leader="none" w:pos="509" w:val="left"/>
        </w:tabs>
        <w:numPr>
          <w:ilvl w:val="0"/>
          <w:numId w:val="1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Revocation Right</w:t>
      </w:r>
      <w:r>
        <w:rPr>
          <w:rFonts w:ascii="Times New Roman" w:cs="Times New Roman" w:eastAsia="Times New Roman" w:hAnsi="Times New Roman"/>
          <w:sz w:val="20"/>
          <w:szCs w:val="20"/>
          <w:color w:val="auto"/>
        </w:rPr>
        <w:t>. Notwithstanding the initial effectiveness of this Agreement, Executive may revoke the delivery (and therefore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effectiveness) of this Agreement within the seven-day period beginning on the date Executive executes this Agreement (such seven-day period being referred to herein as the “</w:t>
      </w:r>
      <w:r>
        <w:rPr>
          <w:rFonts w:ascii="Times New Roman" w:cs="Times New Roman" w:eastAsia="Times New Roman" w:hAnsi="Times New Roman"/>
          <w:sz w:val="20"/>
          <w:szCs w:val="20"/>
          <w:u w:val="single" w:color="auto"/>
          <w:color w:val="auto"/>
        </w:rPr>
        <w:t>Release Revocation Period</w:t>
      </w:r>
      <w:r>
        <w:rPr>
          <w:rFonts w:ascii="Times New Roman" w:cs="Times New Roman" w:eastAsia="Times New Roman" w:hAnsi="Times New Roman"/>
          <w:sz w:val="20"/>
          <w:szCs w:val="20"/>
          <w:color w:val="auto"/>
        </w:rPr>
        <w:t xml:space="preserve">”). To be effective, such revocation must be in writing signed by Executive and must be delivered personally or by courier to the Company so that it is received by Giovanni Insana, Chief Legal Officer and Secretary, 10850 Via Frontera, San Diego, California 92127 (email: Giovanni.Insana@petco.com) no later than 11:59 pm PT on the last day of the Release Revocation Period. If an effective revocation is delivered in the foregoing manner and timeframe, the release of claims set forth in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will be of no force or effect, Executive will not receive the payments or benefits set forth in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and the remainder of this Agreement will remain in full force and effect.</w:t>
      </w:r>
    </w:p>
    <w:p>
      <w:pPr>
        <w:spacing w:after="0" w:line="3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83" w:lineRule="exact"/>
        <w:rPr>
          <w:sz w:val="20"/>
          <w:szCs w:val="20"/>
          <w:color w:val="auto"/>
        </w:rPr>
      </w:pPr>
    </w:p>
    <w:p>
      <w:pPr>
        <w:ind w:left="-8" w:right="20" w:firstLine="8"/>
        <w:spacing w:after="0" w:line="272" w:lineRule="auto"/>
        <w:tabs>
          <w:tab w:leader="none" w:pos="501" w:val="left"/>
        </w:tabs>
        <w:numPr>
          <w:ilvl w:val="0"/>
          <w:numId w:val="1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Governing Law</w:t>
      </w:r>
      <w:r>
        <w:rPr>
          <w:rFonts w:ascii="Times New Roman" w:cs="Times New Roman" w:eastAsia="Times New Roman" w:hAnsi="Times New Roman"/>
          <w:sz w:val="20"/>
          <w:szCs w:val="20"/>
          <w:color w:val="auto"/>
        </w:rPr>
        <w:t>. This Agreement and its performance will be construed and interpreted in accordance with the laws of the State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Nevada without regard to principles of conflicts of law that would apply the substantive law of any other jurisdiction.</w:t>
      </w:r>
    </w:p>
    <w:p>
      <w:pPr>
        <w:spacing w:after="0" w:line="152" w:lineRule="exact"/>
        <w:rPr>
          <w:rFonts w:ascii="Times New Roman" w:cs="Times New Roman" w:eastAsia="Times New Roman" w:hAnsi="Times New Roman"/>
          <w:sz w:val="20"/>
          <w:szCs w:val="20"/>
          <w:b w:val="1"/>
          <w:bCs w:val="1"/>
          <w:color w:val="auto"/>
        </w:rPr>
      </w:pPr>
    </w:p>
    <w:p>
      <w:pPr>
        <w:ind w:left="-8" w:right="20" w:firstLine="8"/>
        <w:spacing w:after="0" w:line="272" w:lineRule="auto"/>
        <w:tabs>
          <w:tab w:leader="none" w:pos="501" w:val="left"/>
        </w:tabs>
        <w:numPr>
          <w:ilvl w:val="0"/>
          <w:numId w:val="1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Counterparts</w:t>
      </w:r>
      <w:r>
        <w:rPr>
          <w:rFonts w:ascii="Times New Roman" w:cs="Times New Roman" w:eastAsia="Times New Roman" w:hAnsi="Times New Roman"/>
          <w:sz w:val="20"/>
          <w:szCs w:val="20"/>
          <w:color w:val="auto"/>
        </w:rPr>
        <w:t>. This Agreement may be executed in several counterparts, including by .PDF or .GIF attachment to email or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facsimile, each of which is deemed to be an original, and all of which taken together constitute one and the same agreement.</w:t>
      </w:r>
    </w:p>
    <w:p>
      <w:pPr>
        <w:spacing w:after="0" w:line="152" w:lineRule="exact"/>
        <w:rPr>
          <w:rFonts w:ascii="Times New Roman" w:cs="Times New Roman" w:eastAsia="Times New Roman" w:hAnsi="Times New Roman"/>
          <w:sz w:val="20"/>
          <w:szCs w:val="20"/>
          <w:b w:val="1"/>
          <w:bCs w:val="1"/>
          <w:color w:val="auto"/>
        </w:rPr>
      </w:pPr>
    </w:p>
    <w:p>
      <w:pPr>
        <w:jc w:val="both"/>
        <w:ind w:left="-8" w:right="20" w:firstLine="8"/>
        <w:spacing w:after="0" w:line="250" w:lineRule="auto"/>
        <w:tabs>
          <w:tab w:leader="none" w:pos="501" w:val="left"/>
        </w:tabs>
        <w:numPr>
          <w:ilvl w:val="0"/>
          <w:numId w:val="1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Amendment; Entire Agreement</w:t>
      </w:r>
      <w:r>
        <w:rPr>
          <w:rFonts w:ascii="Times New Roman" w:cs="Times New Roman" w:eastAsia="Times New Roman" w:hAnsi="Times New Roman"/>
          <w:sz w:val="20"/>
          <w:szCs w:val="20"/>
          <w:color w:val="auto"/>
        </w:rPr>
        <w:t>. This Agreement may not be changed orally but only by an agreement in writing agreed to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signed by the Party to be charged. This Agreement, the Award Agreements and the Covenants constitute the entire agreement of the Parties with regard to the subject matter hereof and supersede all prior and contemporaneous agreements and understandings, oral or written, between Executive and any Company Party with regard to the subject matter hereof.</w:t>
      </w:r>
    </w:p>
    <w:p>
      <w:pPr>
        <w:spacing w:after="0" w:line="174" w:lineRule="exact"/>
        <w:rPr>
          <w:rFonts w:ascii="Times New Roman" w:cs="Times New Roman" w:eastAsia="Times New Roman" w:hAnsi="Times New Roman"/>
          <w:sz w:val="20"/>
          <w:szCs w:val="20"/>
          <w:b w:val="1"/>
          <w:bCs w:val="1"/>
          <w:color w:val="auto"/>
        </w:rPr>
      </w:pPr>
    </w:p>
    <w:p>
      <w:pPr>
        <w:ind w:left="-8" w:firstLine="8"/>
        <w:spacing w:after="0" w:line="272" w:lineRule="auto"/>
        <w:tabs>
          <w:tab w:leader="none" w:pos="501" w:val="left"/>
        </w:tabs>
        <w:numPr>
          <w:ilvl w:val="0"/>
          <w:numId w:val="1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Third-Party Beneficiaries</w:t>
      </w:r>
      <w:r>
        <w:rPr>
          <w:rFonts w:ascii="Times New Roman" w:cs="Times New Roman" w:eastAsia="Times New Roman" w:hAnsi="Times New Roman"/>
          <w:sz w:val="20"/>
          <w:szCs w:val="20"/>
          <w:color w:val="auto"/>
        </w:rPr>
        <w:t>. Executive expressly acknowledges and agrees that each Petco Affiliated Entity that is not a party to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Agreement shall be a third-party beneficiary of Sections </w:t>
      </w:r>
      <w:r>
        <w:rPr>
          <w:rFonts w:ascii="Times New Roman" w:cs="Times New Roman" w:eastAsia="Times New Roman" w:hAnsi="Times New Roman"/>
          <w:sz w:val="20"/>
          <w:szCs w:val="20"/>
          <w:u w:val="single" w:color="auto"/>
          <w:color w:val="auto"/>
        </w:rPr>
        <w:t>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14</w:t>
      </w:r>
      <w:r>
        <w:rPr>
          <w:rFonts w:ascii="Times New Roman" w:cs="Times New Roman" w:eastAsia="Times New Roman" w:hAnsi="Times New Roman"/>
          <w:sz w:val="20"/>
          <w:szCs w:val="20"/>
          <w:color w:val="auto"/>
        </w:rPr>
        <w:t xml:space="preserve"> and entitled to enforce such provisions as if it were a party hereto.</w:t>
      </w:r>
    </w:p>
    <w:p>
      <w:pPr>
        <w:spacing w:after="0" w:line="152" w:lineRule="exact"/>
        <w:rPr>
          <w:rFonts w:ascii="Times New Roman" w:cs="Times New Roman" w:eastAsia="Times New Roman" w:hAnsi="Times New Roman"/>
          <w:sz w:val="20"/>
          <w:szCs w:val="20"/>
          <w:b w:val="1"/>
          <w:bCs w:val="1"/>
          <w:color w:val="auto"/>
        </w:rPr>
      </w:pPr>
    </w:p>
    <w:p>
      <w:pPr>
        <w:jc w:val="both"/>
        <w:ind w:left="-8" w:firstLine="8"/>
        <w:spacing w:after="0" w:line="250" w:lineRule="auto"/>
        <w:tabs>
          <w:tab w:leader="none" w:pos="501" w:val="left"/>
        </w:tabs>
        <w:numPr>
          <w:ilvl w:val="0"/>
          <w:numId w:val="1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Further Assurances</w:t>
      </w:r>
      <w:r>
        <w:rPr>
          <w:rFonts w:ascii="Times New Roman" w:cs="Times New Roman" w:eastAsia="Times New Roman" w:hAnsi="Times New Roman"/>
          <w:sz w:val="20"/>
          <w:szCs w:val="20"/>
          <w:color w:val="auto"/>
        </w:rPr>
        <w:t>. Executive shall, and shall cause Executive’s affiliates, representatives and agents to, from time to time at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request of the Company and without any additional consideration, furnish the Company with such further information or assurances, execute and deliver such additional documents, instruments and conveyances, and take such other actions and do such other things, as may be reasonably necessary or desirable, as determined in the sole discretion of the Company, to carry out the provisions of this Agreement.</w:t>
      </w:r>
    </w:p>
    <w:p>
      <w:pPr>
        <w:spacing w:after="0" w:line="174" w:lineRule="exact"/>
        <w:rPr>
          <w:rFonts w:ascii="Times New Roman" w:cs="Times New Roman" w:eastAsia="Times New Roman" w:hAnsi="Times New Roman"/>
          <w:sz w:val="20"/>
          <w:szCs w:val="20"/>
          <w:b w:val="1"/>
          <w:bCs w:val="1"/>
          <w:color w:val="auto"/>
        </w:rPr>
      </w:pPr>
    </w:p>
    <w:p>
      <w:pPr>
        <w:jc w:val="both"/>
        <w:ind w:left="-8" w:firstLine="8"/>
        <w:spacing w:after="0" w:line="250" w:lineRule="auto"/>
        <w:tabs>
          <w:tab w:leader="none" w:pos="501" w:val="left"/>
        </w:tabs>
        <w:numPr>
          <w:ilvl w:val="0"/>
          <w:numId w:val="1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Return of Property</w:t>
      </w:r>
      <w:r>
        <w:rPr>
          <w:rFonts w:ascii="Times New Roman" w:cs="Times New Roman" w:eastAsia="Times New Roman" w:hAnsi="Times New Roman"/>
          <w:sz w:val="20"/>
          <w:szCs w:val="20"/>
          <w:color w:val="auto"/>
        </w:rPr>
        <w:t>. Executive represents and warrants that Executive has returned to the Company all property belonging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or any other Company Party, including all computer files, electronically stored information, computers and other materials and items provided to Executive by the Company or any other Company Party in the course of Executive’s employment and Executive further represents and warrants that Executive has not maintained a copy of any such materials or items in any form.</w:t>
      </w:r>
    </w:p>
    <w:p>
      <w:pPr>
        <w:spacing w:after="0" w:line="174" w:lineRule="exact"/>
        <w:rPr>
          <w:rFonts w:ascii="Times New Roman" w:cs="Times New Roman" w:eastAsia="Times New Roman" w:hAnsi="Times New Roman"/>
          <w:sz w:val="20"/>
          <w:szCs w:val="20"/>
          <w:b w:val="1"/>
          <w:bCs w:val="1"/>
          <w:color w:val="auto"/>
        </w:rPr>
      </w:pPr>
    </w:p>
    <w:p>
      <w:pPr>
        <w:jc w:val="both"/>
        <w:ind w:left="-8" w:firstLine="8"/>
        <w:spacing w:after="0" w:line="250" w:lineRule="auto"/>
        <w:tabs>
          <w:tab w:leader="none" w:pos="501" w:val="left"/>
        </w:tabs>
        <w:numPr>
          <w:ilvl w:val="0"/>
          <w:numId w:val="1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Severability</w:t>
      </w:r>
      <w:r>
        <w:rPr>
          <w:rFonts w:ascii="Times New Roman" w:cs="Times New Roman" w:eastAsia="Times New Roman" w:hAnsi="Times New Roman"/>
          <w:sz w:val="20"/>
          <w:szCs w:val="20"/>
          <w:color w:val="auto"/>
        </w:rPr>
        <w:t>. Any term or provision of this Agreement (or part thereof) that renders such term or provision (or part thereof) or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term or provision (or part thereof) hereof invalid or unenforceable in any respect shall be severable and shall be modified or severed to the extent necessary to avoid rendering such term or provision (or part thereof) invalid or unenforceable, and such modification or severance shall be accomplished in the manner that most nearly preserves the benefit of the Parties’ bargain hereunder.</w:t>
      </w:r>
    </w:p>
    <w:p>
      <w:pPr>
        <w:spacing w:after="0" w:line="174" w:lineRule="exact"/>
        <w:rPr>
          <w:rFonts w:ascii="Times New Roman" w:cs="Times New Roman" w:eastAsia="Times New Roman" w:hAnsi="Times New Roman"/>
          <w:sz w:val="20"/>
          <w:szCs w:val="20"/>
          <w:b w:val="1"/>
          <w:bCs w:val="1"/>
          <w:color w:val="auto"/>
        </w:rPr>
      </w:pPr>
    </w:p>
    <w:p>
      <w:pPr>
        <w:jc w:val="both"/>
        <w:ind w:left="-8" w:firstLine="8"/>
        <w:spacing w:after="0" w:line="242" w:lineRule="auto"/>
        <w:tabs>
          <w:tab w:leader="none" w:pos="501" w:val="left"/>
        </w:tabs>
        <w:numPr>
          <w:ilvl w:val="0"/>
          <w:numId w:val="1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Interpretation</w:t>
      </w:r>
      <w:r>
        <w:rPr>
          <w:rFonts w:ascii="Times New Roman" w:cs="Times New Roman" w:eastAsia="Times New Roman" w:hAnsi="Times New Roman"/>
          <w:sz w:val="20"/>
          <w:szCs w:val="20"/>
          <w:color w:val="auto"/>
        </w:rPr>
        <w:t>. The Section headings have been inserted for purposes of convenience and shall not be used for interpretive purposes.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words “hereof,” “herein” and “hereunder” and other compounds of the word “here” shall refer to the entire Agreement and not to any particular provision hereof.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The word “or” as used herein is not exclusive and is deemed to have the meaning “and/or.” Unless the context requires otherwise, all references herein to a law, agreement, instrument or other document shall be deemed to refer to such law, agreement, instrument or other document as amended, supplemented, modified and restated from time to time to the extent permitted by the provisions thereof. Neither this Agreement nor any uncertainty or ambiguity herein shall be construed</w:t>
      </w:r>
    </w:p>
    <w:p>
      <w:pPr>
        <w:spacing w:after="0" w:line="377" w:lineRule="exact"/>
        <w:rPr>
          <w:sz w:val="20"/>
          <w:szCs w:val="20"/>
          <w:color w:val="auto"/>
        </w:rPr>
      </w:pPr>
    </w:p>
    <w:p>
      <w:pPr>
        <w:ind w:left="432"/>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477520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108" w:name="page109"/>
    <w:bookmarkEnd w:id="108"/>
    <w:p>
      <w:pPr>
        <w:spacing w:after="0" w:line="18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20"/>
          <w:szCs w:val="20"/>
          <w:color w:val="auto"/>
        </w:rPr>
        <w:t>against any Party, whether under any rule of construction or otherwise. This Agreement has been reviewed by each of the Parties and shall be construed and interpreted according to the ordinary meaning of the words used so as to fairly accomplish the purposes and intentions of the Parties.</w:t>
      </w:r>
    </w:p>
    <w:p>
      <w:pPr>
        <w:spacing w:after="0" w:line="172" w:lineRule="exact"/>
        <w:rPr>
          <w:sz w:val="20"/>
          <w:szCs w:val="20"/>
          <w:color w:val="auto"/>
        </w:rPr>
      </w:pPr>
    </w:p>
    <w:p>
      <w:pPr>
        <w:jc w:val="both"/>
        <w:ind w:firstLine="8"/>
        <w:spacing w:after="0" w:line="255" w:lineRule="auto"/>
        <w:tabs>
          <w:tab w:leader="none" w:pos="509" w:val="left"/>
        </w:tabs>
        <w:numPr>
          <w:ilvl w:val="0"/>
          <w:numId w:val="1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No Assignment</w:t>
      </w:r>
      <w:r>
        <w:rPr>
          <w:rFonts w:ascii="Times New Roman" w:cs="Times New Roman" w:eastAsia="Times New Roman" w:hAnsi="Times New Roman"/>
          <w:sz w:val="20"/>
          <w:szCs w:val="20"/>
          <w:color w:val="auto"/>
        </w:rPr>
        <w:t>. No right to receive payments and benefits under this Agreement shall be subject to set off, offset, anticipation,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commutation, alienation, assignment, encumbrance, charge, pledge or hypothecation or to execution, attachment, levy, or similar process or assignment by operation of law.</w:t>
      </w:r>
    </w:p>
    <w:p>
      <w:pPr>
        <w:spacing w:after="0" w:line="170" w:lineRule="exact"/>
        <w:rPr>
          <w:rFonts w:ascii="Times New Roman" w:cs="Times New Roman" w:eastAsia="Times New Roman" w:hAnsi="Times New Roman"/>
          <w:sz w:val="20"/>
          <w:szCs w:val="20"/>
          <w:b w:val="1"/>
          <w:bCs w:val="1"/>
          <w:color w:val="auto"/>
        </w:rPr>
      </w:pPr>
    </w:p>
    <w:p>
      <w:pPr>
        <w:jc w:val="both"/>
        <w:ind w:firstLine="8"/>
        <w:spacing w:after="0" w:line="255" w:lineRule="auto"/>
        <w:tabs>
          <w:tab w:leader="none" w:pos="509" w:val="left"/>
        </w:tabs>
        <w:numPr>
          <w:ilvl w:val="0"/>
          <w:numId w:val="1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Withholdings; Deductions</w:t>
      </w:r>
      <w:r>
        <w:rPr>
          <w:rFonts w:ascii="Times New Roman" w:cs="Times New Roman" w:eastAsia="Times New Roman" w:hAnsi="Times New Roman"/>
          <w:sz w:val="20"/>
          <w:szCs w:val="20"/>
          <w:color w:val="auto"/>
        </w:rPr>
        <w:t>. The Company may withhold and deduct from any payments or benefits made or to be made pursuant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(a) all federal, state, local and other taxes as may be required pursuant to any law or governmental regulation or ruling and (b) any deductions consented to in writing by Executive.</w:t>
      </w:r>
    </w:p>
    <w:p>
      <w:pPr>
        <w:spacing w:after="0" w:line="170" w:lineRule="exact"/>
        <w:rPr>
          <w:rFonts w:ascii="Times New Roman" w:cs="Times New Roman" w:eastAsia="Times New Roman" w:hAnsi="Times New Roman"/>
          <w:sz w:val="20"/>
          <w:szCs w:val="20"/>
          <w:b w:val="1"/>
          <w:bCs w:val="1"/>
          <w:color w:val="auto"/>
        </w:rPr>
      </w:pPr>
    </w:p>
    <w:p>
      <w:pPr>
        <w:jc w:val="both"/>
        <w:ind w:firstLine="8"/>
        <w:spacing w:after="0" w:line="244" w:lineRule="auto"/>
        <w:tabs>
          <w:tab w:leader="none" w:pos="509" w:val="left"/>
        </w:tabs>
        <w:numPr>
          <w:ilvl w:val="0"/>
          <w:numId w:val="1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Section 409A</w:t>
      </w:r>
      <w:r>
        <w:rPr>
          <w:rFonts w:ascii="Times New Roman" w:cs="Times New Roman" w:eastAsia="Times New Roman" w:hAnsi="Times New Roman"/>
          <w:sz w:val="20"/>
          <w:szCs w:val="20"/>
          <w:color w:val="auto"/>
        </w:rPr>
        <w:t>. This Agreement and the benefits provided hereunder are intended be exempt from, or compliant with, the requirements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Section 409A of the Internal Revenue Code of 1986 and the Treasury regulations and other guidance issued thereunder (collectively,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and shall be construed and administered in accordance with such intent. Each installment payment under this Agreement shall be deemed and treated as a separate payment for purposes of Section 409A. Notwithstanding the foregoing, the Company makes no representations that the benefits provided under this Agreement are exempt from the requirements of Section 409A and in no event shall the Company or any other Company Party be liable for all or any portion of any taxes, penalties, interest or other expenses that may be incurred by Executive on account of non-compliance with Section 409A.</w:t>
      </w:r>
    </w:p>
    <w:p>
      <w:pPr>
        <w:spacing w:after="0" w:line="3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ind w:firstLine="749"/>
        <w:spacing w:after="0" w:line="272"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Agreement as of the dates set forth beneath their names below, effective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all purposes as provided above.</w:t>
      </w:r>
    </w:p>
    <w:p>
      <w:pPr>
        <w:spacing w:after="0" w:line="16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EXECUTIVE</w:t>
      </w:r>
    </w:p>
    <w:p>
      <w:pPr>
        <w:spacing w:after="0" w:line="23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u w:val="single" w:color="auto"/>
          <w:color w:val="auto"/>
        </w:rPr>
        <w:t>/s/ Darren MacDonald_______________</w:t>
      </w:r>
    </w:p>
    <w:p>
      <w:pPr>
        <w:spacing w:after="0" w:line="2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Darren MacDonald</w:t>
      </w:r>
    </w:p>
    <w:p>
      <w:pPr>
        <w:spacing w:after="0" w:line="20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Date: April 16, 2024</w:t>
      </w:r>
    </w:p>
    <w:p>
      <w:pPr>
        <w:spacing w:after="0" w:line="200" w:lineRule="exact"/>
        <w:rPr>
          <w:sz w:val="20"/>
          <w:szCs w:val="20"/>
          <w:color w:val="auto"/>
        </w:rPr>
      </w:pPr>
    </w:p>
    <w:p>
      <w:pPr>
        <w:spacing w:after="0" w:line="25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PETCO ANIMAL SUPPLIES STORES, INC.</w:t>
      </w:r>
    </w:p>
    <w:p>
      <w:pPr>
        <w:spacing w:after="0" w:line="200" w:lineRule="exact"/>
        <w:rPr>
          <w:sz w:val="20"/>
          <w:szCs w:val="20"/>
          <w:color w:val="auto"/>
        </w:rPr>
      </w:pPr>
    </w:p>
    <w:p>
      <w:pPr>
        <w:spacing w:after="0" w:line="26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 /s/ Holly May 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3039110</wp:posOffset>
            </wp:positionH>
            <wp:positionV relativeFrom="paragraph">
              <wp:posOffset>-10795</wp:posOffset>
            </wp:positionV>
            <wp:extent cx="182689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7">
                      <a:extLst>
                        <a:ext uri="{28A0092B-C50C-407E-A947-70E740481C1C}"/>
                      </a:extLst>
                    </a:blip>
                    <a:srcRect/>
                    <a:stretch>
                      <a:fillRect/>
                    </a:stretch>
                  </pic:blipFill>
                  <pic:spPr bwMode="auto">
                    <a:xfrm>
                      <a:off x="0" y="0"/>
                      <a:ext cx="1826895" cy="8255"/>
                    </a:xfrm>
                    <a:prstGeom prst="rect">
                      <a:avLst/>
                    </a:prstGeom>
                    <a:noFill/>
                  </pic:spPr>
                </pic:pic>
              </a:graphicData>
            </a:graphic>
          </wp:anchor>
        </w:drawing>
      </w:r>
    </w:p>
    <w:p>
      <w:pPr>
        <w:spacing w:after="0" w:line="1" w:lineRule="exact"/>
        <w:rPr>
          <w:sz w:val="20"/>
          <w:szCs w:val="20"/>
          <w:color w:val="auto"/>
        </w:rPr>
      </w:pPr>
    </w:p>
    <w:p>
      <w:pPr>
        <w:ind w:left="4500"/>
        <w:spacing w:after="0"/>
        <w:tabs>
          <w:tab w:leader="none" w:pos="6160" w:val="left"/>
        </w:tabs>
        <w:rPr>
          <w:sz w:val="20"/>
          <w:szCs w:val="20"/>
          <w:color w:val="auto"/>
        </w:rPr>
      </w:pPr>
      <w:r>
        <w:rPr>
          <w:rFonts w:ascii="Times New Roman" w:cs="Times New Roman" w:eastAsia="Times New Roman" w:hAnsi="Times New Roman"/>
          <w:sz w:val="20"/>
          <w:szCs w:val="20"/>
          <w:color w:val="auto"/>
        </w:rPr>
        <w:t xml:space="preserve">Name: </w:t>
      </w:r>
      <w:r>
        <w:rPr>
          <w:rFonts w:ascii="Times New Roman" w:cs="Times New Roman" w:eastAsia="Times New Roman" w:hAnsi="Times New Roman"/>
          <w:sz w:val="20"/>
          <w:szCs w:val="20"/>
          <w:u w:val="single" w:color="auto"/>
          <w:color w:val="auto"/>
        </w:rPr>
        <w:t>Holly May</w:t>
      </w:r>
      <w:r>
        <w:rPr>
          <w:sz w:val="20"/>
          <w:szCs w:val="20"/>
          <w:color w:val="auto"/>
        </w:rPr>
        <w:tab/>
      </w:r>
      <w:r>
        <w:rPr>
          <w:rFonts w:ascii="Times New Roman" w:cs="Times New Roman" w:eastAsia="Times New Roman" w:hAnsi="Times New Roman"/>
          <w:sz w:val="19"/>
          <w:szCs w:val="19"/>
          <w:u w:val="single" w:color="auto"/>
          <w:color w:val="auto"/>
        </w:rPr>
        <w:t>_______________</w:t>
      </w:r>
    </w:p>
    <w:p>
      <w:pPr>
        <w:ind w:left="4500"/>
        <w:spacing w:after="0"/>
        <w:rPr>
          <w:sz w:val="20"/>
          <w:szCs w:val="20"/>
          <w:color w:val="auto"/>
        </w:rPr>
      </w:pPr>
      <w:r>
        <w:rPr>
          <w:rFonts w:ascii="Times New Roman" w:cs="Times New Roman" w:eastAsia="Times New Roman" w:hAnsi="Times New Roman"/>
          <w:sz w:val="20"/>
          <w:szCs w:val="20"/>
          <w:color w:val="auto"/>
        </w:rPr>
        <w:t>Title:</w:t>
      </w:r>
      <w:r>
        <w:rPr>
          <w:rFonts w:ascii="Times New Roman" w:cs="Times New Roman" w:eastAsia="Times New Roman" w:hAnsi="Times New Roman"/>
          <w:sz w:val="20"/>
          <w:szCs w:val="20"/>
          <w:u w:val="single" w:color="auto"/>
          <w:color w:val="auto"/>
        </w:rPr>
        <w:t>Chief Human Resources Officer__</w:t>
      </w:r>
    </w:p>
    <w:p>
      <w:pPr>
        <w:spacing w:after="0" w:line="20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Date:April 17,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3129915</wp:posOffset>
            </wp:positionH>
            <wp:positionV relativeFrom="paragraph">
              <wp:posOffset>-10795</wp:posOffset>
            </wp:positionV>
            <wp:extent cx="148463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8">
                      <a:extLst>
                        <a:ext uri="{28A0092B-C50C-407E-A947-70E740481C1C}"/>
                      </a:extLst>
                    </a:blip>
                    <a:srcRect/>
                    <a:stretch>
                      <a:fillRect/>
                    </a:stretch>
                  </pic:blipFill>
                  <pic:spPr bwMode="auto">
                    <a:xfrm>
                      <a:off x="0" y="0"/>
                      <a:ext cx="1484630"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SCOOBY LP</w:t>
      </w:r>
    </w:p>
    <w:p>
      <w:pPr>
        <w:spacing w:after="0" w:line="200" w:lineRule="exact"/>
        <w:rPr>
          <w:sz w:val="20"/>
          <w:szCs w:val="20"/>
          <w:color w:val="auto"/>
        </w:rPr>
      </w:pPr>
    </w:p>
    <w:p>
      <w:pPr>
        <w:spacing w:after="0" w:line="26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By:/s/ Nishad Chande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3039110</wp:posOffset>
            </wp:positionH>
            <wp:positionV relativeFrom="paragraph">
              <wp:posOffset>-10795</wp:posOffset>
            </wp:positionV>
            <wp:extent cx="157543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9">
                      <a:extLst>
                        <a:ext uri="{28A0092B-C50C-407E-A947-70E740481C1C}"/>
                      </a:extLst>
                    </a:blip>
                    <a:srcRect/>
                    <a:stretch>
                      <a:fillRect/>
                    </a:stretch>
                  </pic:blipFill>
                  <pic:spPr bwMode="auto">
                    <a:xfrm>
                      <a:off x="0" y="0"/>
                      <a:ext cx="1575435" cy="8255"/>
                    </a:xfrm>
                    <a:prstGeom prst="rect">
                      <a:avLst/>
                    </a:prstGeom>
                    <a:noFill/>
                  </pic:spPr>
                </pic:pic>
              </a:graphicData>
            </a:graphic>
          </wp:anchor>
        </w:drawing>
      </w:r>
    </w:p>
    <w:p>
      <w:pPr>
        <w:spacing w:after="0" w:line="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Name:Nishad Chande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3192145</wp:posOffset>
            </wp:positionH>
            <wp:positionV relativeFrom="paragraph">
              <wp:posOffset>-24765</wp:posOffset>
            </wp:positionV>
            <wp:extent cx="142240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0">
                      <a:extLst>
                        <a:ext uri="{28A0092B-C50C-407E-A947-70E740481C1C}"/>
                      </a:extLst>
                    </a:blip>
                    <a:srcRect/>
                    <a:stretch>
                      <a:fillRect/>
                    </a:stretch>
                  </pic:blipFill>
                  <pic:spPr bwMode="auto">
                    <a:xfrm>
                      <a:off x="0" y="0"/>
                      <a:ext cx="1422400" cy="825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-24765</wp:posOffset>
            </wp:positionV>
            <wp:extent cx="12071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1">
                      <a:extLst>
                        <a:ext uri="{28A0092B-C50C-407E-A947-70E740481C1C}"/>
                      </a:extLst>
                    </a:blip>
                    <a:srcRect/>
                    <a:stretch>
                      <a:fillRect/>
                    </a:stretch>
                  </pic:blipFill>
                  <pic:spPr bwMode="auto">
                    <a:xfrm>
                      <a:off x="0" y="0"/>
                      <a:ext cx="1207135" cy="8255"/>
                    </a:xfrm>
                    <a:prstGeom prst="rect">
                      <a:avLst/>
                    </a:prstGeom>
                    <a:noFill/>
                  </pic:spPr>
                </pic:pic>
              </a:graphicData>
            </a:graphic>
          </wp:anchor>
        </w:drawing>
      </w:r>
    </w:p>
    <w:p>
      <w:pPr>
        <w:spacing w:after="0" w:line="18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Date:April 18,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3129915</wp:posOffset>
            </wp:positionH>
            <wp:positionV relativeFrom="paragraph">
              <wp:posOffset>-10795</wp:posOffset>
            </wp:positionV>
            <wp:extent cx="148463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2">
                      <a:extLst>
                        <a:ext uri="{28A0092B-C50C-407E-A947-70E740481C1C}"/>
                      </a:extLst>
                    </a:blip>
                    <a:srcRect/>
                    <a:stretch>
                      <a:fillRect/>
                    </a:stretch>
                  </pic:blipFill>
                  <pic:spPr bwMode="auto">
                    <a:xfrm>
                      <a:off x="0" y="0"/>
                      <a:ext cx="14846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AGREEMENT SHALL NOT BE ENTERED UNTIL ON OR AFTER</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APRIL 12, 2024, AS PROVIDED HEREIN.</w:t>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age to</w:t>
      </w:r>
    </w:p>
    <w:p>
      <w:pPr>
        <w:spacing w:after="0" w:line="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eparation</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p>
    <w:p>
      <w:pPr>
        <w:jc w:val="center"/>
        <w:ind w:right="-59"/>
        <w:spacing w:after="0"/>
        <w:rPr>
          <w:sz w:val="20"/>
          <w:szCs w:val="20"/>
          <w:color w:val="auto"/>
        </w:rPr>
      </w:pPr>
      <w:r>
        <w:rPr>
          <w:rFonts w:ascii="Times New Roman" w:cs="Times New Roman" w:eastAsia="Times New Roman" w:hAnsi="Times New Roman"/>
          <w:sz w:val="15"/>
          <w:szCs w:val="15"/>
          <w:color w:val="auto"/>
        </w:rPr>
        <w:t xml:space="preserve">and </w:t>
      </w:r>
      <w:r>
        <w:rPr>
          <w:rFonts w:ascii="Times New Roman" w:cs="Times New Roman" w:eastAsia="Times New Roman" w:hAnsi="Times New Roman"/>
          <w:sz w:val="21"/>
          <w:szCs w:val="21"/>
          <w:color w:val="auto"/>
        </w:rPr>
        <w:t>G</w:t>
      </w:r>
      <w:r>
        <w:rPr>
          <w:rFonts w:ascii="Times New Roman" w:cs="Times New Roman" w:eastAsia="Times New Roman" w:hAnsi="Times New Roman"/>
          <w:sz w:val="15"/>
          <w:szCs w:val="15"/>
          <w:color w:val="auto"/>
        </w:rPr>
        <w:t xml:space="preserve">eneral </w:t>
      </w:r>
      <w:r>
        <w:rPr>
          <w:rFonts w:ascii="Times New Roman" w:cs="Times New Roman" w:eastAsia="Times New Roman" w:hAnsi="Times New Roman"/>
          <w:sz w:val="21"/>
          <w:szCs w:val="21"/>
          <w:color w:val="auto"/>
        </w:rPr>
        <w:t>R</w:t>
      </w:r>
      <w:r>
        <w:rPr>
          <w:rFonts w:ascii="Times New Roman" w:cs="Times New Roman" w:eastAsia="Times New Roman" w:hAnsi="Times New Roman"/>
          <w:sz w:val="15"/>
          <w:szCs w:val="15"/>
          <w:color w:val="auto"/>
        </w:rPr>
        <w:t xml:space="preserve">elease of </w:t>
      </w:r>
      <w:r>
        <w:rPr>
          <w:rFonts w:ascii="Times New Roman" w:cs="Times New Roman" w:eastAsia="Times New Roman" w:hAnsi="Times New Roman"/>
          <w:sz w:val="21"/>
          <w:szCs w:val="21"/>
          <w:color w:val="auto"/>
        </w:rPr>
        <w:t>C</w:t>
      </w:r>
      <w:r>
        <w:rPr>
          <w:rFonts w:ascii="Times New Roman" w:cs="Times New Roman" w:eastAsia="Times New Roman" w:hAnsi="Times New Roman"/>
          <w:sz w:val="15"/>
          <w:szCs w:val="15"/>
          <w:color w:val="auto"/>
        </w:rPr>
        <w:t>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7" w:right="399" w:bottom="1440" w:gutter="0" w:footer="0" w:header="0"/>
        </w:sectPr>
      </w:pPr>
    </w:p>
    <w:bookmarkStart w:id="110" w:name="page111"/>
    <w:bookmarkEnd w:id="110"/>
    <w:tbl>
      <w:tblPr>
        <w:tblLayout w:type="fixed"/>
        <w:tblInd w:w="10" w:type="dxa"/>
        <w:tblCellMar>
          <w:top w:w="0" w:type="dxa"/>
          <w:left w:w="0" w:type="dxa"/>
          <w:bottom w:w="0" w:type="dxa"/>
          <w:right w:w="0" w:type="dxa"/>
        </w:tblCellMar>
      </w:tblPr>
      <w:tr>
        <w:trPr>
          <w:trHeight w:val="230"/>
        </w:trPr>
        <w:tc>
          <w:tcPr>
            <w:tcW w:w="20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500" w:type="dxa"/>
            <w:vAlign w:val="bottom"/>
            <w:gridSpan w:val="3"/>
          </w:tcPr>
          <w:p>
            <w:pPr>
              <w:jc w:val="center"/>
              <w:ind w:right="1361"/>
              <w:spacing w:after="0"/>
              <w:rPr>
                <w:sz w:val="20"/>
                <w:szCs w:val="20"/>
                <w:color w:val="auto"/>
              </w:rPr>
            </w:pPr>
            <w:r>
              <w:rPr>
                <w:rFonts w:ascii="Times New Roman" w:cs="Times New Roman" w:eastAsia="Times New Roman" w:hAnsi="Times New Roman"/>
                <w:sz w:val="20"/>
                <w:szCs w:val="20"/>
                <w:b w:val="1"/>
                <w:bCs w:val="1"/>
                <w:color w:val="auto"/>
                <w:w w:val="98"/>
              </w:rPr>
              <w:t>EXHIBIT A</w:t>
            </w:r>
          </w:p>
        </w:tc>
        <w:tc>
          <w:tcPr>
            <w:tcW w:w="178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0"/>
        </w:trPr>
        <w:tc>
          <w:tcPr>
            <w:tcW w:w="20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485"/>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440" w:type="dxa"/>
            <w:vAlign w:val="bottom"/>
            <w:gridSpan w:val="4"/>
          </w:tcPr>
          <w:p>
            <w:pPr>
              <w:jc w:val="center"/>
              <w:ind w:right="421"/>
              <w:spacing w:after="0"/>
              <w:rPr>
                <w:sz w:val="20"/>
                <w:szCs w:val="20"/>
                <w:color w:val="auto"/>
              </w:rPr>
            </w:pPr>
            <w:r>
              <w:rPr>
                <w:rFonts w:ascii="Times New Roman" w:cs="Times New Roman" w:eastAsia="Times New Roman" w:hAnsi="Times New Roman"/>
                <w:sz w:val="20"/>
                <w:szCs w:val="20"/>
                <w:b w:val="1"/>
                <w:bCs w:val="1"/>
                <w:color w:val="auto"/>
                <w:w w:val="98"/>
              </w:rPr>
              <w:t>COMMON SERIES C UNITS</w:t>
            </w:r>
          </w:p>
        </w:tc>
        <w:tc>
          <w:tcPr>
            <w:tcW w:w="178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40"/>
        </w:trPr>
        <w:tc>
          <w:tcPr>
            <w:tcW w:w="20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r>
      <w:tr>
        <w:trPr>
          <w:trHeight w:val="193"/>
        </w:trPr>
        <w:tc>
          <w:tcPr>
            <w:tcW w:w="2080" w:type="dxa"/>
            <w:vAlign w:val="bottom"/>
            <w:tcBorders>
              <w:left w:val="single" w:sz="8" w:color="auto"/>
              <w:right w:val="single" w:sz="8" w:color="auto"/>
            </w:tcBorders>
          </w:tcPr>
          <w:p>
            <w:pPr>
              <w:spacing w:after="0"/>
              <w:rPr>
                <w:sz w:val="16"/>
                <w:szCs w:val="16"/>
                <w:color w:val="auto"/>
              </w:rPr>
            </w:pPr>
          </w:p>
        </w:tc>
        <w:tc>
          <w:tcPr>
            <w:tcW w:w="2080" w:type="dxa"/>
            <w:vAlign w:val="bottom"/>
            <w:tcBorders>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20"/>
                <w:szCs w:val="20"/>
                <w:b w:val="1"/>
                <w:bCs w:val="1"/>
                <w:color w:val="auto"/>
                <w:w w:val="96"/>
              </w:rPr>
              <w:t>Vesting</w:t>
            </w:r>
          </w:p>
        </w:tc>
        <w:tc>
          <w:tcPr>
            <w:tcW w:w="1740" w:type="dxa"/>
            <w:vAlign w:val="bottom"/>
            <w:tcBorders>
              <w:right w:val="single" w:sz="8" w:color="auto"/>
            </w:tcBorders>
            <w:gridSpan w:val="2"/>
          </w:tcPr>
          <w:p>
            <w:pPr>
              <w:jc w:val="center"/>
              <w:spacing w:after="0" w:line="193" w:lineRule="exact"/>
              <w:rPr>
                <w:sz w:val="20"/>
                <w:szCs w:val="20"/>
                <w:color w:val="auto"/>
              </w:rPr>
            </w:pPr>
            <w:r>
              <w:rPr>
                <w:rFonts w:ascii="Times New Roman" w:cs="Times New Roman" w:eastAsia="Times New Roman" w:hAnsi="Times New Roman"/>
                <w:sz w:val="20"/>
                <w:szCs w:val="20"/>
                <w:b w:val="1"/>
                <w:bCs w:val="1"/>
                <w:color w:val="auto"/>
                <w:w w:val="97"/>
              </w:rPr>
              <w:t>Distribution</w:t>
            </w:r>
          </w:p>
        </w:tc>
        <w:tc>
          <w:tcPr>
            <w:tcW w:w="240" w:type="dxa"/>
            <w:vAlign w:val="bottom"/>
          </w:tcPr>
          <w:p>
            <w:pPr>
              <w:spacing w:after="0"/>
              <w:rPr>
                <w:sz w:val="16"/>
                <w:szCs w:val="16"/>
                <w:color w:val="auto"/>
              </w:rPr>
            </w:pPr>
          </w:p>
        </w:tc>
        <w:tc>
          <w:tcPr>
            <w:tcW w:w="1460" w:type="dxa"/>
            <w:vAlign w:val="bottom"/>
            <w:tcBorders>
              <w:right w:val="single" w:sz="8" w:color="auto"/>
            </w:tcBorders>
          </w:tcPr>
          <w:p>
            <w:pPr>
              <w:jc w:val="center"/>
              <w:ind w:right="221"/>
              <w:spacing w:after="0" w:line="193" w:lineRule="exact"/>
              <w:rPr>
                <w:sz w:val="20"/>
                <w:szCs w:val="20"/>
                <w:color w:val="auto"/>
              </w:rPr>
            </w:pPr>
            <w:r>
              <w:rPr>
                <w:rFonts w:ascii="Times New Roman" w:cs="Times New Roman" w:eastAsia="Times New Roman" w:hAnsi="Times New Roman"/>
                <w:sz w:val="20"/>
                <w:szCs w:val="20"/>
                <w:b w:val="1"/>
                <w:bCs w:val="1"/>
                <w:color w:val="auto"/>
                <w:w w:val="95"/>
              </w:rPr>
              <w:t>Vested as of</w:t>
            </w:r>
          </w:p>
        </w:tc>
        <w:tc>
          <w:tcPr>
            <w:tcW w:w="1780" w:type="dxa"/>
            <w:vAlign w:val="bottom"/>
            <w:tcBorders>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20"/>
                <w:szCs w:val="20"/>
                <w:b w:val="1"/>
                <w:bCs w:val="1"/>
                <w:color w:val="auto"/>
                <w:w w:val="98"/>
              </w:rPr>
              <w:t>Unvested as of</w:t>
            </w:r>
          </w:p>
        </w:tc>
        <w:tc>
          <w:tcPr>
            <w:tcW w:w="1860" w:type="dxa"/>
            <w:vAlign w:val="bottom"/>
            <w:tcBorders>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20"/>
                <w:szCs w:val="20"/>
                <w:b w:val="1"/>
                <w:bCs w:val="1"/>
                <w:color w:val="auto"/>
                <w:w w:val="97"/>
              </w:rPr>
              <w:t>Accelerated under</w:t>
            </w:r>
          </w:p>
        </w:tc>
      </w:tr>
      <w:tr>
        <w:trPr>
          <w:trHeight w:val="284"/>
        </w:trPr>
        <w:tc>
          <w:tcPr>
            <w:tcW w:w="20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Date of Grant</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Commencement Date</w:t>
            </w:r>
          </w:p>
        </w:tc>
        <w:tc>
          <w:tcPr>
            <w:tcW w:w="174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Threshold</w:t>
            </w:r>
          </w:p>
        </w:tc>
        <w:tc>
          <w:tcPr>
            <w:tcW w:w="17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Separation Date</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Separation Date</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Section 2(c)</w:t>
            </w:r>
          </w:p>
        </w:tc>
      </w:tr>
      <w:tr>
        <w:trPr>
          <w:trHeight w:val="235"/>
        </w:trPr>
        <w:tc>
          <w:tcPr>
            <w:tcW w:w="2080" w:type="dxa"/>
            <w:vAlign w:val="bottom"/>
            <w:tcBorders>
              <w:bottom w:val="single" w:sz="8" w:color="auto"/>
              <w:right w:val="single" w:sz="8" w:color="auto"/>
            </w:tcBorders>
          </w:tcPr>
          <w:p>
            <w:pPr>
              <w:jc w:val="right"/>
              <w:ind w:right="581"/>
              <w:spacing w:after="0"/>
              <w:rPr>
                <w:sz w:val="20"/>
                <w:szCs w:val="20"/>
                <w:color w:val="auto"/>
              </w:rPr>
            </w:pPr>
            <w:r>
              <w:rPr>
                <w:rFonts w:ascii="Times New Roman" w:cs="Times New Roman" w:eastAsia="Times New Roman" w:hAnsi="Times New Roman"/>
                <w:sz w:val="20"/>
                <w:szCs w:val="20"/>
                <w:color w:val="auto"/>
              </w:rPr>
              <w:t>7/1/2019</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7/1/2019</w:t>
            </w:r>
          </w:p>
        </w:tc>
        <w:tc>
          <w:tcPr>
            <w:tcW w:w="174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color w:val="auto"/>
                <w:w w:val="97"/>
              </w:rPr>
              <w:t>$0.50</w:t>
            </w:r>
          </w:p>
        </w:tc>
        <w:tc>
          <w:tcPr>
            <w:tcW w:w="17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color w:val="auto"/>
                <w:w w:val="99"/>
              </w:rPr>
              <w:t>4,000,000</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1,000,000</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781,421</w:t>
            </w:r>
          </w:p>
        </w:tc>
      </w:tr>
    </w:tbl>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111" w:name="page112"/>
    <w:bookmarkEnd w:id="111"/>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EXHIBIT B</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OWBPA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477520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7" w:right="1440"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 Michael Mohan, certify that:</w:t>
      </w:r>
    </w:p>
    <w:p>
      <w:pPr>
        <w:spacing w:after="0" w:line="225" w:lineRule="exact"/>
        <w:rPr>
          <w:sz w:val="20"/>
          <w:szCs w:val="20"/>
          <w:color w:val="auto"/>
        </w:rPr>
      </w:pPr>
    </w:p>
    <w:p>
      <w:pPr>
        <w:ind w:left="520" w:hanging="512"/>
        <w:spacing w:after="0"/>
        <w:tabs>
          <w:tab w:leader="none" w:pos="52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Petco Health and Wellness Company, Inc.;</w:t>
      </w:r>
    </w:p>
    <w:p>
      <w:pPr>
        <w:spacing w:after="0" w:line="224" w:lineRule="exact"/>
        <w:rPr>
          <w:rFonts w:ascii="Times New Roman" w:cs="Times New Roman" w:eastAsia="Times New Roman" w:hAnsi="Times New Roman"/>
          <w:sz w:val="18"/>
          <w:szCs w:val="18"/>
          <w:color w:val="auto"/>
        </w:rPr>
      </w:pPr>
    </w:p>
    <w:p>
      <w:pPr>
        <w:jc w:val="both"/>
        <w:ind w:left="520" w:right="260" w:hanging="512"/>
        <w:spacing w:after="0" w:line="265" w:lineRule="auto"/>
        <w:tabs>
          <w:tab w:leader="none" w:pos="52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left="520" w:right="260" w:hanging="512"/>
        <w:spacing w:after="0" w:line="265" w:lineRule="auto"/>
        <w:tabs>
          <w:tab w:leader="none" w:pos="52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1020" w:right="20" w:hanging="504"/>
        <w:spacing w:after="0" w:line="265" w:lineRule="auto"/>
        <w:tabs>
          <w:tab w:leader="none" w:pos="1020"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020" w:right="340" w:hanging="504"/>
        <w:spacing w:after="0" w:line="265" w:lineRule="auto"/>
        <w:tabs>
          <w:tab w:leader="none" w:pos="1020"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jc w:val="both"/>
        <w:ind w:left="1020" w:right="500" w:hanging="504"/>
        <w:spacing w:after="0" w:line="312" w:lineRule="auto"/>
        <w:tabs>
          <w:tab w:leader="none" w:pos="1020" w:val="left"/>
        </w:tabs>
        <w:numPr>
          <w:ilvl w:val="1"/>
          <w:numId w:val="1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020" w:right="20" w:hanging="504"/>
        <w:spacing w:after="0" w:line="265" w:lineRule="auto"/>
        <w:tabs>
          <w:tab w:leader="none" w:pos="1020"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020" w:right="740" w:hanging="504"/>
        <w:spacing w:after="0" w:line="281" w:lineRule="auto"/>
        <w:tabs>
          <w:tab w:leader="none" w:pos="1020"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right="440" w:hanging="504"/>
        <w:spacing w:after="0" w:line="281" w:lineRule="auto"/>
        <w:tabs>
          <w:tab w:leader="none" w:pos="1020"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ind w:left="20"/>
        <w:spacing w:after="0"/>
        <w:tabs>
          <w:tab w:leader="none" w:pos="5700" w:val="left"/>
          <w:tab w:leader="none" w:pos="7880" w:val="left"/>
        </w:tabs>
        <w:rPr>
          <w:sz w:val="20"/>
          <w:szCs w:val="20"/>
          <w:color w:val="auto"/>
        </w:rPr>
      </w:pPr>
      <w:r>
        <w:rPr>
          <w:rFonts w:ascii="Times New Roman" w:cs="Times New Roman" w:eastAsia="Times New Roman" w:hAnsi="Times New Roman"/>
          <w:sz w:val="18"/>
          <w:szCs w:val="18"/>
          <w:color w:val="auto"/>
        </w:rPr>
        <w:t>Date: June 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 Michael Mohan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3900805</wp:posOffset>
            </wp:positionH>
            <wp:positionV relativeFrom="paragraph">
              <wp:posOffset>26035</wp:posOffset>
            </wp:positionV>
            <wp:extent cx="323659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6">
                      <a:extLst>
                        <a:ext uri="{28A0092B-C50C-407E-A947-70E740481C1C}"/>
                      </a:extLst>
                    </a:blip>
                    <a:srcRect/>
                    <a:stretch>
                      <a:fillRect/>
                    </a:stretch>
                  </pic:blipFill>
                  <pic:spPr bwMode="auto">
                    <a:xfrm>
                      <a:off x="0" y="0"/>
                      <a:ext cx="3236595" cy="8255"/>
                    </a:xfrm>
                    <a:prstGeom prst="rect">
                      <a:avLst/>
                    </a:prstGeom>
                    <a:noFill/>
                  </pic:spPr>
                </pic:pic>
              </a:graphicData>
            </a:graphic>
          </wp:anchor>
        </w:drawing>
      </w:r>
    </w:p>
    <w:p>
      <w:pPr>
        <w:spacing w:after="0" w:line="21"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b w:val="1"/>
          <w:bCs w:val="1"/>
          <w:color w:val="auto"/>
        </w:rPr>
        <w:t>R. Michael Mohan</w:t>
      </w:r>
    </w:p>
    <w:p>
      <w:pPr>
        <w:spacing w:after="0" w:line="22"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b w:val="1"/>
          <w:bCs w:val="1"/>
          <w:color w:val="auto"/>
        </w:rPr>
        <w:t>Interim Chief Executive Officer</w:t>
      </w:r>
    </w:p>
    <w:p>
      <w:pPr>
        <w:spacing w:after="0" w:line="22"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617855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LaRose, certify that:</w:t>
      </w:r>
    </w:p>
    <w:p>
      <w:pPr>
        <w:spacing w:after="0" w:line="225" w:lineRule="exact"/>
        <w:rPr>
          <w:sz w:val="20"/>
          <w:szCs w:val="20"/>
          <w:color w:val="auto"/>
        </w:rPr>
      </w:pPr>
    </w:p>
    <w:p>
      <w:pPr>
        <w:ind w:left="520" w:hanging="512"/>
        <w:spacing w:after="0"/>
        <w:tabs>
          <w:tab w:leader="none" w:pos="52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Petco Health and Wellness Company, Inc.;</w:t>
      </w:r>
    </w:p>
    <w:p>
      <w:pPr>
        <w:spacing w:after="0" w:line="224" w:lineRule="exact"/>
        <w:rPr>
          <w:rFonts w:ascii="Times New Roman" w:cs="Times New Roman" w:eastAsia="Times New Roman" w:hAnsi="Times New Roman"/>
          <w:sz w:val="18"/>
          <w:szCs w:val="18"/>
          <w:color w:val="auto"/>
        </w:rPr>
      </w:pPr>
    </w:p>
    <w:p>
      <w:pPr>
        <w:jc w:val="both"/>
        <w:ind w:left="520" w:right="260" w:hanging="512"/>
        <w:spacing w:after="0" w:line="265" w:lineRule="auto"/>
        <w:tabs>
          <w:tab w:leader="none" w:pos="52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left="520" w:right="260" w:hanging="512"/>
        <w:spacing w:after="0" w:line="265" w:lineRule="auto"/>
        <w:tabs>
          <w:tab w:leader="none" w:pos="52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1020" w:right="20" w:hanging="504"/>
        <w:spacing w:after="0" w:line="265" w:lineRule="auto"/>
        <w:tabs>
          <w:tab w:leader="none" w:pos="102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020" w:right="340" w:hanging="504"/>
        <w:spacing w:after="0" w:line="265" w:lineRule="auto"/>
        <w:tabs>
          <w:tab w:leader="none" w:pos="102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jc w:val="both"/>
        <w:ind w:left="1020" w:right="500" w:hanging="504"/>
        <w:spacing w:after="0" w:line="312" w:lineRule="auto"/>
        <w:tabs>
          <w:tab w:leader="none" w:pos="1020" w:val="left"/>
        </w:tabs>
        <w:numPr>
          <w:ilvl w:val="1"/>
          <w:numId w:val="1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020" w:right="20" w:hanging="504"/>
        <w:spacing w:after="0" w:line="265" w:lineRule="auto"/>
        <w:tabs>
          <w:tab w:leader="none" w:pos="102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020" w:right="740" w:hanging="504"/>
        <w:spacing w:after="0" w:line="281" w:lineRule="auto"/>
        <w:tabs>
          <w:tab w:leader="none" w:pos="102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right="440" w:hanging="504"/>
        <w:spacing w:after="0" w:line="281" w:lineRule="auto"/>
        <w:tabs>
          <w:tab w:leader="none" w:pos="102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ind w:left="20"/>
        <w:spacing w:after="0"/>
        <w:tabs>
          <w:tab w:leader="none" w:pos="5460" w:val="left"/>
          <w:tab w:leader="none" w:pos="8020" w:val="left"/>
        </w:tabs>
        <w:rPr>
          <w:sz w:val="20"/>
          <w:szCs w:val="20"/>
          <w:color w:val="auto"/>
        </w:rPr>
      </w:pPr>
      <w:r>
        <w:rPr>
          <w:rFonts w:ascii="Times New Roman" w:cs="Times New Roman" w:eastAsia="Times New Roman" w:hAnsi="Times New Roman"/>
          <w:sz w:val="18"/>
          <w:szCs w:val="18"/>
          <w:color w:val="auto"/>
        </w:rPr>
        <w:t>Date: June 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Brian LaRose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3832225</wp:posOffset>
            </wp:positionH>
            <wp:positionV relativeFrom="paragraph">
              <wp:posOffset>26035</wp:posOffset>
            </wp:positionV>
            <wp:extent cx="330517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8">
                      <a:extLst>
                        <a:ext uri="{28A0092B-C50C-407E-A947-70E740481C1C}"/>
                      </a:extLst>
                    </a:blip>
                    <a:srcRect/>
                    <a:stretch>
                      <a:fillRect/>
                    </a:stretch>
                  </pic:blipFill>
                  <pic:spPr bwMode="auto">
                    <a:xfrm>
                      <a:off x="0" y="0"/>
                      <a:ext cx="3305175" cy="8255"/>
                    </a:xfrm>
                    <a:prstGeom prst="rect">
                      <a:avLst/>
                    </a:prstGeom>
                    <a:noFill/>
                  </pic:spPr>
                </pic:pic>
              </a:graphicData>
            </a:graphic>
          </wp:anchor>
        </w:drawing>
      </w:r>
    </w:p>
    <w:p>
      <w:pPr>
        <w:spacing w:after="0" w:line="21"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b w:val="1"/>
          <w:bCs w:val="1"/>
          <w:color w:val="auto"/>
        </w:rPr>
        <w:t>Brian LaRose</w:t>
      </w:r>
    </w:p>
    <w:p>
      <w:pPr>
        <w:spacing w:after="0" w:line="22"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2" w:lineRule="exact"/>
        <w:rPr>
          <w:sz w:val="20"/>
          <w:szCs w:val="20"/>
          <w:color w:val="auto"/>
        </w:rPr>
      </w:pPr>
    </w:p>
    <w:p>
      <w:pPr>
        <w:jc w:val="right"/>
        <w:ind w:right="1400"/>
        <w:spacing w:after="0"/>
        <w:rPr>
          <w:sz w:val="20"/>
          <w:szCs w:val="20"/>
          <w:color w:val="auto"/>
        </w:rPr>
      </w:pPr>
      <w:r>
        <w:rPr>
          <w:rFonts w:ascii="Times New Roman" w:cs="Times New Roman" w:eastAsia="Times New Roman" w:hAnsi="Times New Roman"/>
          <w:sz w:val="18"/>
          <w:szCs w:val="18"/>
          <w:b w:val="1"/>
          <w:bCs w:val="1"/>
          <w:color w:val="auto"/>
        </w:rPr>
        <w:t>(Principal Financial Officer and</w:t>
      </w:r>
    </w:p>
    <w:p>
      <w:pPr>
        <w:spacing w:after="0" w:line="9" w:lineRule="exact"/>
        <w:rPr>
          <w:sz w:val="20"/>
          <w:szCs w:val="20"/>
          <w:color w:val="auto"/>
        </w:rPr>
      </w:pPr>
    </w:p>
    <w:p>
      <w:pPr>
        <w:jc w:val="right"/>
        <w:ind w:right="146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617855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In connection with the accompanying Quarterly Report on Form 10-Q of Petco Health and Wellness Company, Inc. (the “Company”) for the quarter ended May 4, 2024, as filed with the Securities and Exchange Commission on the date hereof (the “Report”), I, R. Michael Mohan, Interim Chief Executive Officer of the Company, hereby certify, pursuant to 18 U.S.C. § 1350, as adopted pursuant to § 906 of the Sarbanes-Oxley Act of 2002, that:</w:t>
      </w:r>
    </w:p>
    <w:p>
      <w:pPr>
        <w:spacing w:after="0" w:line="177" w:lineRule="exact"/>
        <w:rPr>
          <w:sz w:val="20"/>
          <w:szCs w:val="20"/>
          <w:color w:val="auto"/>
        </w:rPr>
      </w:pPr>
    </w:p>
    <w:p>
      <w:pPr>
        <w:ind w:left="1020" w:hanging="504"/>
        <w:spacing w:after="0"/>
        <w:tabs>
          <w:tab w:leader="none" w:pos="102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4" w:lineRule="exact"/>
        <w:rPr>
          <w:rFonts w:ascii="Times New Roman" w:cs="Times New Roman" w:eastAsia="Times New Roman" w:hAnsi="Times New Roman"/>
          <w:sz w:val="18"/>
          <w:szCs w:val="18"/>
          <w:color w:val="auto"/>
        </w:rPr>
      </w:pPr>
    </w:p>
    <w:p>
      <w:pPr>
        <w:ind w:left="1020" w:right="640" w:hanging="504"/>
        <w:spacing w:after="0" w:line="281" w:lineRule="auto"/>
        <w:tabs>
          <w:tab w:leader="none" w:pos="102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90" w:lineRule="exact"/>
        <w:rPr>
          <w:sz w:val="20"/>
          <w:szCs w:val="20"/>
          <w:color w:val="auto"/>
        </w:rPr>
      </w:pPr>
    </w:p>
    <w:p>
      <w:pPr>
        <w:ind w:left="20"/>
        <w:spacing w:after="0"/>
        <w:tabs>
          <w:tab w:leader="none" w:pos="5700" w:val="left"/>
          <w:tab w:leader="none" w:pos="7840" w:val="left"/>
        </w:tabs>
        <w:rPr>
          <w:sz w:val="20"/>
          <w:szCs w:val="20"/>
          <w:color w:val="auto"/>
        </w:rPr>
      </w:pPr>
      <w:r>
        <w:rPr>
          <w:rFonts w:ascii="Times New Roman" w:cs="Times New Roman" w:eastAsia="Times New Roman" w:hAnsi="Times New Roman"/>
          <w:sz w:val="18"/>
          <w:szCs w:val="18"/>
          <w:color w:val="auto"/>
        </w:rPr>
        <w:t>Date: June 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 Michael Mohan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3832225</wp:posOffset>
            </wp:positionH>
            <wp:positionV relativeFrom="paragraph">
              <wp:posOffset>26035</wp:posOffset>
            </wp:positionV>
            <wp:extent cx="330517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0">
                      <a:extLst>
                        <a:ext uri="{28A0092B-C50C-407E-A947-70E740481C1C}"/>
                      </a:extLst>
                    </a:blip>
                    <a:srcRect/>
                    <a:stretch>
                      <a:fillRect/>
                    </a:stretch>
                  </pic:blipFill>
                  <pic:spPr bwMode="auto">
                    <a:xfrm>
                      <a:off x="0" y="0"/>
                      <a:ext cx="3305175" cy="8255"/>
                    </a:xfrm>
                    <a:prstGeom prst="rect">
                      <a:avLst/>
                    </a:prstGeom>
                    <a:noFill/>
                  </pic:spPr>
                </pic:pic>
              </a:graphicData>
            </a:graphic>
          </wp:anchor>
        </w:drawing>
      </w:r>
    </w:p>
    <w:p>
      <w:pPr>
        <w:spacing w:after="0" w:line="21"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b w:val="1"/>
          <w:bCs w:val="1"/>
          <w:color w:val="auto"/>
        </w:rPr>
        <w:t>R. Michael Mohan</w:t>
      </w:r>
    </w:p>
    <w:p>
      <w:pPr>
        <w:spacing w:after="0" w:line="22"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b w:val="1"/>
          <w:bCs w:val="1"/>
          <w:color w:val="auto"/>
        </w:rPr>
        <w:t>Interim Chief Executive Officer</w:t>
      </w:r>
    </w:p>
    <w:p>
      <w:pPr>
        <w:spacing w:after="0" w:line="22"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755015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ind w:right="60" w:firstLine="509"/>
        <w:spacing w:after="0" w:line="265" w:lineRule="auto"/>
        <w:rPr>
          <w:sz w:val="20"/>
          <w:szCs w:val="20"/>
          <w:color w:val="auto"/>
        </w:rPr>
      </w:pPr>
      <w:r>
        <w:rPr>
          <w:rFonts w:ascii="Times New Roman" w:cs="Times New Roman" w:eastAsia="Times New Roman" w:hAnsi="Times New Roman"/>
          <w:sz w:val="18"/>
          <w:szCs w:val="18"/>
          <w:color w:val="auto"/>
        </w:rPr>
        <w:t>In connection with the accompanying Quarterly Report on Form 10-Q of Petco Health and Wellness Company, Inc. (the “Company”) for the quarter ended May 4, 2024, as filed with the Securities and Exchange Commission on the date hereof (the “Report”), I, Brian LaRose, Chief Financial Officer of the Company, hereby certify, pursuant to 18 U.S.C. § 1350, as adopted pursuant to § 906 of the Sarbanes-Oxley Act of 2002, that:</w:t>
      </w:r>
    </w:p>
    <w:p>
      <w:pPr>
        <w:spacing w:after="0" w:line="177" w:lineRule="exact"/>
        <w:rPr>
          <w:sz w:val="20"/>
          <w:szCs w:val="20"/>
          <w:color w:val="auto"/>
        </w:rPr>
      </w:pPr>
    </w:p>
    <w:p>
      <w:pPr>
        <w:ind w:left="1020" w:hanging="504"/>
        <w:spacing w:after="0"/>
        <w:tabs>
          <w:tab w:leader="none" w:pos="102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4" w:lineRule="exact"/>
        <w:rPr>
          <w:rFonts w:ascii="Times New Roman" w:cs="Times New Roman" w:eastAsia="Times New Roman" w:hAnsi="Times New Roman"/>
          <w:sz w:val="18"/>
          <w:szCs w:val="18"/>
          <w:color w:val="auto"/>
        </w:rPr>
      </w:pPr>
    </w:p>
    <w:p>
      <w:pPr>
        <w:ind w:left="1020" w:right="640" w:hanging="504"/>
        <w:spacing w:after="0" w:line="281" w:lineRule="auto"/>
        <w:tabs>
          <w:tab w:leader="none" w:pos="102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90" w:lineRule="exact"/>
        <w:rPr>
          <w:sz w:val="20"/>
          <w:szCs w:val="20"/>
          <w:color w:val="auto"/>
        </w:rPr>
      </w:pPr>
    </w:p>
    <w:p>
      <w:pPr>
        <w:ind w:left="20"/>
        <w:spacing w:after="0"/>
        <w:tabs>
          <w:tab w:leader="none" w:pos="5700" w:val="left"/>
          <w:tab w:leader="none" w:pos="8020" w:val="left"/>
        </w:tabs>
        <w:rPr>
          <w:sz w:val="20"/>
          <w:szCs w:val="20"/>
          <w:color w:val="auto"/>
        </w:rPr>
      </w:pPr>
      <w:r>
        <w:rPr>
          <w:rFonts w:ascii="Times New Roman" w:cs="Times New Roman" w:eastAsia="Times New Roman" w:hAnsi="Times New Roman"/>
          <w:sz w:val="18"/>
          <w:szCs w:val="18"/>
          <w:color w:val="auto"/>
        </w:rPr>
        <w:t>Date: June 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Brian LaRose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3832225</wp:posOffset>
            </wp:positionH>
            <wp:positionV relativeFrom="paragraph">
              <wp:posOffset>26035</wp:posOffset>
            </wp:positionV>
            <wp:extent cx="330517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2">
                      <a:extLst>
                        <a:ext uri="{28A0092B-C50C-407E-A947-70E740481C1C}"/>
                      </a:extLst>
                    </a:blip>
                    <a:srcRect/>
                    <a:stretch>
                      <a:fillRect/>
                    </a:stretch>
                  </pic:blipFill>
                  <pic:spPr bwMode="auto">
                    <a:xfrm>
                      <a:off x="0" y="0"/>
                      <a:ext cx="3305175" cy="8255"/>
                    </a:xfrm>
                    <a:prstGeom prst="rect">
                      <a:avLst/>
                    </a:prstGeom>
                    <a:noFill/>
                  </pic:spPr>
                </pic:pic>
              </a:graphicData>
            </a:graphic>
          </wp:anchor>
        </w:drawing>
      </w:r>
    </w:p>
    <w:p>
      <w:pPr>
        <w:spacing w:after="0" w:line="21"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b w:val="1"/>
          <w:bCs w:val="1"/>
          <w:color w:val="auto"/>
        </w:rPr>
        <w:t>Brian LaRose</w:t>
      </w:r>
    </w:p>
    <w:p>
      <w:pPr>
        <w:spacing w:after="0" w:line="22"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2" w:lineRule="exact"/>
        <w:rPr>
          <w:sz w:val="20"/>
          <w:szCs w:val="20"/>
          <w:color w:val="auto"/>
        </w:rPr>
      </w:pPr>
    </w:p>
    <w:p>
      <w:pPr>
        <w:jc w:val="right"/>
        <w:ind w:right="1400"/>
        <w:spacing w:after="0"/>
        <w:rPr>
          <w:sz w:val="20"/>
          <w:szCs w:val="20"/>
          <w:color w:val="auto"/>
        </w:rPr>
      </w:pPr>
      <w:r>
        <w:rPr>
          <w:rFonts w:ascii="Times New Roman" w:cs="Times New Roman" w:eastAsia="Times New Roman" w:hAnsi="Times New Roman"/>
          <w:sz w:val="18"/>
          <w:szCs w:val="18"/>
          <w:b w:val="1"/>
          <w:bCs w:val="1"/>
          <w:color w:val="auto"/>
        </w:rPr>
        <w:t>(Principal Financial Officer and</w:t>
      </w:r>
    </w:p>
    <w:p>
      <w:pPr>
        <w:spacing w:after="0" w:line="9" w:lineRule="exact"/>
        <w:rPr>
          <w:sz w:val="20"/>
          <w:szCs w:val="20"/>
          <w:color w:val="auto"/>
        </w:rPr>
      </w:pPr>
    </w:p>
    <w:p>
      <w:pPr>
        <w:jc w:val="right"/>
        <w:ind w:right="146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755015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16" w:name="page117"/>
    <w:bookmarkEnd w:id="11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801EE1"/>
    <w:multiLevelType w:val="hybridMultilevel"/>
    <w:lvl w:ilvl="0">
      <w:lvlJc w:val="left"/>
      <w:lvlText w:val="☒"/>
      <w:numFmt w:val="bullet"/>
      <w:start w:val="1"/>
    </w:lvl>
  </w:abstractNum>
  <w:abstractNum w:abstractNumId="1">
    <w:nsid w:val="488AC1A"/>
    <w:multiLevelType w:val="hybridMultilevel"/>
    <w:lvl w:ilvl="0">
      <w:lvlJc w:val="left"/>
      <w:lvlText w:val="☐"/>
      <w:numFmt w:val="bullet"/>
      <w:start w:val="1"/>
    </w:lvl>
  </w:abstractNum>
  <w:abstractNum w:abstractNumId="2">
    <w:nsid w:val="5FB8011C"/>
    <w:multiLevelType w:val="hybridMultilevel"/>
    <w:lvl w:ilvl="0">
      <w:lvlJc w:val="left"/>
      <w:lvlText w:val="•"/>
      <w:numFmt w:val="bullet"/>
      <w:start w:val="1"/>
    </w:lvl>
  </w:abstractNum>
  <w:abstractNum w:abstractNumId="3">
    <w:nsid w:val="6AA78F7F"/>
    <w:multiLevelType w:val="hybridMultilevel"/>
    <w:lvl w:ilvl="0">
      <w:lvlJc w:val="left"/>
      <w:lvlText w:val="(%1)"/>
      <w:numFmt w:val="decimal"/>
      <w:start w:val="1"/>
    </w:lvl>
  </w:abstractNum>
  <w:abstractNum w:abstractNumId="4">
    <w:nsid w:val="7672BD23"/>
    <w:multiLevelType w:val="hybridMultilevel"/>
    <w:lvl w:ilvl="0">
      <w:lvlJc w:val="left"/>
      <w:lvlText w:val="(%1)"/>
      <w:numFmt w:val="decimal"/>
      <w:start w:val="2"/>
    </w:lvl>
  </w:abstractNum>
  <w:abstractNum w:abstractNumId="5">
    <w:nsid w:val="6FC75AF8"/>
    <w:multiLevelType w:val="hybridMultilevel"/>
    <w:lvl w:ilvl="0">
      <w:lvlJc w:val="left"/>
      <w:lvlText w:val="*"/>
      <w:numFmt w:val="bullet"/>
      <w:start w:val="1"/>
    </w:lvl>
    <w:lvl w:ilvl="1">
      <w:lvlJc w:val="left"/>
      <w:lvlText w:val="%2"/>
      <w:numFmt w:val="decimal"/>
      <w:start w:val="104"/>
    </w:lvl>
  </w:abstractNum>
  <w:abstractNum w:abstractNumId="6">
    <w:nsid w:val="6A5F7029"/>
    <w:multiLevelType w:val="hybridMultilevel"/>
    <w:lvl w:ilvl="0">
      <w:lvlJc w:val="left"/>
      <w:lvlText w:val="†"/>
      <w:numFmt w:val="bullet"/>
      <w:start w:val="1"/>
    </w:lvl>
  </w:abstractNum>
  <w:abstractNum w:abstractNumId="7">
    <w:nsid w:val="7D5E18F8"/>
    <w:multiLevelType w:val="hybridMultilevel"/>
    <w:lvl w:ilvl="0">
      <w:lvlJc w:val="left"/>
      <w:lvlText w:val="%1."/>
      <w:numFmt w:val="decimal"/>
      <w:start w:val="1"/>
    </w:lvl>
  </w:abstractNum>
  <w:abstractNum w:abstractNumId="8">
    <w:nsid w:val="5F3534A4"/>
    <w:multiLevelType w:val="hybridMultilevel"/>
    <w:lvl w:ilvl="0">
      <w:lvlJc w:val="left"/>
      <w:lvlText w:val="%1."/>
      <w:numFmt w:val="decimal"/>
      <w:start w:val="3"/>
    </w:lvl>
    <w:lvl w:ilvl="1">
      <w:lvlJc w:val="left"/>
      <w:lvlText w:val="(%2)"/>
      <w:numFmt w:val="lowerLetter"/>
      <w:start w:val="1"/>
    </w:lvl>
  </w:abstractNum>
  <w:abstractNum w:abstractNumId="9">
    <w:nsid w:val="73A1821B"/>
    <w:multiLevelType w:val="hybridMultilevel"/>
    <w:lvl w:ilvl="0">
      <w:lvlJc w:val="left"/>
      <w:lvlText w:val="%1."/>
      <w:numFmt w:val="decimal"/>
      <w:start w:val="5"/>
    </w:lvl>
    <w:lvl w:ilvl="1">
      <w:lvlJc w:val="left"/>
      <w:lvlText w:val="(%2)"/>
      <w:numFmt w:val="lowerLetter"/>
      <w:start w:val="1"/>
    </w:lvl>
  </w:abstractNum>
  <w:abstractNum w:abstractNumId="10">
    <w:nsid w:val="7DE67713"/>
    <w:multiLevelType w:val="hybridMultilevel"/>
    <w:lvl w:ilvl="0">
      <w:lvlJc w:val="left"/>
      <w:lvlText w:val="%1."/>
      <w:numFmt w:val="decimal"/>
      <w:start w:val="1"/>
    </w:lvl>
  </w:abstractNum>
  <w:abstractNum w:abstractNumId="11">
    <w:nsid w:val="555C55B5"/>
    <w:multiLevelType w:val="hybridMultilevel"/>
    <w:lvl w:ilvl="0">
      <w:lvlJc w:val="left"/>
      <w:lvlText w:val="%1."/>
      <w:numFmt w:val="decimal"/>
      <w:start w:val="2"/>
    </w:lvl>
    <w:lvl w:ilvl="1">
      <w:lvlJc w:val="left"/>
      <w:lvlText w:val="(%2)"/>
      <w:numFmt w:val="lowerLetter"/>
      <w:start w:val="1"/>
    </w:lvl>
  </w:abstractNum>
  <w:abstractNum w:abstractNumId="12">
    <w:nsid w:val="3FA62ACA"/>
    <w:multiLevelType w:val="hybridMultilevel"/>
    <w:lvl w:ilvl="0">
      <w:lvlJc w:val="left"/>
      <w:lvlText w:val="(%1)"/>
      <w:numFmt w:val="lowerLetter"/>
      <w:start w:val="3"/>
    </w:lvl>
  </w:abstractNum>
  <w:abstractNum w:abstractNumId="13">
    <w:nsid w:val="14FCE74E"/>
    <w:multiLevelType w:val="hybridMultilevel"/>
    <w:lvl w:ilvl="0">
      <w:lvlJc w:val="left"/>
      <w:lvlText w:val="(%1)"/>
      <w:numFmt w:val="lowerLetter"/>
      <w:start w:val="5"/>
    </w:lvl>
  </w:abstractNum>
  <w:abstractNum w:abstractNumId="14">
    <w:nsid w:val="6A3DD3E8"/>
    <w:multiLevelType w:val="hybridMultilevel"/>
    <w:lvl w:ilvl="0">
      <w:lvlJc w:val="left"/>
      <w:lvlText w:val="(%1)"/>
      <w:numFmt w:val="lowerRoman"/>
      <w:start w:val="1"/>
    </w:lvl>
  </w:abstractNum>
  <w:abstractNum w:abstractNumId="15">
    <w:nsid w:val="71C9129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6">
    <w:nsid w:val="9DAF632"/>
    <w:multiLevelType w:val="hybridMultilevel"/>
    <w:lvl w:ilvl="0">
      <w:lvlJc w:val="left"/>
      <w:lvlText w:val="%1."/>
      <w:numFmt w:val="decimal"/>
      <w:start w:val="3"/>
    </w:lvl>
    <w:lvl w:ilvl="1">
      <w:lvlJc w:val="left"/>
      <w:lvlText w:val="(%2)"/>
      <w:numFmt w:val="lowerLetter"/>
      <w:start w:val="9"/>
    </w:lvl>
    <w:lvl w:ilvl="2">
      <w:lvlJc w:val="left"/>
      <w:lvlText w:val="%3"/>
      <w:numFmt w:val="lowerRoman"/>
      <w:start w:val="1"/>
    </w:lvl>
  </w:abstractNum>
  <w:abstractNum w:abstractNumId="17">
    <w:nsid w:val="53299938"/>
    <w:multiLevelType w:val="hybridMultilevel"/>
    <w:lvl w:ilvl="0">
      <w:lvlJc w:val="left"/>
      <w:lvlText w:val="%1."/>
      <w:numFmt w:val="decimal"/>
      <w:start w:val="5"/>
    </w:lvl>
  </w:abstractNum>
  <w:abstractNum w:abstractNumId="18">
    <w:nsid w:val="1FBFE8E0"/>
    <w:multiLevelType w:val="hybridMultilevel"/>
    <w:lvl w:ilvl="0">
      <w:lvlJc w:val="left"/>
      <w:lvlText w:val="%1."/>
      <w:numFmt w:val="decimal"/>
      <w:start w:val="6"/>
    </w:lvl>
  </w:abstractNum>
  <w:abstractNum w:abstractNumId="19">
    <w:nsid w:val="5092CA79"/>
    <w:multiLevelType w:val="hybridMultilevel"/>
    <w:lvl w:ilvl="0">
      <w:lvlJc w:val="left"/>
      <w:lvlText w:val="%1."/>
      <w:numFmt w:val="decimal"/>
      <w:start w:val="7"/>
    </w:lvl>
  </w:abstractNum>
  <w:abstractNum w:abstractNumId="20">
    <w:nsid w:val="1D545C4D"/>
    <w:multiLevelType w:val="hybridMultilevel"/>
    <w:lvl w:ilvl="0">
      <w:lvlJc w:val="left"/>
      <w:lvlText w:val="%1."/>
      <w:numFmt w:val="decimal"/>
      <w:start w:val="8"/>
    </w:lvl>
  </w:abstractNum>
  <w:abstractNum w:abstractNumId="21">
    <w:nsid w:val="59ADEA3D"/>
    <w:multiLevelType w:val="hybridMultilevel"/>
    <w:lvl w:ilvl="0">
      <w:lvlJc w:val="left"/>
      <w:lvlText w:val="%1."/>
      <w:numFmt w:val="decimal"/>
      <w:start w:val="9"/>
    </w:lvl>
  </w:abstractNum>
  <w:abstractNum w:abstractNumId="22">
    <w:nsid w:val="288F1A34"/>
    <w:multiLevelType w:val="hybridMultilevel"/>
    <w:lvl w:ilvl="0">
      <w:lvlJc w:val="left"/>
      <w:lvlText w:val="(%1)"/>
      <w:numFmt w:val="lowerLetter"/>
      <w:start w:val="12"/>
    </w:lvl>
  </w:abstractNum>
  <w:abstractNum w:abstractNumId="23">
    <w:nsid w:val="2A155DBC"/>
    <w:multiLevelType w:val="hybridMultilevel"/>
    <w:lvl w:ilvl="0">
      <w:lvlJc w:val="left"/>
      <w:lvlText w:val="%1."/>
      <w:numFmt w:val="decimal"/>
      <w:start w:val="10"/>
    </w:lvl>
  </w:abstractNum>
  <w:abstractNum w:abstractNumId="24">
    <w:nsid w:val="1D9F6E5F"/>
    <w:multiLevelType w:val="hybridMultilevel"/>
    <w:lvl w:ilvl="0">
      <w:lvlJc w:val="left"/>
      <w:lvlText w:val="%1."/>
      <w:numFmt w:val="decimal"/>
      <w:start w:val="11"/>
    </w:lvl>
  </w:abstractNum>
  <w:abstractNum w:abstractNumId="25">
    <w:nsid w:val="97E1B4E"/>
    <w:multiLevelType w:val="hybridMultilevel"/>
    <w:lvl w:ilvl="0">
      <w:lvlJc w:val="left"/>
      <w:lvlText w:val="%1."/>
      <w:numFmt w:val="decimal"/>
      <w:start w:val="1"/>
    </w:lvl>
  </w:abstractNum>
  <w:abstractNum w:abstractNumId="26">
    <w:nsid w:val="51088277"/>
    <w:multiLevelType w:val="hybridMultilevel"/>
    <w:lvl w:ilvl="0">
      <w:lvlJc w:val="left"/>
      <w:lvlText w:val="%1."/>
      <w:numFmt w:val="decimal"/>
      <w:start w:val="2"/>
    </w:lvl>
  </w:abstractNum>
  <w:abstractNum w:abstractNumId="27">
    <w:nsid w:val="1CA0C5FA"/>
    <w:multiLevelType w:val="hybridMultilevel"/>
    <w:lvl w:ilvl="0">
      <w:lvlJc w:val="left"/>
      <w:lvlText w:val="%1"/>
      <w:numFmt w:val="decimal"/>
      <w:start w:val="1"/>
    </w:lvl>
    <w:lvl w:ilvl="1">
      <w:lvlJc w:val="left"/>
      <w:lvlText w:val="(%2)"/>
      <w:numFmt w:val="lowerLetter"/>
      <w:start w:val="18"/>
    </w:lvl>
  </w:abstractNum>
  <w:abstractNum w:abstractNumId="28">
    <w:nsid w:val="53584BCB"/>
    <w:multiLevelType w:val="hybridMultilevel"/>
    <w:lvl w:ilvl="0">
      <w:lvlJc w:val="left"/>
      <w:lvlText w:val="%1."/>
      <w:numFmt w:val="decimal"/>
      <w:start w:val="3"/>
    </w:lvl>
    <w:lvl w:ilvl="1">
      <w:lvlJc w:val="left"/>
      <w:lvlText w:val="(%2)"/>
      <w:numFmt w:val="lowerLetter"/>
      <w:start w:val="19"/>
    </w:lvl>
  </w:abstractNum>
  <w:abstractNum w:abstractNumId="29">
    <w:nsid w:val="415E286C"/>
    <w:multiLevelType w:val="hybridMultilevel"/>
    <w:lvl w:ilvl="0">
      <w:lvlJc w:val="left"/>
      <w:lvlText w:val="%1."/>
      <w:numFmt w:val="decimal"/>
      <w:start w:val="4"/>
    </w:lvl>
  </w:abstractNum>
  <w:abstractNum w:abstractNumId="30">
    <w:nsid w:val="7C58FD05"/>
    <w:multiLevelType w:val="hybridMultilevel"/>
    <w:lvl w:ilvl="0">
      <w:lvlJc w:val="left"/>
      <w:lvlText w:val="%1."/>
      <w:numFmt w:val="decimal"/>
      <w:start w:val="5"/>
    </w:lvl>
  </w:abstractNum>
  <w:abstractNum w:abstractNumId="31">
    <w:nsid w:val="23D86AAC"/>
    <w:multiLevelType w:val="hybridMultilevel"/>
    <w:lvl w:ilvl="0">
      <w:lvlJc w:val="left"/>
      <w:lvlText w:val="%1."/>
      <w:numFmt w:val="decimal"/>
      <w:start w:val="6"/>
    </w:lvl>
  </w:abstractNum>
  <w:abstractNum w:abstractNumId="32">
    <w:nsid w:val="45E6D486"/>
    <w:multiLevelType w:val="hybridMultilevel"/>
    <w:lvl w:ilvl="0">
      <w:lvlJc w:val="left"/>
      <w:lvlText w:val="%1."/>
      <w:numFmt w:val="decimal"/>
      <w:start w:val="7"/>
    </w:lvl>
  </w:abstractNum>
  <w:abstractNum w:abstractNumId="33">
    <w:nsid w:val="5C10FE21"/>
    <w:multiLevelType w:val="hybridMultilevel"/>
    <w:lvl w:ilvl="0">
      <w:lvlJc w:val="left"/>
      <w:lvlText w:val="%1."/>
      <w:numFmt w:val="decimal"/>
      <w:start w:val="8"/>
    </w:lvl>
  </w:abstractNum>
  <w:abstractNum w:abstractNumId="34">
    <w:nsid w:val="E7FFA2B"/>
    <w:multiLevelType w:val="hybridMultilevel"/>
    <w:lvl w:ilvl="0">
      <w:lvlJc w:val="left"/>
      <w:lvlText w:val="%1."/>
      <w:numFmt w:val="decimal"/>
      <w:start w:val="9"/>
    </w:lvl>
  </w:abstractNum>
  <w:abstractNum w:abstractNumId="35">
    <w:nsid w:val="3C5991AA"/>
    <w:multiLevelType w:val="hybridMultilevel"/>
    <w:lvl w:ilvl="0">
      <w:lvlJc w:val="left"/>
      <w:lvlText w:val="%1."/>
      <w:numFmt w:val="decimal"/>
      <w:start w:val="10"/>
    </w:lvl>
  </w:abstractNum>
  <w:abstractNum w:abstractNumId="36">
    <w:nsid w:val="4BD8591A"/>
    <w:multiLevelType w:val="hybridMultilevel"/>
    <w:lvl w:ilvl="0">
      <w:lvlJc w:val="left"/>
      <w:lvlText w:val="%1."/>
      <w:numFmt w:val="decimal"/>
      <w:start w:val="11"/>
    </w:lvl>
  </w:abstractNum>
  <w:abstractNum w:abstractNumId="37">
    <w:nsid w:val="78DF6A55"/>
    <w:multiLevelType w:val="hybridMultilevel"/>
    <w:lvl w:ilvl="0">
      <w:lvlJc w:val="left"/>
      <w:lvlText w:val="%1."/>
      <w:numFmt w:val="decimal"/>
      <w:start w:val="12"/>
    </w:lvl>
  </w:abstractNum>
  <w:abstractNum w:abstractNumId="38">
    <w:nsid w:val="39B7AAA2"/>
    <w:multiLevelType w:val="hybridMultilevel"/>
    <w:lvl w:ilvl="0">
      <w:lvlJc w:val="left"/>
      <w:lvlText w:val="%1."/>
      <w:numFmt w:val="decimal"/>
      <w:start w:val="13"/>
    </w:lvl>
  </w:abstractNum>
  <w:abstractNum w:abstractNumId="39">
    <w:nsid w:val="2B0D8DBE"/>
    <w:multiLevelType w:val="hybridMultilevel"/>
    <w:lvl w:ilvl="0">
      <w:lvlJc w:val="left"/>
      <w:lvlText w:val="%1."/>
      <w:numFmt w:val="decimal"/>
      <w:start w:val="14"/>
    </w:lvl>
  </w:abstractNum>
  <w:abstractNum w:abstractNumId="40">
    <w:nsid w:val="6C80EC70"/>
    <w:multiLevelType w:val="hybridMultilevel"/>
    <w:lvl w:ilvl="0">
      <w:lvlJc w:val="left"/>
      <w:lvlText w:val="%1."/>
      <w:numFmt w:val="decimal"/>
      <w:start w:val="15"/>
    </w:lvl>
  </w:abstractNum>
  <w:abstractNum w:abstractNumId="41">
    <w:nsid w:val="379E21B5"/>
    <w:multiLevelType w:val="hybridMultilevel"/>
    <w:lvl w:ilvl="0">
      <w:lvlJc w:val="left"/>
      <w:lvlText w:val="%1."/>
      <w:numFmt w:val="decimal"/>
      <w:start w:val="16"/>
    </w:lvl>
  </w:abstractNum>
  <w:abstractNum w:abstractNumId="42">
    <w:nsid w:val="69E373"/>
    <w:multiLevelType w:val="hybridMultilevel"/>
    <w:lvl w:ilvl="0">
      <w:lvlJc w:val="left"/>
      <w:lvlText w:val="%1."/>
      <w:numFmt w:val="decimal"/>
      <w:start w:val="17"/>
    </w:lvl>
  </w:abstractNum>
  <w:abstractNum w:abstractNumId="43">
    <w:nsid w:val="2C27173B"/>
    <w:multiLevelType w:val="hybridMultilevel"/>
    <w:lvl w:ilvl="0">
      <w:lvlJc w:val="left"/>
      <w:lvlText w:val="%1."/>
      <w:numFmt w:val="decimal"/>
      <w:start w:val="1"/>
    </w:lvl>
  </w:abstractNum>
  <w:abstractNum w:abstractNumId="44">
    <w:nsid w:val="4C9B0904"/>
    <w:multiLevelType w:val="hybridMultilevel"/>
    <w:lvl w:ilvl="0">
      <w:lvlJc w:val="left"/>
      <w:lvlText w:val="%1."/>
      <w:numFmt w:val="decimal"/>
      <w:start w:val="2"/>
    </w:lvl>
  </w:abstractNum>
  <w:abstractNum w:abstractNumId="45">
    <w:nsid w:val="6AA7B75C"/>
    <w:multiLevelType w:val="hybridMultilevel"/>
    <w:lvl w:ilvl="0">
      <w:lvlJc w:val="left"/>
      <w:lvlText w:val="(%1)"/>
      <w:numFmt w:val="lowerRoman"/>
      <w:start w:val="1"/>
    </w:lvl>
  </w:abstractNum>
  <w:abstractNum w:abstractNumId="46">
    <w:nsid w:val="1DF029D3"/>
    <w:multiLevelType w:val="hybridMultilevel"/>
    <w:lvl w:ilvl="0">
      <w:lvlJc w:val="left"/>
      <w:lvlText w:val="%1"/>
      <w:numFmt w:val="decimal"/>
      <w:start w:val="1"/>
    </w:lvl>
    <w:lvl w:ilvl="1">
      <w:lvlJc w:val="left"/>
      <w:lvlText w:val="(%2)"/>
      <w:numFmt w:val="lowerRoman"/>
      <w:start w:val="2"/>
    </w:lvl>
  </w:abstractNum>
  <w:abstractNum w:abstractNumId="47">
    <w:nsid w:val="5675FF36"/>
    <w:multiLevelType w:val="hybridMultilevel"/>
    <w:lvl w:ilvl="0">
      <w:lvlJc w:val="left"/>
      <w:lvlText w:val="%1."/>
      <w:numFmt w:val="decimal"/>
      <w:start w:val="3"/>
    </w:lvl>
    <w:lvl w:ilvl="1">
      <w:lvlJc w:val="left"/>
      <w:lvlText w:val="%2"/>
      <w:numFmt w:val="lowerRoman"/>
      <w:start w:val="1"/>
    </w:lvl>
  </w:abstractNum>
  <w:abstractNum w:abstractNumId="48">
    <w:nsid w:val="3DD15094"/>
    <w:multiLevelType w:val="hybridMultilevel"/>
    <w:lvl w:ilvl="0">
      <w:lvlJc w:val="left"/>
      <w:lvlText w:val="(%1)"/>
      <w:numFmt w:val="lowerLetter"/>
      <w:start w:val="6"/>
    </w:lvl>
  </w:abstractNum>
  <w:abstractNum w:abstractNumId="49">
    <w:nsid w:val="3DB012B3"/>
    <w:multiLevelType w:val="hybridMultilevel"/>
    <w:lvl w:ilvl="0">
      <w:lvlJc w:val="left"/>
      <w:lvlText w:val="%1."/>
      <w:numFmt w:val="decimal"/>
      <w:start w:val="4"/>
    </w:lvl>
  </w:abstractNum>
  <w:abstractNum w:abstractNumId="50">
    <w:nsid w:val="2708C9AF"/>
    <w:multiLevelType w:val="hybridMultilevel"/>
    <w:lvl w:ilvl="0">
      <w:lvlJc w:val="left"/>
      <w:lvlText w:val="%1."/>
      <w:numFmt w:val="decimal"/>
      <w:start w:val="5"/>
    </w:lvl>
  </w:abstractNum>
  <w:abstractNum w:abstractNumId="51">
    <w:nsid w:val="5B25ACE2"/>
    <w:multiLevelType w:val="hybridMultilevel"/>
    <w:lvl w:ilvl="0">
      <w:lvlJc w:val="left"/>
      <w:lvlText w:val="%1."/>
      <w:numFmt w:val="decimal"/>
      <w:start w:val="6"/>
    </w:lvl>
  </w:abstractNum>
  <w:abstractNum w:abstractNumId="52">
    <w:nsid w:val="175DFCF0"/>
    <w:multiLevelType w:val="hybridMultilevel"/>
    <w:lvl w:ilvl="0">
      <w:lvlJc w:val="left"/>
      <w:lvlText w:val="%1."/>
      <w:numFmt w:val="decimal"/>
      <w:start w:val="7"/>
    </w:lvl>
  </w:abstractNum>
  <w:abstractNum w:abstractNumId="53">
    <w:nsid w:val="4F97E3E4"/>
    <w:multiLevelType w:val="hybridMultilevel"/>
    <w:lvl w:ilvl="0">
      <w:lvlJc w:val="left"/>
      <w:lvlText w:val="%1."/>
      <w:numFmt w:val="decimal"/>
      <w:start w:val="8"/>
    </w:lvl>
  </w:abstractNum>
  <w:abstractNum w:abstractNumId="54">
    <w:nsid w:val="53B0A9E"/>
    <w:multiLevelType w:val="hybridMultilevel"/>
    <w:lvl w:ilvl="0">
      <w:lvlJc w:val="left"/>
      <w:lvlText w:val="%1."/>
      <w:numFmt w:val="decimal"/>
      <w:start w:val="9"/>
    </w:lvl>
  </w:abstractNum>
  <w:abstractNum w:abstractNumId="55">
    <w:nsid w:val="34FD6B4F"/>
    <w:multiLevelType w:val="hybridMultilevel"/>
    <w:lvl w:ilvl="0">
      <w:lvlJc w:val="left"/>
      <w:lvlText w:val="(%1)"/>
      <w:numFmt w:val="lowerRoman"/>
      <w:start w:val="1"/>
    </w:lvl>
  </w:abstractNum>
  <w:abstractNum w:abstractNumId="56">
    <w:nsid w:val="5915FF32"/>
    <w:multiLevelType w:val="hybridMultilevel"/>
    <w:lvl w:ilvl="0">
      <w:lvlJc w:val="left"/>
      <w:lvlText w:val="(%1)"/>
      <w:numFmt w:val="lowerLetter"/>
      <w:start w:val="10"/>
    </w:lvl>
  </w:abstractNum>
  <w:abstractNum w:abstractNumId="57">
    <w:nsid w:val="56438D15"/>
    <w:multiLevelType w:val="hybridMultilevel"/>
    <w:lvl w:ilvl="0">
      <w:lvlJc w:val="left"/>
      <w:lvlText w:val="(%1)"/>
      <w:numFmt w:val="lowerLetter"/>
      <w:start w:val="12"/>
    </w:lvl>
  </w:abstractNum>
  <w:abstractNum w:abstractNumId="58">
    <w:nsid w:val="519E3149"/>
    <w:multiLevelType w:val="hybridMultilevel"/>
    <w:lvl w:ilvl="0">
      <w:lvlJc w:val="left"/>
      <w:lvlText w:val="%1."/>
      <w:numFmt w:val="decimal"/>
      <w:start w:val="10"/>
    </w:lvl>
  </w:abstractNum>
  <w:abstractNum w:abstractNumId="59">
    <w:nsid w:val="2C6E4AFD"/>
    <w:multiLevelType w:val="hybridMultilevel"/>
    <w:lvl w:ilvl="0">
      <w:lvlJc w:val="left"/>
      <w:lvlText w:val="%1."/>
      <w:numFmt w:val="decimal"/>
      <w:start w:val="11"/>
    </w:lvl>
  </w:abstractNum>
  <w:abstractNum w:abstractNumId="60">
    <w:nsid w:val="17A1B582"/>
    <w:multiLevelType w:val="hybridMultilevel"/>
    <w:lvl w:ilvl="0">
      <w:lvlJc w:val="left"/>
      <w:lvlText w:val="%1."/>
      <w:numFmt w:val="decimal"/>
      <w:start w:val="1"/>
    </w:lvl>
  </w:abstractNum>
  <w:abstractNum w:abstractNumId="61">
    <w:nsid w:val="4DF72E4E"/>
    <w:multiLevelType w:val="hybridMultilevel"/>
    <w:lvl w:ilvl="0">
      <w:lvlJc w:val="left"/>
      <w:lvlText w:val="%1."/>
      <w:numFmt w:val="decimal"/>
      <w:start w:val="2"/>
    </w:lvl>
  </w:abstractNum>
  <w:abstractNum w:abstractNumId="62">
    <w:nsid w:val="5046B5A9"/>
    <w:multiLevelType w:val="hybridMultilevel"/>
    <w:lvl w:ilvl="0">
      <w:lvlJc w:val="left"/>
      <w:lvlText w:val="%1."/>
      <w:numFmt w:val="decimal"/>
      <w:start w:val="3"/>
    </w:lvl>
  </w:abstractNum>
  <w:abstractNum w:abstractNumId="63">
    <w:nsid w:val="5D888A08"/>
    <w:multiLevelType w:val="hybridMultilevel"/>
    <w:lvl w:ilvl="0">
      <w:lvlJc w:val="left"/>
      <w:lvlText w:val="(%1)"/>
      <w:numFmt w:val="lowerLetter"/>
      <w:start w:val="18"/>
    </w:lvl>
  </w:abstractNum>
  <w:abstractNum w:abstractNumId="64">
    <w:nsid w:val="2A082C70"/>
    <w:multiLevelType w:val="hybridMultilevel"/>
    <w:lvl w:ilvl="0">
      <w:lvlJc w:val="left"/>
      <w:lvlText w:val="%1."/>
      <w:numFmt w:val="decimal"/>
      <w:start w:val="4"/>
    </w:lvl>
  </w:abstractNum>
  <w:abstractNum w:abstractNumId="65">
    <w:nsid w:val="5EC6AFD4"/>
    <w:multiLevelType w:val="hybridMultilevel"/>
    <w:lvl w:ilvl="0">
      <w:lvlJc w:val="left"/>
      <w:lvlText w:val="%1."/>
      <w:numFmt w:val="decimal"/>
      <w:start w:val="5"/>
    </w:lvl>
  </w:abstractNum>
  <w:abstractNum w:abstractNumId="66">
    <w:nsid w:val="19E21BB2"/>
    <w:multiLevelType w:val="hybridMultilevel"/>
    <w:lvl w:ilvl="0">
      <w:lvlJc w:val="left"/>
      <w:lvlText w:val="%1."/>
      <w:numFmt w:val="decimal"/>
      <w:start w:val="6"/>
    </w:lvl>
  </w:abstractNum>
  <w:abstractNum w:abstractNumId="67">
    <w:nsid w:val="75E0858A"/>
    <w:multiLevelType w:val="hybridMultilevel"/>
    <w:lvl w:ilvl="0">
      <w:lvlJc w:val="left"/>
      <w:lvlText w:val="%1."/>
      <w:numFmt w:val="decimal"/>
      <w:start w:val="7"/>
    </w:lvl>
    <w:lvl w:ilvl="1">
      <w:lvlJc w:val="left"/>
      <w:lvlText w:val="(%2)"/>
      <w:numFmt w:val="lowerLetter"/>
      <w:start w:val="19"/>
    </w:lvl>
  </w:abstractNum>
  <w:abstractNum w:abstractNumId="68">
    <w:nsid w:val="57A61A29"/>
    <w:multiLevelType w:val="hybridMultilevel"/>
    <w:lvl w:ilvl="0">
      <w:lvlJc w:val="left"/>
      <w:lvlText w:val="%1."/>
      <w:numFmt w:val="decimal"/>
      <w:start w:val="8"/>
    </w:lvl>
  </w:abstractNum>
  <w:abstractNum w:abstractNumId="69">
    <w:nsid w:val="5399C654"/>
    <w:multiLevelType w:val="hybridMultilevel"/>
    <w:lvl w:ilvl="0">
      <w:lvlJc w:val="left"/>
      <w:lvlText w:val="%1."/>
      <w:numFmt w:val="decimal"/>
      <w:start w:val="9"/>
    </w:lvl>
  </w:abstractNum>
  <w:abstractNum w:abstractNumId="70">
    <w:nsid w:val="20EE1348"/>
    <w:multiLevelType w:val="hybridMultilevel"/>
    <w:lvl w:ilvl="0">
      <w:lvlJc w:val="left"/>
      <w:lvlText w:val="%1."/>
      <w:numFmt w:val="decimal"/>
      <w:start w:val="10"/>
    </w:lvl>
  </w:abstractNum>
  <w:abstractNum w:abstractNumId="71">
    <w:nsid w:val="4427069A"/>
    <w:multiLevelType w:val="hybridMultilevel"/>
    <w:lvl w:ilvl="0">
      <w:lvlJc w:val="left"/>
      <w:lvlText w:val="%1."/>
      <w:numFmt w:val="decimal"/>
      <w:start w:val="11"/>
    </w:lvl>
  </w:abstractNum>
  <w:abstractNum w:abstractNumId="72">
    <w:nsid w:val="B37E80A"/>
    <w:multiLevelType w:val="hybridMultilevel"/>
    <w:lvl w:ilvl="0">
      <w:lvlJc w:val="left"/>
      <w:lvlText w:val="%1."/>
      <w:numFmt w:val="decimal"/>
      <w:start w:val="12"/>
    </w:lvl>
  </w:abstractNum>
  <w:abstractNum w:abstractNumId="73">
    <w:nsid w:val="2157F6BC"/>
    <w:multiLevelType w:val="hybridMultilevel"/>
    <w:lvl w:ilvl="0">
      <w:lvlJc w:val="left"/>
      <w:lvlText w:val="%1."/>
      <w:numFmt w:val="decimal"/>
      <w:start w:val="13"/>
    </w:lvl>
  </w:abstractNum>
  <w:abstractNum w:abstractNumId="74">
    <w:nsid w:val="704E1DD5"/>
    <w:multiLevelType w:val="hybridMultilevel"/>
    <w:lvl w:ilvl="0">
      <w:lvlJc w:val="left"/>
      <w:lvlText w:val="%1."/>
      <w:numFmt w:val="decimal"/>
      <w:start w:val="14"/>
    </w:lvl>
  </w:abstractNum>
  <w:abstractNum w:abstractNumId="75">
    <w:nsid w:val="57D2F10E"/>
    <w:multiLevelType w:val="hybridMultilevel"/>
    <w:lvl w:ilvl="0">
      <w:lvlJc w:val="left"/>
      <w:lvlText w:val="%1."/>
      <w:numFmt w:val="decimal"/>
      <w:start w:val="15"/>
    </w:lvl>
  </w:abstractNum>
  <w:abstractNum w:abstractNumId="76">
    <w:nsid w:val="BFFAE18"/>
    <w:multiLevelType w:val="hybridMultilevel"/>
    <w:lvl w:ilvl="0">
      <w:lvlJc w:val="left"/>
      <w:lvlText w:val="%1."/>
      <w:numFmt w:val="decimal"/>
      <w:start w:val="16"/>
    </w:lvl>
  </w:abstractNum>
  <w:abstractNum w:abstractNumId="77">
    <w:nsid w:val="E3E47A8"/>
    <w:multiLevelType w:val="hybridMultilevel"/>
    <w:lvl w:ilvl="0">
      <w:lvlJc w:val="left"/>
      <w:lvlText w:val="%1."/>
      <w:numFmt w:val="decimal"/>
      <w:start w:val="17"/>
    </w:lvl>
  </w:abstractNum>
  <w:abstractNum w:abstractNumId="78">
    <w:nsid w:val="2E48F044"/>
    <w:multiLevelType w:val="hybridMultilevel"/>
    <w:lvl w:ilvl="0">
      <w:lvlJc w:val="left"/>
      <w:lvlText w:val="%1."/>
      <w:numFmt w:val="decimal"/>
      <w:start w:val="1"/>
    </w:lvl>
  </w:abstractNum>
  <w:abstractNum w:abstractNumId="79">
    <w:nsid w:val="49D0FEAC"/>
    <w:multiLevelType w:val="hybridMultilevel"/>
    <w:lvl w:ilvl="0">
      <w:lvlJc w:val="left"/>
      <w:lvlText w:val="%1."/>
      <w:numFmt w:val="decimal"/>
      <w:start w:val="2"/>
    </w:lvl>
  </w:abstractNum>
  <w:abstractNum w:abstractNumId="80">
    <w:nsid w:val="4BEE5A5B"/>
    <w:multiLevelType w:val="hybridMultilevel"/>
    <w:lvl w:ilvl="0">
      <w:lvlJc w:val="left"/>
      <w:lvlText w:val="%1."/>
      <w:numFmt w:val="decimal"/>
      <w:start w:val="3"/>
    </w:lvl>
    <w:lvl w:ilvl="1">
      <w:lvlJc w:val="left"/>
      <w:lvlText w:val="(%2)"/>
      <w:numFmt w:val="lowerLetter"/>
      <w:start w:val="1"/>
    </w:lvl>
  </w:abstractNum>
  <w:abstractNum w:abstractNumId="81">
    <w:nsid w:val="5551B9F3"/>
    <w:multiLevelType w:val="hybridMultilevel"/>
    <w:lvl w:ilvl="0">
      <w:lvlJc w:val="left"/>
      <w:lvlText w:val="%1"/>
      <w:numFmt w:val="decimal"/>
      <w:start w:val="1"/>
    </w:lvl>
    <w:lvl w:ilvl="1">
      <w:lvlJc w:val="left"/>
      <w:lvlText w:val="(%2)"/>
      <w:numFmt w:val="lowerLetter"/>
      <w:start w:val="3"/>
    </w:lvl>
  </w:abstractNum>
  <w:abstractNum w:abstractNumId="82">
    <w:nsid w:val="24F6AB8E"/>
    <w:multiLevelType w:val="hybridMultilevel"/>
    <w:lvl w:ilvl="0">
      <w:lvlJc w:val="left"/>
      <w:lvlText w:val="%1."/>
      <w:numFmt w:val="decimal"/>
      <w:start w:val="4"/>
    </w:lvl>
    <w:lvl w:ilvl="1">
      <w:lvlJc w:val="left"/>
      <w:lvlText w:val="%2"/>
      <w:numFmt w:val="lowerLetter"/>
      <w:start w:val="1"/>
    </w:lvl>
  </w:abstractNum>
  <w:abstractNum w:abstractNumId="83">
    <w:nsid w:val="634C574C"/>
    <w:multiLevelType w:val="hybridMultilevel"/>
    <w:lvl w:ilvl="0">
      <w:lvlJc w:val="left"/>
      <w:lvlText w:val="(%1)"/>
      <w:numFmt w:val="lowerLetter"/>
      <w:start w:val="1"/>
    </w:lvl>
  </w:abstractNum>
  <w:abstractNum w:abstractNumId="84">
    <w:nsid w:val="24E99DD7"/>
    <w:multiLevelType w:val="hybridMultilevel"/>
    <w:lvl w:ilvl="0">
      <w:lvlJc w:val="left"/>
      <w:lvlText w:val="%1"/>
      <w:numFmt w:val="decimal"/>
      <w:start w:val="1"/>
    </w:lvl>
    <w:lvl w:ilvl="1">
      <w:lvlJc w:val="left"/>
      <w:lvlText w:val="(%2)"/>
      <w:numFmt w:val="lowerLetter"/>
      <w:start w:val="5"/>
    </w:lvl>
  </w:abstractNum>
  <w:abstractNum w:abstractNumId="85">
    <w:nsid w:val="2A31B62D"/>
    <w:multiLevelType w:val="hybridMultilevel"/>
    <w:lvl w:ilvl="0">
      <w:lvlJc w:val="left"/>
      <w:lvlText w:val="%1."/>
      <w:numFmt w:val="decimal"/>
      <w:start w:val="5"/>
    </w:lvl>
    <w:lvl w:ilvl="1">
      <w:lvlJc w:val="left"/>
      <w:lvlText w:val="%2"/>
      <w:numFmt w:val="lowerLetter"/>
      <w:start w:val="1"/>
    </w:lvl>
  </w:abstractNum>
  <w:abstractNum w:abstractNumId="86">
    <w:nsid w:val="1849C29B"/>
    <w:multiLevelType w:val="hybridMultilevel"/>
    <w:lvl w:ilvl="0">
      <w:lvlJc w:val="left"/>
      <w:lvlText w:val="%1."/>
      <w:numFmt w:val="decimal"/>
      <w:start w:val="6"/>
    </w:lvl>
  </w:abstractNum>
  <w:abstractNum w:abstractNumId="87">
    <w:nsid w:val="7DFF9D09"/>
    <w:multiLevelType w:val="hybridMultilevel"/>
    <w:lvl w:ilvl="0">
      <w:lvlJc w:val="left"/>
      <w:lvlText w:val="%1."/>
      <w:numFmt w:val="decimal"/>
      <w:start w:val="7"/>
    </w:lvl>
  </w:abstractNum>
  <w:abstractNum w:abstractNumId="88">
    <w:nsid w:val="754342"/>
    <w:multiLevelType w:val="hybridMultilevel"/>
    <w:lvl w:ilvl="0">
      <w:lvlJc w:val="left"/>
      <w:lvlText w:val="%1."/>
      <w:numFmt w:val="decimal"/>
      <w:start w:val="8"/>
    </w:lvl>
  </w:abstractNum>
  <w:abstractNum w:abstractNumId="89">
    <w:nsid w:val="69E7F3E5"/>
    <w:multiLevelType w:val="hybridMultilevel"/>
    <w:lvl w:ilvl="0">
      <w:lvlJc w:val="left"/>
      <w:lvlText w:val="%1."/>
      <w:numFmt w:val="decimal"/>
      <w:start w:val="9"/>
    </w:lvl>
  </w:abstractNum>
  <w:abstractNum w:abstractNumId="90">
    <w:nsid w:val="2A6DE806"/>
    <w:multiLevelType w:val="hybridMultilevel"/>
    <w:lvl w:ilvl="0">
      <w:lvlJc w:val="left"/>
      <w:lvlText w:val="%1."/>
      <w:numFmt w:val="decimal"/>
      <w:start w:val="10"/>
    </w:lvl>
  </w:abstractNum>
  <w:abstractNum w:abstractNumId="91">
    <w:nsid w:val="1816F8C4"/>
    <w:multiLevelType w:val="hybridMultilevel"/>
    <w:lvl w:ilvl="0">
      <w:lvlJc w:val="left"/>
      <w:lvlText w:val="%1."/>
      <w:numFmt w:val="decimal"/>
      <w:start w:val="11"/>
    </w:lvl>
    <w:lvl w:ilvl="1">
      <w:lvlJc w:val="left"/>
      <w:lvlText w:val="(%2)"/>
      <w:numFmt w:val="lowerLetter"/>
      <w:start w:val="1"/>
    </w:lvl>
  </w:abstractNum>
  <w:abstractNum w:abstractNumId="92">
    <w:nsid w:val="37DF2233"/>
    <w:multiLevelType w:val="hybridMultilevel"/>
    <w:lvl w:ilvl="0">
      <w:lvlJc w:val="left"/>
      <w:lvlText w:val="(%1)"/>
      <w:numFmt w:val="lowerLetter"/>
      <w:start w:val="3"/>
    </w:lvl>
  </w:abstractNum>
  <w:abstractNum w:abstractNumId="93">
    <w:nsid w:val="7AB49DAF"/>
    <w:multiLevelType w:val="hybridMultilevel"/>
    <w:lvl w:ilvl="0">
      <w:lvlJc w:val="left"/>
      <w:lvlText w:val="%1."/>
      <w:numFmt w:val="decimal"/>
      <w:start w:val="12"/>
    </w:lvl>
  </w:abstractNum>
  <w:abstractNum w:abstractNumId="94">
    <w:nsid w:val="759F82CD"/>
    <w:multiLevelType w:val="hybridMultilevel"/>
    <w:lvl w:ilvl="0">
      <w:lvlJc w:val="left"/>
      <w:lvlText w:val="%1."/>
      <w:numFmt w:val="decimal"/>
      <w:start w:val="13"/>
    </w:lvl>
  </w:abstractNum>
  <w:abstractNum w:abstractNumId="95">
    <w:nsid w:val="61E74EA3"/>
    <w:multiLevelType w:val="hybridMultilevel"/>
    <w:lvl w:ilvl="0">
      <w:lvlJc w:val="left"/>
      <w:lvlText w:val="%1."/>
      <w:numFmt w:val="decimal"/>
      <w:start w:val="14"/>
    </w:lvl>
  </w:abstractNum>
  <w:abstractNum w:abstractNumId="96">
    <w:nsid w:val="597B4D84"/>
    <w:multiLevelType w:val="hybridMultilevel"/>
    <w:lvl w:ilvl="0">
      <w:lvlJc w:val="left"/>
      <w:lvlText w:val="%1."/>
      <w:numFmt w:val="decimal"/>
      <w:start w:val="15"/>
    </w:lvl>
  </w:abstractNum>
  <w:abstractNum w:abstractNumId="97">
    <w:nsid w:val="F819E7F"/>
    <w:multiLevelType w:val="hybridMultilevel"/>
    <w:lvl w:ilvl="0">
      <w:lvlJc w:val="left"/>
      <w:lvlText w:val="(%1)"/>
      <w:numFmt w:val="lowerLetter"/>
      <w:start w:val="1"/>
    </w:lvl>
  </w:abstractNum>
  <w:abstractNum w:abstractNumId="98">
    <w:nsid w:val="57C7D42D"/>
    <w:multiLevelType w:val="hybridMultilevel"/>
    <w:lvl w:ilvl="0">
      <w:lvlJc w:val="left"/>
      <w:lvlText w:val="%1"/>
      <w:numFmt w:val="decimal"/>
      <w:start w:val="1"/>
    </w:lvl>
    <w:lvl w:ilvl="1">
      <w:lvlJc w:val="left"/>
      <w:lvlText w:val="(%2)"/>
      <w:numFmt w:val="lowerLetter"/>
      <w:start w:val="2"/>
    </w:lvl>
  </w:abstractNum>
  <w:abstractNum w:abstractNumId="99">
    <w:nsid w:val="312167AD"/>
    <w:multiLevelType w:val="hybridMultilevel"/>
    <w:lvl w:ilvl="0">
      <w:lvlJc w:val="left"/>
      <w:lvlText w:val="%1."/>
      <w:numFmt w:val="decimal"/>
      <w:start w:val="16"/>
    </w:lvl>
    <w:lvl w:ilvl="1">
      <w:lvlJc w:val="left"/>
      <w:lvlText w:val="(%2)"/>
      <w:numFmt w:val="lowerLetter"/>
      <w:start w:val="1"/>
    </w:lvl>
  </w:abstractNum>
  <w:abstractNum w:abstractNumId="100">
    <w:nsid w:val="631B64D4"/>
    <w:multiLevelType w:val="hybridMultilevel"/>
    <w:lvl w:ilvl="0">
      <w:lvlJc w:val="left"/>
      <w:lvlText w:val="%1."/>
      <w:numFmt w:val="decimal"/>
      <w:start w:val="17"/>
    </w:lvl>
  </w:abstractNum>
  <w:abstractNum w:abstractNumId="101">
    <w:nsid w:val="78B5E776"/>
    <w:multiLevelType w:val="hybridMultilevel"/>
    <w:lvl w:ilvl="0">
      <w:lvlJc w:val="left"/>
      <w:lvlText w:val="%1."/>
      <w:numFmt w:val="decimal"/>
      <w:start w:val="18"/>
    </w:lvl>
  </w:abstractNum>
  <w:abstractNum w:abstractNumId="102">
    <w:nsid w:val="75486E47"/>
    <w:multiLevelType w:val="hybridMultilevel"/>
    <w:lvl w:ilvl="0">
      <w:lvlJc w:val="left"/>
      <w:lvlText w:val="%1."/>
      <w:numFmt w:val="decimal"/>
      <w:start w:val="19"/>
    </w:lvl>
  </w:abstractNum>
  <w:abstractNum w:abstractNumId="103">
    <w:nsid w:val="6E534CDE"/>
    <w:multiLevelType w:val="hybridMultilevel"/>
    <w:lvl w:ilvl="0">
      <w:lvlJc w:val="left"/>
      <w:lvlText w:val="%1."/>
      <w:numFmt w:val="decimal"/>
      <w:start w:val="20"/>
    </w:lvl>
    <w:lvl w:ilvl="1">
      <w:lvlJc w:val="left"/>
      <w:lvlText w:val="(%2)"/>
      <w:numFmt w:val="lowerLetter"/>
      <w:start w:val="1"/>
    </w:lvl>
  </w:abstractNum>
  <w:abstractNum w:abstractNumId="104">
    <w:nsid w:val="1A0DDE32"/>
    <w:multiLevelType w:val="hybridMultilevel"/>
    <w:lvl w:ilvl="0">
      <w:lvlJc w:val="left"/>
      <w:lvlText w:val="%1."/>
      <w:numFmt w:val="decimal"/>
      <w:start w:val="21"/>
    </w:lvl>
  </w:abstractNum>
  <w:abstractNum w:abstractNumId="105">
    <w:nsid w:val="65968C1C"/>
    <w:multiLevelType w:val="hybridMultilevel"/>
    <w:lvl w:ilvl="0">
      <w:lvlJc w:val="left"/>
      <w:lvlText w:val="%1."/>
      <w:numFmt w:val="decimal"/>
      <w:start w:val="22"/>
    </w:lvl>
  </w:abstractNum>
  <w:abstractNum w:abstractNumId="106">
    <w:nsid w:val="46263DEC"/>
    <w:multiLevelType w:val="hybridMultilevel"/>
    <w:lvl w:ilvl="0">
      <w:lvlJc w:val="left"/>
      <w:lvlText w:val="%1."/>
      <w:numFmt w:val="decimal"/>
      <w:start w:val="23"/>
    </w:lvl>
  </w:abstractNum>
  <w:abstractNum w:abstractNumId="107">
    <w:nsid w:val="260D8C4A"/>
    <w:multiLevelType w:val="hybridMultilevel"/>
    <w:lvl w:ilvl="0">
      <w:lvlJc w:val="left"/>
      <w:lvlText w:val="%1."/>
      <w:numFmt w:val="decimal"/>
      <w:start w:val="24"/>
    </w:lvl>
  </w:abstractNum>
  <w:abstractNum w:abstractNumId="108">
    <w:nsid w:val="73D4D3C4"/>
    <w:multiLevelType w:val="hybridMultilevel"/>
    <w:lvl w:ilvl="0">
      <w:lvlJc w:val="left"/>
      <w:lvlText w:val="%1."/>
      <w:numFmt w:val="decimal"/>
      <w:start w:val="25"/>
    </w:lvl>
  </w:abstractNum>
  <w:abstractNum w:abstractNumId="109">
    <w:nsid w:val="746F2E30"/>
    <w:multiLevelType w:val="hybridMultilevel"/>
    <w:lvl w:ilvl="0">
      <w:lvlJc w:val="left"/>
      <w:lvlText w:val="%1."/>
      <w:numFmt w:val="decimal"/>
      <w:start w:val="26"/>
    </w:lvl>
  </w:abstractNum>
  <w:abstractNum w:abstractNumId="110">
    <w:nsid w:val="6FDE8AF6"/>
    <w:multiLevelType w:val="hybridMultilevel"/>
    <w:lvl w:ilvl="0">
      <w:lvlJc w:val="left"/>
      <w:lvlText w:val="%1."/>
      <w:numFmt w:val="decimal"/>
      <w:start w:val="27"/>
    </w:lvl>
  </w:abstractNum>
  <w:abstractNum w:abstractNumId="111">
    <w:nsid w:val="3FC32E20"/>
    <w:multiLevelType w:val="hybridMultilevel"/>
    <w:lvl w:ilvl="0">
      <w:lvlJc w:val="left"/>
      <w:lvlText w:val="%1."/>
      <w:numFmt w:val="decimal"/>
      <w:start w:val="28"/>
    </w:lvl>
  </w:abstractNum>
  <w:abstractNum w:abstractNumId="112">
    <w:nsid w:val="49C0E823"/>
    <w:multiLevelType w:val="hybridMultilevel"/>
    <w:lvl w:ilvl="0">
      <w:lvlJc w:val="left"/>
      <w:lvlText w:val="%1."/>
      <w:numFmt w:val="decimal"/>
      <w:start w:val="29"/>
    </w:lvl>
  </w:abstractNum>
  <w:abstractNum w:abstractNumId="113">
    <w:nsid w:val="14D53685"/>
    <w:multiLevelType w:val="hybridMultilevel"/>
    <w:lvl w:ilvl="0">
      <w:lvlJc w:val="left"/>
      <w:lvlText w:val="%1."/>
      <w:numFmt w:val="decimal"/>
      <w:start w:val="30"/>
    </w:lvl>
  </w:abstractNum>
  <w:abstractNum w:abstractNumId="114">
    <w:nsid w:val="230F856C"/>
    <w:multiLevelType w:val="hybridMultilevel"/>
    <w:lvl w:ilvl="0">
      <w:lvlJc w:val="left"/>
      <w:lvlText w:val="%1."/>
      <w:numFmt w:val="decimal"/>
      <w:start w:val="1"/>
    </w:lvl>
  </w:abstractNum>
  <w:abstractNum w:abstractNumId="115">
    <w:nsid w:val="6EAA85FB"/>
    <w:multiLevelType w:val="hybridMultilevel"/>
    <w:lvl w:ilvl="0">
      <w:lvlJc w:val="left"/>
      <w:lvlText w:val="%1."/>
      <w:numFmt w:val="decimal"/>
      <w:start w:val="2"/>
    </w:lvl>
  </w:abstractNum>
  <w:abstractNum w:abstractNumId="116">
    <w:nsid w:val="3F06ECB2"/>
    <w:multiLevelType w:val="hybridMultilevel"/>
    <w:lvl w:ilvl="0">
      <w:lvlJc w:val="left"/>
      <w:lvlText w:val="(%1)"/>
      <w:numFmt w:val="lowerLetter"/>
      <w:start w:val="6"/>
    </w:lvl>
  </w:abstractNum>
  <w:abstractNum w:abstractNumId="117">
    <w:nsid w:val="3B594807"/>
    <w:multiLevelType w:val="hybridMultilevel"/>
    <w:lvl w:ilvl="0">
      <w:lvlJc w:val="left"/>
      <w:lvlText w:val="(%1)"/>
      <w:numFmt w:val="lowerRoman"/>
      <w:start w:val="1"/>
    </w:lvl>
  </w:abstractNum>
  <w:abstractNum w:abstractNumId="118">
    <w:nsid w:val="6CAA2304"/>
    <w:multiLevelType w:val="hybridMultilevel"/>
    <w:lvl w:ilvl="0">
      <w:lvlJc w:val="left"/>
      <w:lvlText w:val="%1"/>
      <w:numFmt w:val="decimal"/>
      <w:start w:val="1"/>
    </w:lvl>
    <w:lvl w:ilvl="1">
      <w:lvlJc w:val="left"/>
      <w:lvlText w:val="(%2)"/>
      <w:numFmt w:val="lowerRoman"/>
      <w:start w:val="4"/>
    </w:lvl>
  </w:abstractNum>
  <w:abstractNum w:abstractNumId="119">
    <w:nsid w:val="3F7C2FF4"/>
    <w:multiLevelType w:val="hybridMultilevel"/>
    <w:lvl w:ilvl="0">
      <w:lvlJc w:val="left"/>
      <w:lvlText w:val="%1."/>
      <w:numFmt w:val="decimal"/>
      <w:start w:val="3"/>
    </w:lvl>
    <w:lvl w:ilvl="1">
      <w:lvlJc w:val="left"/>
      <w:lvlText w:val="%2"/>
      <w:numFmt w:val="lowerRoman"/>
      <w:start w:val="1"/>
    </w:lvl>
  </w:abstractNum>
  <w:abstractNum w:abstractNumId="120">
    <w:nsid w:val="25413BEC"/>
    <w:multiLevelType w:val="hybridMultilevel"/>
    <w:lvl w:ilvl="0">
      <w:lvlJc w:val="left"/>
      <w:lvlText w:val="%1"/>
      <w:numFmt w:val="decimal"/>
      <w:start w:val="1"/>
    </w:lvl>
    <w:lvl w:ilvl="1">
      <w:lvlJc w:val="left"/>
      <w:lvlText w:val="(%2)"/>
      <w:numFmt w:val="lowerRoman"/>
      <w:start w:val="1"/>
    </w:lvl>
  </w:abstractNum>
  <w:abstractNum w:abstractNumId="121">
    <w:nsid w:val="17180B0B"/>
    <w:multiLevelType w:val="hybridMultilevel"/>
    <w:lvl w:ilvl="0">
      <w:lvlJc w:val="left"/>
      <w:lvlText w:val="%1."/>
      <w:numFmt w:val="decimal"/>
      <w:start w:val="4"/>
    </w:lvl>
    <w:lvl w:ilvl="1">
      <w:lvlJc w:val="left"/>
      <w:lvlText w:val="%2"/>
      <w:numFmt w:val="lowerRoman"/>
      <w:start w:val="1"/>
    </w:lvl>
  </w:abstractNum>
  <w:abstractNum w:abstractNumId="122">
    <w:nsid w:val="579328B9"/>
    <w:multiLevelType w:val="hybridMultilevel"/>
    <w:lvl w:ilvl="0">
      <w:lvlJc w:val="left"/>
      <w:lvlText w:val="%1."/>
      <w:numFmt w:val="decimal"/>
      <w:start w:val="5"/>
    </w:lvl>
  </w:abstractNum>
  <w:abstractNum w:abstractNumId="123">
    <w:nsid w:val="5D205E20"/>
    <w:multiLevelType w:val="hybridMultilevel"/>
    <w:lvl w:ilvl="0">
      <w:lvlJc w:val="left"/>
      <w:lvlText w:val="%1."/>
      <w:numFmt w:val="decimal"/>
      <w:start w:val="6"/>
    </w:lvl>
  </w:abstractNum>
  <w:abstractNum w:abstractNumId="124">
    <w:nsid w:val="11CCA8BA"/>
    <w:multiLevelType w:val="hybridMultilevel"/>
    <w:lvl w:ilvl="0">
      <w:lvlJc w:val="left"/>
      <w:lvlText w:val="%1."/>
      <w:numFmt w:val="decimal"/>
      <w:start w:val="7"/>
    </w:lvl>
  </w:abstractNum>
  <w:abstractNum w:abstractNumId="125">
    <w:nsid w:val="4D32AB86"/>
    <w:multiLevelType w:val="hybridMultilevel"/>
    <w:lvl w:ilvl="0">
      <w:lvlJc w:val="left"/>
      <w:lvlText w:val="%1."/>
      <w:numFmt w:val="decimal"/>
      <w:start w:val="8"/>
    </w:lvl>
  </w:abstractNum>
  <w:abstractNum w:abstractNumId="126">
    <w:nsid w:val="3F07ACC3"/>
    <w:multiLevelType w:val="hybridMultilevel"/>
    <w:lvl w:ilvl="0">
      <w:lvlJc w:val="left"/>
      <w:lvlText w:val="%1."/>
      <w:numFmt w:val="decimal"/>
      <w:start w:val="9"/>
    </w:lvl>
    <w:lvl w:ilvl="1">
      <w:lvlJc w:val="left"/>
      <w:lvlText w:val="(%2)"/>
      <w:numFmt w:val="lowerLetter"/>
      <w:start w:val="10"/>
    </w:lvl>
  </w:abstractNum>
  <w:abstractNum w:abstractNumId="127">
    <w:nsid w:val="6B47F63E"/>
    <w:multiLevelType w:val="hybridMultilevel"/>
    <w:lvl w:ilvl="0">
      <w:lvlJc w:val="left"/>
      <w:lvlText w:val="(%1)"/>
      <w:numFmt w:val="lowerLetter"/>
      <w:start w:val="12"/>
    </w:lvl>
  </w:abstractNum>
  <w:abstractNum w:abstractNumId="128">
    <w:nsid w:val="5CB44A05"/>
    <w:multiLevelType w:val="hybridMultilevel"/>
    <w:lvl w:ilvl="0">
      <w:lvlJc w:val="left"/>
      <w:lvlText w:val="%1."/>
      <w:numFmt w:val="decimal"/>
      <w:start w:val="10"/>
    </w:lvl>
  </w:abstractNum>
  <w:abstractNum w:abstractNumId="129">
    <w:nsid w:val="16CF80F1"/>
    <w:multiLevelType w:val="hybridMultilevel"/>
    <w:lvl w:ilvl="0">
      <w:lvlJc w:val="left"/>
      <w:lvlText w:val="%1."/>
      <w:numFmt w:val="decimal"/>
      <w:start w:val="11"/>
    </w:lvl>
  </w:abstractNum>
  <w:abstractNum w:abstractNumId="130">
    <w:nsid w:val="1C695DEC"/>
    <w:multiLevelType w:val="hybridMultilevel"/>
    <w:lvl w:ilvl="0">
      <w:lvlJc w:val="left"/>
      <w:lvlText w:val="%1."/>
      <w:numFmt w:val="decimal"/>
      <w:start w:val="1"/>
    </w:lvl>
  </w:abstractNum>
  <w:abstractNum w:abstractNumId="131">
    <w:nsid w:val="3FCFAED9"/>
    <w:multiLevelType w:val="hybridMultilevel"/>
    <w:lvl w:ilvl="0">
      <w:lvlJc w:val="left"/>
      <w:lvlText w:val="%1."/>
      <w:numFmt w:val="decimal"/>
      <w:start w:val="2"/>
    </w:lvl>
  </w:abstractNum>
  <w:abstractNum w:abstractNumId="132">
    <w:nsid w:val="F856867"/>
    <w:multiLevelType w:val="hybridMultilevel"/>
    <w:lvl w:ilvl="0">
      <w:lvlJc w:val="left"/>
      <w:lvlText w:val="%1."/>
      <w:numFmt w:val="decimal"/>
      <w:start w:val="3"/>
    </w:lvl>
    <w:lvl w:ilvl="1">
      <w:lvlJc w:val="left"/>
      <w:lvlText w:val="(%2)"/>
      <w:numFmt w:val="lowerLetter"/>
      <w:start w:val="18"/>
    </w:lvl>
  </w:abstractNum>
  <w:abstractNum w:abstractNumId="133">
    <w:nsid w:val="11B1CC33"/>
    <w:multiLevelType w:val="hybridMultilevel"/>
    <w:lvl w:ilvl="0">
      <w:lvlJc w:val="left"/>
      <w:lvlText w:val="%1."/>
      <w:numFmt w:val="decimal"/>
      <w:start w:val="4"/>
    </w:lvl>
  </w:abstractNum>
  <w:abstractNum w:abstractNumId="134">
    <w:nsid w:val="2E22FBB7"/>
    <w:multiLevelType w:val="hybridMultilevel"/>
    <w:lvl w:ilvl="0">
      <w:lvlJc w:val="left"/>
      <w:lvlText w:val="%1."/>
      <w:numFmt w:val="decimal"/>
      <w:start w:val="5"/>
    </w:lvl>
  </w:abstractNum>
  <w:abstractNum w:abstractNumId="135">
    <w:nsid w:val="29934699"/>
    <w:multiLevelType w:val="hybridMultilevel"/>
    <w:lvl w:ilvl="0">
      <w:lvlJc w:val="left"/>
      <w:lvlText w:val="%1."/>
      <w:numFmt w:val="decimal"/>
      <w:start w:val="6"/>
    </w:lvl>
  </w:abstractNum>
  <w:abstractNum w:abstractNumId="136">
    <w:nsid w:val="77485850"/>
    <w:multiLevelType w:val="hybridMultilevel"/>
    <w:lvl w:ilvl="0">
      <w:lvlJc w:val="left"/>
      <w:lvlText w:val="%1."/>
      <w:numFmt w:val="decimal"/>
      <w:start w:val="7"/>
    </w:lvl>
  </w:abstractNum>
  <w:abstractNum w:abstractNumId="137">
    <w:nsid w:val="744939A3"/>
    <w:multiLevelType w:val="hybridMultilevel"/>
    <w:lvl w:ilvl="0">
      <w:lvlJc w:val="left"/>
      <w:lvlText w:val="%1."/>
      <w:numFmt w:val="decimal"/>
      <w:start w:val="8"/>
    </w:lvl>
  </w:abstractNum>
  <w:abstractNum w:abstractNumId="138">
    <w:nsid w:val="4FA0D2E3"/>
    <w:multiLevelType w:val="hybridMultilevel"/>
    <w:lvl w:ilvl="0">
      <w:lvlJc w:val="left"/>
      <w:lvlText w:val="%1."/>
      <w:numFmt w:val="decimal"/>
      <w:start w:val="9"/>
    </w:lvl>
  </w:abstractNum>
  <w:abstractNum w:abstractNumId="139">
    <w:nsid w:val="6B1D2C14"/>
    <w:multiLevelType w:val="hybridMultilevel"/>
    <w:lvl w:ilvl="0">
      <w:lvlJc w:val="left"/>
      <w:lvlText w:val="%1."/>
      <w:numFmt w:val="decimal"/>
      <w:start w:val="10"/>
    </w:lvl>
  </w:abstractNum>
  <w:abstractNum w:abstractNumId="140">
    <w:nsid w:val="68B867D3"/>
    <w:multiLevelType w:val="hybridMultilevel"/>
    <w:lvl w:ilvl="0">
      <w:lvlJc w:val="left"/>
      <w:lvlText w:val="%1."/>
      <w:numFmt w:val="decimal"/>
      <w:start w:val="11"/>
    </w:lvl>
  </w:abstractNum>
  <w:abstractNum w:abstractNumId="141">
    <w:nsid w:val="3F7F5DD9"/>
    <w:multiLevelType w:val="hybridMultilevel"/>
    <w:lvl w:ilvl="0">
      <w:lvlJc w:val="left"/>
      <w:lvlText w:val="%1."/>
      <w:numFmt w:val="decimal"/>
      <w:start w:val="12"/>
    </w:lvl>
  </w:abstractNum>
  <w:abstractNum w:abstractNumId="142">
    <w:nsid w:val="2AE05A34"/>
    <w:multiLevelType w:val="hybridMultilevel"/>
    <w:lvl w:ilvl="0">
      <w:lvlJc w:val="left"/>
      <w:lvlText w:val="%1."/>
      <w:numFmt w:val="decimal"/>
      <w:start w:val="13"/>
    </w:lvl>
  </w:abstractNum>
  <w:abstractNum w:abstractNumId="143">
    <w:nsid w:val="32794FF7"/>
    <w:multiLevelType w:val="hybridMultilevel"/>
    <w:lvl w:ilvl="0">
      <w:lvlJc w:val="left"/>
      <w:lvlText w:val="%1."/>
      <w:numFmt w:val="decimal"/>
      <w:start w:val="14"/>
    </w:lvl>
  </w:abstractNum>
  <w:abstractNum w:abstractNumId="144">
    <w:nsid w:val="5454945E"/>
    <w:multiLevelType w:val="hybridMultilevel"/>
    <w:lvl w:ilvl="0">
      <w:lvlJc w:val="left"/>
      <w:lvlText w:val="%1."/>
      <w:numFmt w:val="decimal"/>
      <w:start w:val="15"/>
    </w:lvl>
  </w:abstractNum>
  <w:abstractNum w:abstractNumId="145">
    <w:nsid w:val="4DEFDFA0"/>
    <w:multiLevelType w:val="hybridMultilevel"/>
    <w:lvl w:ilvl="0">
      <w:lvlJc w:val="left"/>
      <w:lvlText w:val="%1."/>
      <w:numFmt w:val="decimal"/>
      <w:start w:val="16"/>
    </w:lvl>
  </w:abstractNum>
  <w:abstractNum w:abstractNumId="146">
    <w:nsid w:val="2123D5F2"/>
    <w:multiLevelType w:val="hybridMultilevel"/>
    <w:lvl w:ilvl="0">
      <w:lvlJc w:val="left"/>
      <w:lvlText w:val="%1."/>
      <w:numFmt w:val="decimal"/>
      <w:start w:val="17"/>
    </w:lvl>
  </w:abstractNum>
  <w:abstractNum w:abstractNumId="147">
    <w:nsid w:val="135B8110"/>
    <w:multiLevelType w:val="hybridMultilevel"/>
    <w:lvl w:ilvl="0">
      <w:lvlJc w:val="left"/>
      <w:lvlText w:val="%1."/>
      <w:numFmt w:val="decimal"/>
      <w:start w:val="1"/>
    </w:lvl>
  </w:abstractNum>
  <w:abstractNum w:abstractNumId="148">
    <w:nsid w:val="94927A8"/>
    <w:multiLevelType w:val="hybridMultilevel"/>
    <w:lvl w:ilvl="0">
      <w:lvlJc w:val="left"/>
      <w:lvlText w:val="%1."/>
      <w:numFmt w:val="decimal"/>
      <w:start w:val="2"/>
    </w:lvl>
  </w:abstractNum>
  <w:abstractNum w:abstractNumId="149">
    <w:nsid w:val="DCDF8F6"/>
    <w:multiLevelType w:val="hybridMultilevel"/>
    <w:lvl w:ilvl="0">
      <w:lvlJc w:val="left"/>
      <w:lvlText w:val="(%1)"/>
      <w:numFmt w:val="lowerLetter"/>
      <w:start w:val="6"/>
    </w:lvl>
  </w:abstractNum>
  <w:abstractNum w:abstractNumId="150">
    <w:nsid w:val="52D7B105"/>
    <w:multiLevelType w:val="hybridMultilevel"/>
    <w:lvl w:ilvl="0">
      <w:lvlJc w:val="left"/>
      <w:lvlText w:val="(%1)"/>
      <w:numFmt w:val="lowerRoman"/>
      <w:start w:val="1"/>
    </w:lvl>
  </w:abstractNum>
  <w:abstractNum w:abstractNumId="151">
    <w:nsid w:val="2E8A6394"/>
    <w:multiLevelType w:val="hybridMultilevel"/>
    <w:lvl w:ilvl="0">
      <w:lvlJc w:val="left"/>
      <w:lvlText w:val="%1"/>
      <w:numFmt w:val="decimal"/>
      <w:start w:val="1"/>
    </w:lvl>
    <w:lvl w:ilvl="1">
      <w:lvlJc w:val="left"/>
      <w:lvlText w:val="(%2)"/>
      <w:numFmt w:val="lowerRoman"/>
      <w:start w:val="4"/>
    </w:lvl>
  </w:abstractNum>
  <w:abstractNum w:abstractNumId="152">
    <w:nsid w:val="24E60401"/>
    <w:multiLevelType w:val="hybridMultilevel"/>
    <w:lvl w:ilvl="0">
      <w:lvlJc w:val="left"/>
      <w:lvlText w:val="%1."/>
      <w:numFmt w:val="decimal"/>
      <w:start w:val="3"/>
    </w:lvl>
    <w:lvl w:ilvl="1">
      <w:lvlJc w:val="left"/>
      <w:lvlText w:val="%2"/>
      <w:numFmt w:val="lowerRoman"/>
      <w:start w:val="1"/>
    </w:lvl>
  </w:abstractNum>
  <w:abstractNum w:abstractNumId="153">
    <w:nsid w:val="2A6AD9BE"/>
    <w:multiLevelType w:val="hybridMultilevel"/>
    <w:lvl w:ilvl="0">
      <w:lvlJc w:val="left"/>
      <w:lvlText w:val="%1"/>
      <w:numFmt w:val="decimal"/>
      <w:start w:val="1"/>
    </w:lvl>
    <w:lvl w:ilvl="1">
      <w:lvlJc w:val="left"/>
      <w:lvlText w:val="(%2)"/>
      <w:numFmt w:val="lowerRoman"/>
      <w:start w:val="1"/>
    </w:lvl>
  </w:abstractNum>
  <w:abstractNum w:abstractNumId="154">
    <w:nsid w:val="BAAC1B4"/>
    <w:multiLevelType w:val="hybridMultilevel"/>
    <w:lvl w:ilvl="0">
      <w:lvlJc w:val="left"/>
      <w:lvlText w:val="%1."/>
      <w:numFmt w:val="decimal"/>
      <w:start w:val="4"/>
    </w:lvl>
    <w:lvl w:ilvl="1">
      <w:lvlJc w:val="left"/>
      <w:lvlText w:val="%2"/>
      <w:numFmt w:val="lowerRoman"/>
      <w:start w:val="1"/>
    </w:lvl>
  </w:abstractNum>
  <w:abstractNum w:abstractNumId="155">
    <w:nsid w:val="36B2ACBC"/>
    <w:multiLevelType w:val="hybridMultilevel"/>
    <w:lvl w:ilvl="0">
      <w:lvlJc w:val="left"/>
      <w:lvlText w:val="%1."/>
      <w:numFmt w:val="decimal"/>
      <w:start w:val="5"/>
    </w:lvl>
  </w:abstractNum>
  <w:abstractNum w:abstractNumId="156">
    <w:nsid w:val="779D8544"/>
    <w:multiLevelType w:val="hybridMultilevel"/>
    <w:lvl w:ilvl="0">
      <w:lvlJc w:val="left"/>
      <w:lvlText w:val="%1."/>
      <w:numFmt w:val="decimal"/>
      <w:start w:val="6"/>
    </w:lvl>
  </w:abstractNum>
  <w:abstractNum w:abstractNumId="157">
    <w:nsid w:val="4AB26E78"/>
    <w:multiLevelType w:val="hybridMultilevel"/>
    <w:lvl w:ilvl="0">
      <w:lvlJc w:val="left"/>
      <w:lvlText w:val="%1."/>
      <w:numFmt w:val="decimal"/>
      <w:start w:val="7"/>
    </w:lvl>
  </w:abstractNum>
  <w:abstractNum w:abstractNumId="158">
    <w:nsid w:val="21FAA2FA"/>
    <w:multiLevelType w:val="hybridMultilevel"/>
    <w:lvl w:ilvl="0">
      <w:lvlJc w:val="left"/>
      <w:lvlText w:val="%1."/>
      <w:numFmt w:val="decimal"/>
      <w:start w:val="8"/>
    </w:lvl>
  </w:abstractNum>
  <w:abstractNum w:abstractNumId="159">
    <w:nsid w:val="5451CF49"/>
    <w:multiLevelType w:val="hybridMultilevel"/>
    <w:lvl w:ilvl="0">
      <w:lvlJc w:val="left"/>
      <w:lvlText w:val="%1."/>
      <w:numFmt w:val="decimal"/>
      <w:start w:val="9"/>
    </w:lvl>
    <w:lvl w:ilvl="1">
      <w:lvlJc w:val="left"/>
      <w:lvlText w:val="(%2)"/>
      <w:numFmt w:val="lowerLetter"/>
      <w:start w:val="10"/>
    </w:lvl>
  </w:abstractNum>
  <w:abstractNum w:abstractNumId="160">
    <w:nsid w:val="6181EF69"/>
    <w:multiLevelType w:val="hybridMultilevel"/>
    <w:lvl w:ilvl="0">
      <w:lvlJc w:val="left"/>
      <w:lvlText w:val="(%1)"/>
      <w:numFmt w:val="lowerLetter"/>
      <w:start w:val="12"/>
    </w:lvl>
  </w:abstractNum>
  <w:abstractNum w:abstractNumId="161">
    <w:nsid w:val="3E6400E6"/>
    <w:multiLevelType w:val="hybridMultilevel"/>
    <w:lvl w:ilvl="0">
      <w:lvlJc w:val="left"/>
      <w:lvlText w:val="%1."/>
      <w:numFmt w:val="decimal"/>
      <w:start w:val="10"/>
    </w:lvl>
  </w:abstractNum>
  <w:abstractNum w:abstractNumId="162">
    <w:nsid w:val="14217E23"/>
    <w:multiLevelType w:val="hybridMultilevel"/>
    <w:lvl w:ilvl="0">
      <w:lvlJc w:val="left"/>
      <w:lvlText w:val="%1."/>
      <w:numFmt w:val="decimal"/>
      <w:start w:val="11"/>
    </w:lvl>
  </w:abstractNum>
  <w:abstractNum w:abstractNumId="163">
    <w:nsid w:val="710757D0"/>
    <w:multiLevelType w:val="hybridMultilevel"/>
    <w:lvl w:ilvl="0">
      <w:lvlJc w:val="left"/>
      <w:lvlText w:val="%1."/>
      <w:numFmt w:val="decimal"/>
      <w:start w:val="1"/>
    </w:lvl>
  </w:abstractNum>
  <w:abstractNum w:abstractNumId="164">
    <w:nsid w:val="5015CD1A"/>
    <w:multiLevelType w:val="hybridMultilevel"/>
    <w:lvl w:ilvl="0">
      <w:lvlJc w:val="left"/>
      <w:lvlText w:val="%1."/>
      <w:numFmt w:val="decimal"/>
      <w:start w:val="2"/>
    </w:lvl>
  </w:abstractNum>
  <w:abstractNum w:abstractNumId="165">
    <w:nsid w:val="424479DA"/>
    <w:multiLevelType w:val="hybridMultilevel"/>
    <w:lvl w:ilvl="0">
      <w:lvlJc w:val="left"/>
      <w:lvlText w:val="%1."/>
      <w:numFmt w:val="decimal"/>
      <w:start w:val="3"/>
    </w:lvl>
    <w:lvl w:ilvl="1">
      <w:lvlJc w:val="left"/>
      <w:lvlText w:val="(%2)"/>
      <w:numFmt w:val="lowerLetter"/>
      <w:start w:val="18"/>
    </w:lvl>
  </w:abstractNum>
  <w:abstractNum w:abstractNumId="166">
    <w:nsid w:val="1A9A9E69"/>
    <w:multiLevelType w:val="hybridMultilevel"/>
    <w:lvl w:ilvl="0">
      <w:lvlJc w:val="left"/>
      <w:lvlText w:val="%1."/>
      <w:numFmt w:val="decimal"/>
      <w:start w:val="4"/>
    </w:lvl>
  </w:abstractNum>
  <w:abstractNum w:abstractNumId="167">
    <w:nsid w:val="475E256A"/>
    <w:multiLevelType w:val="hybridMultilevel"/>
    <w:lvl w:ilvl="0">
      <w:lvlJc w:val="left"/>
      <w:lvlText w:val="%1."/>
      <w:numFmt w:val="decimal"/>
      <w:start w:val="5"/>
    </w:lvl>
  </w:abstractNum>
  <w:abstractNum w:abstractNumId="168">
    <w:nsid w:val="368DB37E"/>
    <w:multiLevelType w:val="hybridMultilevel"/>
    <w:lvl w:ilvl="0">
      <w:lvlJc w:val="left"/>
      <w:lvlText w:val="%1."/>
      <w:numFmt w:val="decimal"/>
      <w:start w:val="6"/>
    </w:lvl>
  </w:abstractNum>
  <w:abstractNum w:abstractNumId="169">
    <w:nsid w:val="6A3B714C"/>
    <w:multiLevelType w:val="hybridMultilevel"/>
    <w:lvl w:ilvl="0">
      <w:lvlJc w:val="left"/>
      <w:lvlText w:val="%1."/>
      <w:numFmt w:val="decimal"/>
      <w:start w:val="7"/>
    </w:lvl>
  </w:abstractNum>
  <w:abstractNum w:abstractNumId="170">
    <w:nsid w:val="327B517E"/>
    <w:multiLevelType w:val="hybridMultilevel"/>
    <w:lvl w:ilvl="0">
      <w:lvlJc w:val="left"/>
      <w:lvlText w:val="%1."/>
      <w:numFmt w:val="decimal"/>
      <w:start w:val="8"/>
    </w:lvl>
  </w:abstractNum>
  <w:abstractNum w:abstractNumId="171">
    <w:nsid w:val="1F461B51"/>
    <w:multiLevelType w:val="hybridMultilevel"/>
    <w:lvl w:ilvl="0">
      <w:lvlJc w:val="left"/>
      <w:lvlText w:val="%1."/>
      <w:numFmt w:val="decimal"/>
      <w:start w:val="9"/>
    </w:lvl>
  </w:abstractNum>
  <w:abstractNum w:abstractNumId="172">
    <w:nsid w:val="29BACF25"/>
    <w:multiLevelType w:val="hybridMultilevel"/>
    <w:lvl w:ilvl="0">
      <w:lvlJc w:val="left"/>
      <w:lvlText w:val="%1."/>
      <w:numFmt w:val="decimal"/>
      <w:start w:val="10"/>
    </w:lvl>
  </w:abstractNum>
  <w:abstractNum w:abstractNumId="173">
    <w:nsid w:val="5D5BABB3"/>
    <w:multiLevelType w:val="hybridMultilevel"/>
    <w:lvl w:ilvl="0">
      <w:lvlJc w:val="left"/>
      <w:lvlText w:val="%1."/>
      <w:numFmt w:val="decimal"/>
      <w:start w:val="11"/>
    </w:lvl>
  </w:abstractNum>
  <w:abstractNum w:abstractNumId="174">
    <w:nsid w:val="51BF6B48"/>
    <w:multiLevelType w:val="hybridMultilevel"/>
    <w:lvl w:ilvl="0">
      <w:lvlJc w:val="left"/>
      <w:lvlText w:val="%1."/>
      <w:numFmt w:val="decimal"/>
      <w:start w:val="12"/>
    </w:lvl>
  </w:abstractNum>
  <w:abstractNum w:abstractNumId="175">
    <w:nsid w:val="7E0F6384"/>
    <w:multiLevelType w:val="hybridMultilevel"/>
    <w:lvl w:ilvl="0">
      <w:lvlJc w:val="left"/>
      <w:lvlText w:val="%1."/>
      <w:numFmt w:val="decimal"/>
      <w:start w:val="13"/>
    </w:lvl>
  </w:abstractNum>
  <w:abstractNum w:abstractNumId="176">
    <w:nsid w:val="2B4B8B53"/>
    <w:multiLevelType w:val="hybridMultilevel"/>
    <w:lvl w:ilvl="0">
      <w:lvlJc w:val="left"/>
      <w:lvlText w:val="%1."/>
      <w:numFmt w:val="decimal"/>
      <w:start w:val="14"/>
    </w:lvl>
  </w:abstractNum>
  <w:abstractNum w:abstractNumId="177">
    <w:nsid w:val="72E3413A"/>
    <w:multiLevelType w:val="hybridMultilevel"/>
    <w:lvl w:ilvl="0">
      <w:lvlJc w:val="left"/>
      <w:lvlText w:val="%1."/>
      <w:numFmt w:val="decimal"/>
      <w:start w:val="15"/>
    </w:lvl>
  </w:abstractNum>
  <w:abstractNum w:abstractNumId="178">
    <w:nsid w:val="116AE494"/>
    <w:multiLevelType w:val="hybridMultilevel"/>
    <w:lvl w:ilvl="0">
      <w:lvlJc w:val="left"/>
      <w:lvlText w:val="%1."/>
      <w:numFmt w:val="decimal"/>
      <w:start w:val="16"/>
    </w:lvl>
  </w:abstractNum>
  <w:abstractNum w:abstractNumId="179">
    <w:nsid w:val="3494B2FB"/>
    <w:multiLevelType w:val="hybridMultilevel"/>
    <w:lvl w:ilvl="0">
      <w:lvlJc w:val="left"/>
      <w:lvlText w:val="%1."/>
      <w:numFmt w:val="decimal"/>
      <w:start w:val="17"/>
    </w:lvl>
  </w:abstractNum>
  <w:abstractNum w:abstractNumId="180">
    <w:nsid w:val="B13A31"/>
    <w:multiLevelType w:val="hybridMultilevel"/>
    <w:lvl w:ilvl="0">
      <w:lvlJc w:val="left"/>
      <w:lvlText w:val="%1."/>
      <w:numFmt w:val="decimal"/>
      <w:start w:val="1"/>
    </w:lvl>
    <w:lvl w:ilvl="1">
      <w:lvlJc w:val="left"/>
      <w:lvlText w:val="(%2)"/>
      <w:numFmt w:val="lowerLetter"/>
      <w:start w:val="1"/>
    </w:lvl>
  </w:abstractNum>
  <w:abstractNum w:abstractNumId="181">
    <w:nsid w:val="64429599"/>
    <w:multiLevelType w:val="hybridMultilevel"/>
    <w:lvl w:ilvl="0">
      <w:lvlJc w:val="left"/>
      <w:lvlText w:val="(%1)"/>
      <w:numFmt w:val="lowerLetter"/>
      <w:start w:val="1"/>
    </w:lvl>
  </w:abstractNum>
  <w:abstractNum w:abstractNumId="182">
    <w:nsid w:val="631F1690"/>
    <w:multiLevelType w:val="hybridMultilevel"/>
    <w:lvl w:ilvl="0">
      <w:lvlJc w:val="left"/>
      <w:lvlText w:val="%1."/>
      <w:numFmt w:val="decimal"/>
      <w:start w:val="3"/>
    </w:lvl>
    <w:lvl w:ilvl="1">
      <w:lvlJc w:val="left"/>
      <w:lvlText w:val="(%2)"/>
      <w:numFmt w:val="lowerLetter"/>
      <w:start w:val="1"/>
    </w:lvl>
  </w:abstractNum>
  <w:abstractNum w:abstractNumId="183">
    <w:nsid w:val="25973E32"/>
    <w:multiLevelType w:val="hybridMultilevel"/>
    <w:lvl w:ilvl="0">
      <w:lvlJc w:val="left"/>
      <w:lvlText w:val="%1"/>
      <w:numFmt w:val="lowerLetter"/>
      <w:start w:val="1"/>
    </w:lvl>
    <w:lvl w:ilvl="1">
      <w:lvlJc w:val="left"/>
      <w:lvlText w:val="(%2)"/>
      <w:numFmt w:val="lowerLetter"/>
      <w:start w:val="3"/>
    </w:lvl>
  </w:abstractNum>
  <w:abstractNum w:abstractNumId="184">
    <w:nsid w:val="EAD6F57"/>
    <w:multiLevelType w:val="hybridMultilevel"/>
    <w:lvl w:ilvl="0">
      <w:lvlJc w:val="left"/>
      <w:lvlText w:val="(%1)"/>
      <w:numFmt w:val="lowerLetter"/>
      <w:start w:val="35"/>
    </w:lvl>
    <w:lvl w:ilvl="1">
      <w:lvlJc w:val="left"/>
      <w:lvlText w:val="%2"/>
      <w:numFmt w:val="lowerLetter"/>
      <w:start w:val="1"/>
    </w:lvl>
  </w:abstractNum>
  <w:abstractNum w:abstractNumId="185">
    <w:nsid w:val="6EC9D844"/>
    <w:multiLevelType w:val="hybridMultilevel"/>
    <w:lvl w:ilvl="0">
      <w:lvlJc w:val="left"/>
      <w:lvlText w:val="%1."/>
      <w:numFmt w:val="decimal"/>
      <w:start w:val="4"/>
    </w:lvl>
    <w:lvl w:ilvl="1">
      <w:lvlJc w:val="left"/>
      <w:lvlText w:val="(%2)"/>
      <w:numFmt w:val="lowerLetter"/>
      <w:start w:val="1"/>
    </w:lvl>
  </w:abstractNum>
  <w:abstractNum w:abstractNumId="186">
    <w:nsid w:val="5C49EAEE"/>
    <w:multiLevelType w:val="hybridMultilevel"/>
    <w:lvl w:ilvl="0">
      <w:lvlJc w:val="left"/>
      <w:lvlText w:val="%1."/>
      <w:numFmt w:val="decimal"/>
      <w:start w:val="7"/>
    </w:lvl>
    <w:lvl w:ilvl="1">
      <w:lvlJc w:val="left"/>
      <w:lvlText w:val="(%2)"/>
      <w:numFmt w:val="lowerLetter"/>
      <w:start w:val="1"/>
    </w:lvl>
  </w:abstractNum>
  <w:abstractNum w:abstractNumId="187">
    <w:nsid w:val="64AF49B"/>
    <w:multiLevelType w:val="hybridMultilevel"/>
    <w:lvl w:ilvl="0">
      <w:lvlJc w:val="left"/>
      <w:lvlText w:val="%1."/>
      <w:numFmt w:val="decimal"/>
      <w:start w:val="9"/>
    </w:lvl>
  </w:abstractNum>
  <w:abstractNum w:abstractNumId="188">
    <w:nsid w:val="397C46BC"/>
    <w:multiLevelType w:val="hybridMultilevel"/>
    <w:lvl w:ilvl="0">
      <w:lvlJc w:val="left"/>
      <w:lvlText w:val="%1."/>
      <w:numFmt w:val="decimal"/>
      <w:start w:val="17"/>
    </w:lvl>
  </w:abstractNum>
  <w:abstractNum w:abstractNumId="189">
    <w:nsid w:val="7E448DE9"/>
    <w:multiLevelType w:val="hybridMultilevel"/>
    <w:lvl w:ilvl="0">
      <w:lvlJc w:val="left"/>
      <w:lvlText w:val="%1."/>
      <w:numFmt w:val="decimal"/>
      <w:start w:val="1"/>
    </w:lvl>
    <w:lvl w:ilvl="1">
      <w:lvlJc w:val="left"/>
      <w:lvlText w:val="(%2)"/>
      <w:numFmt w:val="lowerLetter"/>
      <w:start w:val="1"/>
    </w:lvl>
  </w:abstractNum>
  <w:abstractNum w:abstractNumId="190">
    <w:nsid w:val="5A9CC3E5"/>
    <w:multiLevelType w:val="hybridMultilevel"/>
    <w:lvl w:ilvl="0">
      <w:lvlJc w:val="left"/>
      <w:lvlText w:val="%1."/>
      <w:numFmt w:val="decimal"/>
      <w:start w:val="1"/>
    </w:lvl>
    <w:lvl w:ilvl="1">
      <w:lvlJc w:val="left"/>
      <w:lvlText w:val="(%2)"/>
      <w:numFmt w:val="lowerLetter"/>
      <w:start w:val="1"/>
    </w:lvl>
  </w:abstractNum>
  <w:abstractNum w:abstractNumId="191">
    <w:nsid w:val="1AFE3625"/>
    <w:multiLevelType w:val="hybridMultilevel"/>
    <w:lvl w:ilvl="0">
      <w:lvlJc w:val="left"/>
      <w:lvlText w:val="(%1)"/>
      <w:numFmt w:val="decimal"/>
      <w:start w:val="1"/>
    </w:lvl>
  </w:abstractNum>
  <w:abstractNum w:abstractNumId="192">
    <w:nsid w:val="3CA88EC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 Id="rId170" Type="http://schemas.openxmlformats.org/officeDocument/2006/relationships/image" Target="media/image161.png"/><Relationship Id="rId171" Type="http://schemas.openxmlformats.org/officeDocument/2006/relationships/image" Target="media/image162.png"/><Relationship Id="rId172" Type="http://schemas.openxmlformats.org/officeDocument/2006/relationships/image" Target="media/image163.png"/><Relationship Id="rId173" Type="http://schemas.openxmlformats.org/officeDocument/2006/relationships/image" Target="media/image164.png"/><Relationship Id="rId174"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78" Type="http://schemas.openxmlformats.org/officeDocument/2006/relationships/image" Target="media/image169.png"/><Relationship Id="rId179" Type="http://schemas.openxmlformats.org/officeDocument/2006/relationships/image" Target="media/image170.png"/><Relationship Id="rId180" Type="http://schemas.openxmlformats.org/officeDocument/2006/relationships/image" Target="media/image171.png"/><Relationship Id="rId181" Type="http://schemas.openxmlformats.org/officeDocument/2006/relationships/image" Target="media/image172.png"/><Relationship Id="rId182" Type="http://schemas.openxmlformats.org/officeDocument/2006/relationships/image" Target="media/image173.png"/><Relationship Id="rId183" Type="http://schemas.openxmlformats.org/officeDocument/2006/relationships/image" Target="media/image174.png"/><Relationship Id="rId184" Type="http://schemas.openxmlformats.org/officeDocument/2006/relationships/image" Target="media/image175.png"/><Relationship Id="rId185" Type="http://schemas.openxmlformats.org/officeDocument/2006/relationships/image" Target="media/image176.png"/><Relationship Id="rId186" Type="http://schemas.openxmlformats.org/officeDocument/2006/relationships/image" Target="media/image177.png"/><Relationship Id="rId187" Type="http://schemas.openxmlformats.org/officeDocument/2006/relationships/image" Target="media/image178.png"/><Relationship Id="rId188" Type="http://schemas.openxmlformats.org/officeDocument/2006/relationships/image" Target="media/image179.png"/><Relationship Id="rId189" Type="http://schemas.openxmlformats.org/officeDocument/2006/relationships/image" Target="media/image180.png"/><Relationship Id="rId190" Type="http://schemas.openxmlformats.org/officeDocument/2006/relationships/image" Target="media/image181.png"/><Relationship Id="rId191" Type="http://schemas.openxmlformats.org/officeDocument/2006/relationships/image" Target="media/image182.png"/><Relationship Id="rId192" Type="http://schemas.openxmlformats.org/officeDocument/2006/relationships/image" Target="media/image183.png"/><Relationship Id="rId193" Type="http://schemas.openxmlformats.org/officeDocument/2006/relationships/image" Target="media/image184.png"/><Relationship Id="rId194" Type="http://schemas.openxmlformats.org/officeDocument/2006/relationships/image" Target="media/image185.png"/><Relationship Id="rId195" Type="http://schemas.openxmlformats.org/officeDocument/2006/relationships/image" Target="media/image186.png"/><Relationship Id="rId196" Type="http://schemas.openxmlformats.org/officeDocument/2006/relationships/image" Target="media/image187.png"/><Relationship Id="rId197" Type="http://schemas.openxmlformats.org/officeDocument/2006/relationships/image" Target="media/image188.png"/><Relationship Id="rId198" Type="http://schemas.openxmlformats.org/officeDocument/2006/relationships/image" Target="media/image189.png"/><Relationship Id="rId199" Type="http://schemas.openxmlformats.org/officeDocument/2006/relationships/image" Target="media/image190.png"/><Relationship Id="rId200" Type="http://schemas.openxmlformats.org/officeDocument/2006/relationships/image" Target="media/image191.png"/><Relationship Id="rId201" Type="http://schemas.openxmlformats.org/officeDocument/2006/relationships/image" Target="media/image192.png"/><Relationship Id="rId202" Type="http://schemas.openxmlformats.org/officeDocument/2006/relationships/image" Target="media/image193.png"/><Relationship Id="rId203" Type="http://schemas.openxmlformats.org/officeDocument/2006/relationships/image" Target="media/image194.png"/><Relationship Id="rId204" Type="http://schemas.openxmlformats.org/officeDocument/2006/relationships/image" Target="media/image195.png"/><Relationship Id="rId205" Type="http://schemas.openxmlformats.org/officeDocument/2006/relationships/image" Target="media/image196.png"/><Relationship Id="rId206" Type="http://schemas.openxmlformats.org/officeDocument/2006/relationships/image" Target="media/image197.png"/><Relationship Id="rId207" Type="http://schemas.openxmlformats.org/officeDocument/2006/relationships/image" Target="media/image198.png"/><Relationship Id="rId208" Type="http://schemas.openxmlformats.org/officeDocument/2006/relationships/image" Target="media/image199.png"/><Relationship Id="rId209" Type="http://schemas.openxmlformats.org/officeDocument/2006/relationships/image" Target="media/image200.png"/><Relationship Id="rId210" Type="http://schemas.openxmlformats.org/officeDocument/2006/relationships/image" Target="media/image201.png"/><Relationship Id="rId211" Type="http://schemas.openxmlformats.org/officeDocument/2006/relationships/image" Target="media/image202.png"/><Relationship Id="rId212" Type="http://schemas.openxmlformats.org/officeDocument/2006/relationships/image" Target="media/image203.png"/><Relationship Id="rId213" Type="http://schemas.openxmlformats.org/officeDocument/2006/relationships/image" Target="media/image204.png"/><Relationship Id="rId214" Type="http://schemas.openxmlformats.org/officeDocument/2006/relationships/image" Target="media/image205.png"/><Relationship Id="rId215" Type="http://schemas.openxmlformats.org/officeDocument/2006/relationships/image" Target="media/image206.png"/><Relationship Id="rId216" Type="http://schemas.openxmlformats.org/officeDocument/2006/relationships/image" Target="media/image207.png"/><Relationship Id="rId217" Type="http://schemas.openxmlformats.org/officeDocument/2006/relationships/image" Target="media/image208.png"/><Relationship Id="rId218" Type="http://schemas.openxmlformats.org/officeDocument/2006/relationships/image" Target="media/image209.png"/><Relationship Id="rId219" Type="http://schemas.openxmlformats.org/officeDocument/2006/relationships/image" Target="media/image210.png"/><Relationship Id="rId220" Type="http://schemas.openxmlformats.org/officeDocument/2006/relationships/image" Target="media/image211.png"/><Relationship Id="rId221" Type="http://schemas.openxmlformats.org/officeDocument/2006/relationships/image" Target="media/image212.png"/><Relationship Id="rId222" Type="http://schemas.openxmlformats.org/officeDocument/2006/relationships/image" Target="media/image213.png"/><Relationship Id="rId223" Type="http://schemas.openxmlformats.org/officeDocument/2006/relationships/image" Target="media/image214.png"/><Relationship Id="rId224" Type="http://schemas.openxmlformats.org/officeDocument/2006/relationships/image" Target="media/image215.png"/><Relationship Id="rId225" Type="http://schemas.openxmlformats.org/officeDocument/2006/relationships/image" Target="media/image216.png"/><Relationship Id="rId226" Type="http://schemas.openxmlformats.org/officeDocument/2006/relationships/image" Target="media/image217.png"/><Relationship Id="rId227" Type="http://schemas.openxmlformats.org/officeDocument/2006/relationships/image" Target="media/image218.png"/><Relationship Id="rId228" Type="http://schemas.openxmlformats.org/officeDocument/2006/relationships/image" Target="media/image219.png"/><Relationship Id="rId229" Type="http://schemas.openxmlformats.org/officeDocument/2006/relationships/image" Target="media/image220.png"/><Relationship Id="rId230" Type="http://schemas.openxmlformats.org/officeDocument/2006/relationships/image" Target="media/image221.png"/><Relationship Id="rId231" Type="http://schemas.openxmlformats.org/officeDocument/2006/relationships/image" Target="media/image222.png"/><Relationship Id="rId232" Type="http://schemas.openxmlformats.org/officeDocument/2006/relationships/image" Target="media/image223.png"/><Relationship Id="rId233" Type="http://schemas.openxmlformats.org/officeDocument/2006/relationships/image" Target="media/image224.png"/><Relationship Id="rId234" Type="http://schemas.openxmlformats.org/officeDocument/2006/relationships/image" Target="media/image225.png"/><Relationship Id="rId235" Type="http://schemas.openxmlformats.org/officeDocument/2006/relationships/image" Target="media/image226.png"/><Relationship Id="rId236" Type="http://schemas.openxmlformats.org/officeDocument/2006/relationships/image" Target="media/image227.png"/><Relationship Id="rId237" Type="http://schemas.openxmlformats.org/officeDocument/2006/relationships/image" Target="media/image228.png"/><Relationship Id="rId238" Type="http://schemas.openxmlformats.org/officeDocument/2006/relationships/image" Target="media/image229.png"/><Relationship Id="rId239" Type="http://schemas.openxmlformats.org/officeDocument/2006/relationships/image" Target="media/image230.png"/><Relationship Id="rId240" Type="http://schemas.openxmlformats.org/officeDocument/2006/relationships/image" Target="media/image231.png"/><Relationship Id="rId241" Type="http://schemas.openxmlformats.org/officeDocument/2006/relationships/image" Target="media/image232.png"/><Relationship Id="rId242" Type="http://schemas.openxmlformats.org/officeDocument/2006/relationships/image" Target="media/image233.png"/><Relationship Id="rId243" Type="http://schemas.openxmlformats.org/officeDocument/2006/relationships/image" Target="media/image234.png"/><Relationship Id="rId244" Type="http://schemas.openxmlformats.org/officeDocument/2006/relationships/image" Target="media/image235.png"/><Relationship Id="rId245" Type="http://schemas.openxmlformats.org/officeDocument/2006/relationships/image" Target="media/image236.png"/><Relationship Id="rId246" Type="http://schemas.openxmlformats.org/officeDocument/2006/relationships/image" Target="media/image237.png"/><Relationship Id="rId247" Type="http://schemas.openxmlformats.org/officeDocument/2006/relationships/image" Target="media/image238.png"/><Relationship Id="rId248" Type="http://schemas.openxmlformats.org/officeDocument/2006/relationships/image" Target="media/image239.png"/><Relationship Id="rId249" Type="http://schemas.openxmlformats.org/officeDocument/2006/relationships/image" Target="media/image240.png"/><Relationship Id="rId250" Type="http://schemas.openxmlformats.org/officeDocument/2006/relationships/image" Target="media/image241.png"/><Relationship Id="rId251" Type="http://schemas.openxmlformats.org/officeDocument/2006/relationships/image" Target="media/image242.png"/><Relationship Id="rId252" Type="http://schemas.openxmlformats.org/officeDocument/2006/relationships/image" Target="media/image243.png"/><Relationship Id="rId253" Type="http://schemas.openxmlformats.org/officeDocument/2006/relationships/image" Target="media/image244.png"/><Relationship Id="rId254" Type="http://schemas.openxmlformats.org/officeDocument/2006/relationships/image" Target="media/image245.png"/><Relationship Id="rId255" Type="http://schemas.openxmlformats.org/officeDocument/2006/relationships/image" Target="media/image246.png"/><Relationship Id="rId256" Type="http://schemas.openxmlformats.org/officeDocument/2006/relationships/image" Target="media/image247.png"/><Relationship Id="rId257" Type="http://schemas.openxmlformats.org/officeDocument/2006/relationships/image" Target="media/image248.png"/><Relationship Id="rId258" Type="http://schemas.openxmlformats.org/officeDocument/2006/relationships/image" Target="media/image249.png"/><Relationship Id="rId259" Type="http://schemas.openxmlformats.org/officeDocument/2006/relationships/image" Target="media/image250.png"/><Relationship Id="rId260" Type="http://schemas.openxmlformats.org/officeDocument/2006/relationships/image" Target="media/image251.png"/><Relationship Id="rId261" Type="http://schemas.openxmlformats.org/officeDocument/2006/relationships/image" Target="media/image252.png"/><Relationship Id="rId262" Type="http://schemas.openxmlformats.org/officeDocument/2006/relationships/image" Target="media/image253.png"/><Relationship Id="rId263" Type="http://schemas.openxmlformats.org/officeDocument/2006/relationships/image" Target="media/image254.png"/><Relationship Id="rId264" Type="http://schemas.openxmlformats.org/officeDocument/2006/relationships/image" Target="media/image255.png"/><Relationship Id="rId265" Type="http://schemas.openxmlformats.org/officeDocument/2006/relationships/image" Target="media/image256.png"/><Relationship Id="rId266" Type="http://schemas.openxmlformats.org/officeDocument/2006/relationships/image" Target="media/image257.png"/><Relationship Id="rId267" Type="http://schemas.openxmlformats.org/officeDocument/2006/relationships/image" Target="media/image258.png"/><Relationship Id="rId268" Type="http://schemas.openxmlformats.org/officeDocument/2006/relationships/image" Target="media/image259.png"/><Relationship Id="rId269" Type="http://schemas.openxmlformats.org/officeDocument/2006/relationships/image" Target="media/image260.png"/><Relationship Id="rId270" Type="http://schemas.openxmlformats.org/officeDocument/2006/relationships/image" Target="media/image261.png"/><Relationship Id="rId271" Type="http://schemas.openxmlformats.org/officeDocument/2006/relationships/image" Target="media/image262.png"/><Relationship Id="rId272" Type="http://schemas.openxmlformats.org/officeDocument/2006/relationships/image" Target="media/image263.png"/><Relationship Id="rId273" Type="http://schemas.openxmlformats.org/officeDocument/2006/relationships/image" Target="media/image264.png"/><Relationship Id="rId157" Type="http://schemas.openxmlformats.org/officeDocument/2006/relationships/hyperlink" Target="https://www.sec.gov/Archives/edgar/data/1826470/000119312524066384/d812696dex101.htm" TargetMode="External"/><Relationship Id="rId158" Type="http://schemas.openxmlformats.org/officeDocument/2006/relationships/hyperlink" Target="https://www.sec.gov/Archives/edgar/data/1826470/000119312524066384/d812696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2024-06-05T15:31:58Z</dcterms:created>
  <dcterms:modified xsi:type="dcterms:W3CDTF">2024-06-05T15:31:58Z</dcterms:modified>
</cp:coreProperties>
</file>