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3940" w:right="1580" w:hanging="3919"/>
        <w:spacing w:after="0" w:line="299" w:lineRule="auto"/>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3, 2025</w:t>
      </w: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3"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3905885</wp:posOffset>
            </wp:positionH>
            <wp:positionV relativeFrom="paragraph">
              <wp:posOffset>-11430</wp:posOffset>
            </wp:positionV>
            <wp:extent cx="342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Petco Health and Wellness Company,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p>
      <w:pPr>
        <w:spacing w:after="0" w:line="18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81-1005932</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46" w:lineRule="exact"/>
        <w:rPr>
          <w:sz w:val="24"/>
          <w:szCs w:val="24"/>
          <w:color w:val="auto"/>
        </w:rPr>
      </w:pPr>
    </w:p>
    <w:p>
      <w:pPr>
        <w:sectPr>
          <w:pgSz w:w="11900" w:h="16838" w:orient="portrait"/>
          <w:cols w:equalWidth="0" w:num="2">
            <w:col w:w="7220" w:space="720"/>
            <w:col w:w="3300"/>
          </w:cols>
          <w:pgMar w:left="320" w:top="1064" w:right="3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8"/>
          <w:szCs w:val="18"/>
          <w:b w:val="1"/>
          <w:bCs w:val="1"/>
          <w:color w:val="auto"/>
        </w:rPr>
        <w:t>10850 Via Frontera</w:t>
      </w:r>
    </w:p>
    <w:p>
      <w:pPr>
        <w:spacing w:after="0" w:line="31" w:lineRule="exact"/>
        <w:rPr>
          <w:sz w:val="24"/>
          <w:szCs w:val="24"/>
          <w:color w:val="auto"/>
        </w:rPr>
      </w:pPr>
    </w:p>
    <w:p>
      <w:pPr>
        <w:ind w:left="198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San Diego, California</w:t>
      </w:r>
      <w:r>
        <w:rPr>
          <w:sz w:val="20"/>
          <w:szCs w:val="20"/>
          <w:color w:val="auto"/>
        </w:rPr>
        <w:tab/>
      </w:r>
      <w:r>
        <w:rPr>
          <w:rFonts w:ascii="Times New Roman" w:cs="Times New Roman" w:eastAsia="Times New Roman" w:hAnsi="Times New Roman"/>
          <w:sz w:val="18"/>
          <w:szCs w:val="18"/>
          <w:b w:val="1"/>
          <w:bCs w:val="1"/>
          <w:color w:val="auto"/>
        </w:rPr>
        <w:t>92127</w:t>
      </w:r>
    </w:p>
    <w:p>
      <w:pPr>
        <w:spacing w:after="0" w:line="5" w:lineRule="exact"/>
        <w:rPr>
          <w:sz w:val="24"/>
          <w:szCs w:val="24"/>
          <w:color w:val="auto"/>
        </w:r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Class A Common Stock, par value $0.001 per share</w:t>
            </w: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WOOF</w:t>
            </w:r>
          </w:p>
        </w:tc>
        <w:tc>
          <w:tcPr>
            <w:tcW w:w="1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bl>
    <w:p>
      <w:pPr>
        <w:spacing w:after="0" w:line="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34"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7560" w:val="left"/>
          <w:tab w:leader="none" w:pos="82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A Common Stock outstanding as of June 4, 2025 was 241,197,065.</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B-1 Common Stock outstanding as of June 4, 2025 was 37,790,781.</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B-2 Common Stock outstanding as of June 4, 2025 was 37,790,781.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925195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40" w:type="dxa"/>
            <w:vAlign w:val="bottom"/>
            <w:gridSpan w:val="7"/>
          </w:tcPr>
          <w:p>
            <w:pPr>
              <w:ind w:left="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w w:val="99"/>
              </w:rPr>
              <w:t>Financial Statements (Unaudited)</w:t>
            </w:r>
          </w:p>
        </w:tc>
        <w:tc>
          <w:tcPr>
            <w:tcW w:w="688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w w:val="99"/>
              </w:rPr>
              <w:t>Consolidated Statements of Comprehensive Income (Loss)</w:t>
            </w:r>
          </w:p>
        </w:tc>
        <w:tc>
          <w:tcPr>
            <w:tcW w:w="50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w w:val="99"/>
              </w:rPr>
              <w:t>Consolidated Statements of Stockholders' / Members' Equity</w:t>
            </w:r>
          </w:p>
        </w:tc>
        <w:tc>
          <w:tcPr>
            <w:tcW w:w="49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9"/>
              </w:rPr>
              <w:t>Notes to Unaudited Consolidated Financial Statements</w:t>
            </w:r>
          </w:p>
        </w:tc>
        <w:tc>
          <w:tcPr>
            <w:tcW w:w="536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2100" w:type="dxa"/>
            <w:vAlign w:val="bottom"/>
            <w:tcBorders>
              <w:top w:val="single" w:sz="8" w:color="0000EE"/>
            </w:tcBorders>
            <w:gridSpan w:val="2"/>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19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74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798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8"/>
              </w:rPr>
              <w:t>Defaults Upon Senior Securities</w:t>
            </w:r>
          </w:p>
        </w:tc>
        <w:tc>
          <w:tcPr>
            <w:tcW w:w="2020" w:type="dxa"/>
            <w:vAlign w:val="bottom"/>
            <w:tcBorders>
              <w:top w:val="single" w:sz="8" w:color="0000EE"/>
            </w:tcBorders>
            <w:gridSpan w:val="6"/>
          </w:tcPr>
          <w:p>
            <w:pPr>
              <w:spacing w:after="0"/>
              <w:rPr>
                <w:sz w:val="17"/>
                <w:szCs w:val="17"/>
                <w:color w:val="auto"/>
              </w:rPr>
            </w:pPr>
          </w:p>
        </w:tc>
        <w:tc>
          <w:tcPr>
            <w:tcW w:w="496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Other Information</w:t>
            </w:r>
          </w:p>
        </w:tc>
        <w:tc>
          <w:tcPr>
            <w:tcW w:w="754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Exhibits</w:t>
            </w:r>
          </w:p>
        </w:tc>
        <w:tc>
          <w:tcPr>
            <w:tcW w:w="800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Signatures</w:t>
            </w:r>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7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460" w:type="dxa"/>
            <w:vAlign w:val="bottom"/>
            <w:gridSpan w:val="18"/>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Forward-Looking Statements</w:t>
      </w:r>
    </w:p>
    <w:p>
      <w:pPr>
        <w:spacing w:after="0" w:line="277" w:lineRule="exact"/>
        <w:rPr>
          <w:sz w:val="20"/>
          <w:szCs w:val="20"/>
          <w:color w:val="auto"/>
        </w:rPr>
      </w:pPr>
    </w:p>
    <w:p>
      <w:pPr>
        <w:ind w:right="40" w:firstLine="749"/>
        <w:spacing w:after="0" w:line="267" w:lineRule="auto"/>
        <w:rPr>
          <w:sz w:val="20"/>
          <w:szCs w:val="20"/>
          <w:color w:val="auto"/>
        </w:rPr>
      </w:pPr>
      <w:r>
        <w:rPr>
          <w:rFonts w:ascii="Times New Roman" w:cs="Times New Roman" w:eastAsia="Times New Roman" w:hAnsi="Times New Roman"/>
          <w:sz w:val="16"/>
          <w:szCs w:val="16"/>
          <w:color w:val="auto"/>
        </w:rPr>
        <w:t>This Quarterly Report on Form 10-Q (this “Form 10-Q”)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but not limited to,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tariffs, inflationary and interest rate pressures, consumer spending patterns, global supply chain constraints, and global economic and geopolitical developments, on our business. Forward-looking and other statements in this Form 10-Q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84"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16"/>
          <w:szCs w:val="16"/>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Form 10-Q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w:t>
      </w:r>
    </w:p>
    <w:p>
      <w:pPr>
        <w:spacing w:after="0" w:line="284"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6"/>
          <w:szCs w:val="16"/>
          <w:color w:val="auto"/>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Form 10-Q as well as the following: (i) increased competition (including from multi-channel retailers, mass and grocery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prevailing interest rates, and the impact of tariffs; (vii) failure to effectively manage our costs; (viii) our reliance on our information technology systems; (ix) our ability to prevent or effectively respond to a data privacy or security breach;</w:t>
      </w:r>
    </w:p>
    <w:p>
      <w:pPr>
        <w:spacing w:after="0" w:line="4" w:lineRule="exact"/>
        <w:rPr>
          <w:sz w:val="20"/>
          <w:szCs w:val="20"/>
          <w:color w:val="auto"/>
        </w:rPr>
      </w:pPr>
    </w:p>
    <w:p>
      <w:pPr>
        <w:ind w:right="100" w:firstLine="8"/>
        <w:spacing w:after="0" w:line="267" w:lineRule="auto"/>
        <w:tabs>
          <w:tab w:leader="none" w:pos="22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conflicts in Ukraine and the Middle East),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(xx) impairments of the carrying value of our goodwill and other intangible assets; (xxi) our ability to successfully implement our operational adjustments, achieve the expected benefits of our cost action plans, and drive improved profitability; and (xxii) the other risks, uncertainties and other factors referred to under “Risk Factors” and identified elsewhere in this Form 10-Q and our other filings with the SEC. The occurrence of any such factors could significantly alter the results set forth in these statements.</w:t>
      </w:r>
    </w:p>
    <w:p>
      <w:pPr>
        <w:spacing w:after="0" w:line="83" w:lineRule="exact"/>
        <w:rPr>
          <w:sz w:val="20"/>
          <w:szCs w:val="20"/>
          <w:color w:val="auto"/>
        </w:rPr>
      </w:pPr>
    </w:p>
    <w:p>
      <w:pPr>
        <w:ind w:right="240" w:firstLine="749"/>
        <w:spacing w:after="0" w:line="281" w:lineRule="auto"/>
        <w:rPr>
          <w:sz w:val="20"/>
          <w:szCs w:val="20"/>
          <w:color w:val="auto"/>
        </w:rPr>
      </w:pPr>
      <w:r>
        <w:rPr>
          <w:rFonts w:ascii="Times New Roman" w:cs="Times New Roman" w:eastAsia="Times New Roman" w:hAnsi="Times New Roman"/>
          <w:sz w:val="16"/>
          <w:szCs w:val="16"/>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69" w:lineRule="exact"/>
        <w:rPr>
          <w:sz w:val="20"/>
          <w:szCs w:val="20"/>
          <w:color w:val="auto"/>
        </w:rPr>
      </w:pPr>
    </w:p>
    <w:p>
      <w:pPr>
        <w:ind w:right="300" w:firstLine="749"/>
        <w:spacing w:after="0" w:line="275" w:lineRule="auto"/>
        <w:rPr>
          <w:sz w:val="20"/>
          <w:szCs w:val="20"/>
          <w:color w:val="auto"/>
        </w:rPr>
      </w:pPr>
      <w:r>
        <w:rPr>
          <w:rFonts w:ascii="Times New Roman" w:cs="Times New Roman" w:eastAsia="Times New Roman" w:hAnsi="Times New Roman"/>
          <w:sz w:val="16"/>
          <w:szCs w:val="16"/>
          <w:color w:val="auto"/>
        </w:rPr>
        <w:t>In addition, statements such as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9"/>
              </w:rPr>
              <w:t>May 3,</w:t>
            </w:r>
          </w:p>
        </w:tc>
        <w:tc>
          <w:tcPr>
            <w:tcW w:w="260" w:type="dxa"/>
            <w:vAlign w:val="bottom"/>
          </w:tcPr>
          <w:p>
            <w:pPr>
              <w:spacing w:after="0"/>
              <w:rPr>
                <w:sz w:val="12"/>
                <w:szCs w:val="12"/>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February 1,</w:t>
            </w:r>
          </w:p>
        </w:tc>
        <w:tc>
          <w:tcPr>
            <w:tcW w:w="0" w:type="dxa"/>
            <w:vAlign w:val="bottom"/>
          </w:tcPr>
          <w:p>
            <w:pPr>
              <w:spacing w:after="0"/>
              <w:rPr>
                <w:sz w:val="1"/>
                <w:szCs w:val="1"/>
                <w:color w:val="auto"/>
              </w:rPr>
            </w:pPr>
          </w:p>
        </w:tc>
      </w:tr>
      <w:tr>
        <w:trPr>
          <w:trHeight w:val="155"/>
        </w:trPr>
        <w:tc>
          <w:tcPr>
            <w:tcW w:w="76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18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133,343</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165,756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Receivables, less allowance for credit losses ($859 and $1,594, respectively)</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36,079</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Merchandise inventories, net</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645,472</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653,329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66,973</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38,563</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60,594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920,430</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973,619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Fixed assets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2,284,663</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2,265,915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accumulated depreciation</w:t>
            </w:r>
          </w:p>
        </w:tc>
        <w:tc>
          <w:tcPr>
            <w:tcW w:w="260" w:type="dxa"/>
            <w:vAlign w:val="bottom"/>
          </w:tcPr>
          <w:p>
            <w:pPr>
              <w:spacing w:after="0"/>
              <w:rPr>
                <w:sz w:val="12"/>
                <w:szCs w:val="12"/>
                <w:color w:val="auto"/>
              </w:rPr>
            </w:pPr>
          </w:p>
        </w:tc>
        <w:tc>
          <w:tcPr>
            <w:tcW w:w="16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(1,580,210)</w:t>
            </w:r>
          </w:p>
        </w:tc>
        <w:tc>
          <w:tcPr>
            <w:tcW w:w="26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(1,540,477)</w:t>
            </w:r>
          </w:p>
        </w:tc>
        <w:tc>
          <w:tcPr>
            <w:tcW w:w="0" w:type="dxa"/>
            <w:vAlign w:val="bottom"/>
          </w:tcPr>
          <w:p>
            <w:pPr>
              <w:spacing w:after="0"/>
              <w:rPr>
                <w:sz w:val="1"/>
                <w:szCs w:val="1"/>
                <w:color w:val="auto"/>
              </w:rPr>
            </w:pPr>
          </w:p>
        </w:tc>
      </w:tr>
      <w:tr>
        <w:trPr>
          <w:trHeight w:val="142"/>
        </w:trPr>
        <w:tc>
          <w:tcPr>
            <w:tcW w:w="768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Fixed assets, net</w:t>
            </w:r>
          </w:p>
        </w:tc>
        <w:tc>
          <w:tcPr>
            <w:tcW w:w="26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704,453</w:t>
            </w:r>
          </w:p>
        </w:tc>
        <w:tc>
          <w:tcPr>
            <w:tcW w:w="28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725,438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1,300,032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1,302,346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980,064</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 name</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1,025,000</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191,157</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187,963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5,121,136</w:t>
            </w:r>
          </w:p>
        </w:tc>
        <w:tc>
          <w:tcPr>
            <w:tcW w:w="28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5,194,430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 and book overdrafts</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473,906</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salaries and employee benefits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108,909</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190,239</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177,079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305,051</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 and other lease liabilities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5,372</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5,346</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1,083,477</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1,139,163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Senior secured credit facilities, net, excluding current portion</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1,579,338</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1,578,091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excluding current portion</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1,034,719</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1,037,206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taxes, net</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207,709</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217,712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108,563</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4,013,806</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4,080,800</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(Notes 4 and 8)</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6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A common stock, $0.001 par value: Authorized - 1.0 billion shares;</w:t>
            </w:r>
          </w:p>
        </w:tc>
        <w:tc>
          <w:tcPr>
            <w:tcW w:w="26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Issued and outstanding - 240.8 million and 239.1 million shares, respectively</w:t>
            </w:r>
          </w:p>
        </w:tc>
        <w:tc>
          <w:tcPr>
            <w:tcW w:w="2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68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B-1 common stock, $0.001 par value: Authorized - 75.0 million shares;</w:t>
            </w:r>
          </w:p>
        </w:tc>
        <w:tc>
          <w:tcPr>
            <w:tcW w:w="260" w:type="dxa"/>
            <w:vAlign w:val="bottom"/>
            <w:shd w:val="clear" w:color="auto" w:fill="CFF0FC"/>
          </w:tcPr>
          <w:p>
            <w:pPr>
              <w:spacing w:after="0"/>
              <w:rPr>
                <w:sz w:val="10"/>
                <w:szCs w:val="10"/>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6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6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B-2 common stock, $0.000001 par value: Authorized - 75.0 million shares;</w:t>
            </w:r>
          </w:p>
        </w:tc>
        <w:tc>
          <w:tcPr>
            <w:tcW w:w="260" w:type="dxa"/>
            <w:vAlign w:val="bottom"/>
          </w:tcPr>
          <w:p>
            <w:pPr>
              <w:spacing w:after="0"/>
              <w:rPr>
                <w:sz w:val="10"/>
                <w:szCs w:val="10"/>
                <w:color w:val="auto"/>
              </w:rPr>
            </w:pPr>
          </w:p>
        </w:tc>
        <w:tc>
          <w:tcPr>
            <w:tcW w:w="1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68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Preferred stock, $0.001 par value: Authorized - 25.0 million shares;</w:t>
            </w:r>
          </w:p>
        </w:tc>
        <w:tc>
          <w:tcPr>
            <w:tcW w:w="260" w:type="dxa"/>
            <w:vAlign w:val="bottom"/>
            <w:shd w:val="clear" w:color="auto" w:fill="CFF0FC"/>
          </w:tcPr>
          <w:p>
            <w:pPr>
              <w:spacing w:after="0"/>
              <w:rPr>
                <w:sz w:val="10"/>
                <w:szCs w:val="10"/>
                <w:color w:val="auto"/>
              </w:rPr>
            </w:pPr>
          </w:p>
        </w:tc>
        <w:tc>
          <w:tcPr>
            <w:tcW w:w="160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0"/>
                <w:szCs w:val="10"/>
                <w:color w:val="auto"/>
              </w:rPr>
            </w:pPr>
          </w:p>
        </w:tc>
        <w:tc>
          <w:tcPr>
            <w:tcW w:w="14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Issued and outstanding - none</w:t>
            </w:r>
          </w:p>
        </w:tc>
        <w:tc>
          <w:tcPr>
            <w:tcW w:w="260" w:type="dxa"/>
            <w:vAlign w:val="bottom"/>
            <w:shd w:val="clear" w:color="auto" w:fill="CFF0FC"/>
          </w:tcPr>
          <w:p>
            <w:pPr>
              <w:spacing w:after="0"/>
              <w:rPr>
                <w:sz w:val="14"/>
                <w:szCs w:val="14"/>
                <w:color w:val="auto"/>
              </w:rPr>
            </w:pPr>
          </w:p>
        </w:tc>
        <w:tc>
          <w:tcPr>
            <w:tcW w:w="1600" w:type="dxa"/>
            <w:vAlign w:val="bottom"/>
            <w:gridSpan w:val="2"/>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Additional paid-in-capital</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2,288,248</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2,280,495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(1,160,720)</w:t>
            </w:r>
          </w:p>
        </w:tc>
        <w:tc>
          <w:tcPr>
            <w:tcW w:w="2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(1,149,059)</w:t>
            </w:r>
          </w:p>
        </w:tc>
        <w:tc>
          <w:tcPr>
            <w:tcW w:w="0" w:type="dxa"/>
            <w:vAlign w:val="bottom"/>
          </w:tcPr>
          <w:p>
            <w:pPr>
              <w:spacing w:after="0"/>
              <w:rPr>
                <w:sz w:val="1"/>
                <w:szCs w:val="1"/>
                <w:color w:val="auto"/>
              </w:rPr>
            </w:pPr>
          </w:p>
        </w:tc>
      </w:tr>
      <w:tr>
        <w:trPr>
          <w:trHeight w:val="148"/>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Pr>
          <w:p>
            <w:pPr>
              <w:spacing w:after="0"/>
              <w:rPr>
                <w:sz w:val="12"/>
                <w:szCs w:val="12"/>
                <w:color w:val="auto"/>
              </w:rPr>
            </w:pPr>
          </w:p>
        </w:tc>
        <w:tc>
          <w:tcPr>
            <w:tcW w:w="16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(20,477)</w:t>
            </w:r>
          </w:p>
        </w:tc>
        <w:tc>
          <w:tcPr>
            <w:tcW w:w="26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(18,083)</w:t>
            </w:r>
          </w:p>
        </w:tc>
        <w:tc>
          <w:tcPr>
            <w:tcW w:w="0" w:type="dxa"/>
            <w:vAlign w:val="bottom"/>
          </w:tcPr>
          <w:p>
            <w:pPr>
              <w:spacing w:after="0"/>
              <w:rPr>
                <w:sz w:val="1"/>
                <w:szCs w:val="1"/>
                <w:color w:val="auto"/>
              </w:rPr>
            </w:pPr>
          </w:p>
        </w:tc>
      </w:tr>
      <w:tr>
        <w:trPr>
          <w:trHeight w:val="142"/>
        </w:trPr>
        <w:tc>
          <w:tcPr>
            <w:tcW w:w="768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1,107,330</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1,113,630</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5,121,136</w:t>
            </w:r>
          </w:p>
        </w:tc>
        <w:tc>
          <w:tcPr>
            <w:tcW w:w="28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5,194,430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-3625215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-3625215</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-2845435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-2845435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-2056765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-2056765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-1464945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-1464945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-128270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17"/>
        </w:trPr>
        <w:tc>
          <w:tcPr>
            <w:tcW w:w="55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jc w:val="right"/>
              <w:ind w:right="472"/>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300" w:type="dxa"/>
            <w:vAlign w:val="bottom"/>
          </w:tcPr>
          <w:p>
            <w:pPr>
              <w:spacing w:after="0"/>
              <w:rPr>
                <w:sz w:val="10"/>
                <w:szCs w:val="10"/>
                <w:color w:val="auto"/>
              </w:rPr>
            </w:pPr>
          </w:p>
        </w:tc>
      </w:tr>
      <w:tr>
        <w:trPr>
          <w:trHeight w:val="173"/>
        </w:trPr>
        <w:tc>
          <w:tcPr>
            <w:tcW w:w="55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5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Products</w:t>
            </w:r>
          </w:p>
        </w:tc>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1,241,891</w:t>
            </w:r>
          </w:p>
        </w:tc>
        <w:tc>
          <w:tcPr>
            <w:tcW w:w="10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1,279,731</w:t>
            </w:r>
          </w:p>
        </w:tc>
        <w:tc>
          <w:tcPr>
            <w:tcW w:w="300" w:type="dxa"/>
            <w:vAlign w:val="bottom"/>
          </w:tcPr>
          <w:p>
            <w:pPr>
              <w:spacing w:after="0"/>
              <w:rPr>
                <w:sz w:val="18"/>
                <w:szCs w:val="18"/>
                <w:color w:val="auto"/>
              </w:rPr>
            </w:pPr>
          </w:p>
        </w:tc>
      </w:tr>
      <w:tr>
        <w:trPr>
          <w:trHeight w:val="216"/>
        </w:trPr>
        <w:tc>
          <w:tcPr>
            <w:tcW w:w="55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Services and other</w:t>
            </w:r>
          </w:p>
        </w:tc>
        <w:tc>
          <w:tcPr>
            <w:tcW w:w="20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251,508</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249,409</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0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1,493,399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1,529,140</w:t>
            </w:r>
          </w:p>
        </w:tc>
        <w:tc>
          <w:tcPr>
            <w:tcW w:w="300" w:type="dxa"/>
            <w:vAlign w:val="bottom"/>
          </w:tcPr>
          <w:p>
            <w:pPr>
              <w:spacing w:after="0"/>
              <w:rPr>
                <w:sz w:val="18"/>
                <w:szCs w:val="18"/>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5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792,722</w:t>
            </w:r>
          </w:p>
        </w:tc>
        <w:tc>
          <w:tcPr>
            <w:tcW w:w="300" w:type="dxa"/>
            <w:vAlign w:val="bottom"/>
          </w:tcPr>
          <w:p>
            <w:pPr>
              <w:spacing w:after="0"/>
              <w:rPr>
                <w:sz w:val="18"/>
                <w:szCs w:val="18"/>
                <w:color w:val="auto"/>
              </w:rPr>
            </w:pPr>
          </w:p>
        </w:tc>
      </w:tr>
      <w:tr>
        <w:trPr>
          <w:trHeight w:val="216"/>
        </w:trPr>
        <w:tc>
          <w:tcPr>
            <w:tcW w:w="55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Services and other</w:t>
            </w:r>
          </w:p>
        </w:tc>
        <w:tc>
          <w:tcPr>
            <w:tcW w:w="20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157,146</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157,758</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0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of sales</w:t>
            </w:r>
          </w:p>
        </w:tc>
        <w:tc>
          <w:tcPr>
            <w:tcW w:w="2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923,431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950,480</w:t>
            </w:r>
          </w:p>
        </w:tc>
        <w:tc>
          <w:tcPr>
            <w:tcW w:w="300" w:type="dxa"/>
            <w:vAlign w:val="bottom"/>
          </w:tcPr>
          <w:p>
            <w:pPr>
              <w:spacing w:after="0"/>
              <w:rPr>
                <w:sz w:val="18"/>
                <w:szCs w:val="18"/>
                <w:color w:val="auto"/>
              </w:rPr>
            </w:pPr>
          </w:p>
        </w:tc>
      </w:tr>
      <w:tr>
        <w:trPr>
          <w:trHeight w:val="210"/>
        </w:trPr>
        <w:tc>
          <w:tcPr>
            <w:tcW w:w="5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Gross profit</w:t>
            </w:r>
          </w:p>
        </w:tc>
        <w:tc>
          <w:tcPr>
            <w:tcW w:w="2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569,968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578,660</w:t>
            </w:r>
          </w:p>
        </w:tc>
        <w:tc>
          <w:tcPr>
            <w:tcW w:w="300" w:type="dxa"/>
            <w:vAlign w:val="bottom"/>
            <w:shd w:val="clear" w:color="auto" w:fill="CFF0FC"/>
          </w:tcPr>
          <w:p>
            <w:pPr>
              <w:spacing w:after="0"/>
              <w:rPr>
                <w:sz w:val="18"/>
                <w:szCs w:val="18"/>
                <w:color w:val="auto"/>
              </w:rPr>
            </w:pPr>
          </w:p>
        </w:tc>
      </w:tr>
      <w:tr>
        <w:trPr>
          <w:trHeight w:val="216"/>
        </w:trPr>
        <w:tc>
          <w:tcPr>
            <w:tcW w:w="5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553,609</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595,442</w:t>
            </w:r>
          </w:p>
        </w:tc>
        <w:tc>
          <w:tcPr>
            <w:tcW w:w="300" w:type="dxa"/>
            <w:vAlign w:val="bottom"/>
            <w:tcBorders>
              <w:bottom w:val="single" w:sz="8" w:color="CFF0FC"/>
            </w:tcBorders>
          </w:tcPr>
          <w:p>
            <w:pPr>
              <w:spacing w:after="0"/>
              <w:rPr>
                <w:sz w:val="18"/>
                <w:szCs w:val="18"/>
                <w:color w:val="auto"/>
              </w:rPr>
            </w:pPr>
          </w:p>
        </w:tc>
      </w:tr>
      <w:tr>
        <w:trPr>
          <w:trHeight w:val="209"/>
        </w:trPr>
        <w:tc>
          <w:tcPr>
            <w:tcW w:w="5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income (loss)</w:t>
            </w:r>
          </w:p>
        </w:tc>
        <w:tc>
          <w:tcPr>
            <w:tcW w:w="2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30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(1,359)</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36,817</w:t>
            </w:r>
          </w:p>
        </w:tc>
        <w:tc>
          <w:tcPr>
            <w:tcW w:w="30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loss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300" w:type="dxa"/>
            <w:vAlign w:val="bottom"/>
          </w:tcPr>
          <w:p>
            <w:pPr>
              <w:spacing w:after="0"/>
              <w:rPr>
                <w:sz w:val="18"/>
                <w:szCs w:val="18"/>
                <w:color w:val="auto"/>
              </w:rPr>
            </w:pPr>
          </w:p>
        </w:tc>
      </w:tr>
      <w:tr>
        <w:trPr>
          <w:trHeight w:val="191"/>
        </w:trPr>
        <w:tc>
          <w:tcPr>
            <w:tcW w:w="5520" w:type="dxa"/>
            <w:vAlign w:val="bottom"/>
            <w:shd w:val="clear" w:color="auto" w:fill="CFF0FC"/>
          </w:tcPr>
          <w:p>
            <w:pPr>
              <w:ind w:left="280"/>
              <w:spacing w:after="0" w:line="191" w:lineRule="exact"/>
              <w:rPr>
                <w:sz w:val="20"/>
                <w:szCs w:val="20"/>
                <w:color w:val="auto"/>
              </w:rPr>
            </w:pPr>
            <w:r>
              <w:rPr>
                <w:rFonts w:ascii="Times New Roman" w:cs="Times New Roman" w:eastAsia="Times New Roman" w:hAnsi="Times New Roman"/>
                <w:sz w:val="18"/>
                <w:szCs w:val="18"/>
                <w:color w:val="auto"/>
              </w:rPr>
              <w:t>Loss before income taxes and income</w:t>
            </w:r>
          </w:p>
        </w:tc>
        <w:tc>
          <w:tcPr>
            <w:tcW w:w="2060" w:type="dxa"/>
            <w:vAlign w:val="bottom"/>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r>
      <w:tr>
        <w:trPr>
          <w:trHeight w:val="234"/>
        </w:trPr>
        <w:tc>
          <w:tcPr>
            <w:tcW w:w="5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20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(15,776)</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(55,846)</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(4,477)</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2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(4,610)</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(4,886)</w:t>
            </w:r>
          </w:p>
        </w:tc>
      </w:tr>
      <w:tr>
        <w:trPr>
          <w:trHeight w:val="191"/>
        </w:trPr>
        <w:tc>
          <w:tcPr>
            <w:tcW w:w="5520" w:type="dxa"/>
            <w:vAlign w:val="bottom"/>
            <w:tcBorders>
              <w:top w:val="single" w:sz="8" w:color="CFF0FC"/>
            </w:tcBorders>
          </w:tcPr>
          <w:p>
            <w:pPr>
              <w:ind w:left="280"/>
              <w:spacing w:after="0" w:line="191" w:lineRule="exact"/>
              <w:rPr>
                <w:sz w:val="20"/>
                <w:szCs w:val="20"/>
                <w:color w:val="auto"/>
              </w:rPr>
            </w:pPr>
            <w:r>
              <w:rPr>
                <w:rFonts w:ascii="Times New Roman" w:cs="Times New Roman" w:eastAsia="Times New Roman" w:hAnsi="Times New Roman"/>
                <w:sz w:val="18"/>
                <w:szCs w:val="18"/>
                <w:color w:val="auto"/>
              </w:rPr>
              <w:t>Net loss attributable to Class A and B-1</w:t>
            </w:r>
          </w:p>
        </w:tc>
        <w:tc>
          <w:tcPr>
            <w:tcW w:w="206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r>
      <w:tr>
        <w:trPr>
          <w:trHeight w:val="234"/>
        </w:trPr>
        <w:tc>
          <w:tcPr>
            <w:tcW w:w="5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stockholders</w:t>
            </w:r>
          </w:p>
        </w:tc>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(11,661)</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(46,483)</w:t>
            </w:r>
          </w:p>
        </w:tc>
      </w:tr>
      <w:tr>
        <w:trPr>
          <w:trHeight w:val="216"/>
        </w:trPr>
        <w:tc>
          <w:tcPr>
            <w:tcW w:w="552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Class A and B-1 common share:</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5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7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552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in computing net</w:t>
            </w:r>
          </w:p>
        </w:tc>
        <w:tc>
          <w:tcPr>
            <w:tcW w:w="2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Class A and B-1 common share:</w:t>
            </w: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16"/>
        </w:trPr>
        <w:tc>
          <w:tcPr>
            <w:tcW w:w="5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277,548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269,768</w:t>
            </w:r>
          </w:p>
        </w:tc>
        <w:tc>
          <w:tcPr>
            <w:tcW w:w="300" w:type="dxa"/>
            <w:vAlign w:val="bottom"/>
            <w:shd w:val="clear" w:color="auto" w:fill="CFF0FC"/>
          </w:tcPr>
          <w:p>
            <w:pPr>
              <w:spacing w:after="0"/>
              <w:rPr>
                <w:sz w:val="18"/>
                <w:szCs w:val="18"/>
                <w:color w:val="auto"/>
              </w:rPr>
            </w:pPr>
          </w:p>
        </w:tc>
      </w:tr>
      <w:tr>
        <w:trPr>
          <w:trHeight w:val="234"/>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269,768</w:t>
            </w:r>
          </w:p>
        </w:tc>
        <w:tc>
          <w:tcPr>
            <w:tcW w:w="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-3628390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-3628390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-3071495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-3071495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-2642870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-2642870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-1528445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-1528445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9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jc w:val="center"/>
              <w:ind w:right="455"/>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attributable to Class A and B-1</w:t>
            </w:r>
          </w:p>
        </w:tc>
        <w:tc>
          <w:tcPr>
            <w:tcW w:w="1920" w:type="dxa"/>
            <w:vAlign w:val="bottom"/>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stockholders</w:t>
            </w:r>
          </w:p>
        </w:tc>
        <w:tc>
          <w:tcPr>
            <w:tcW w:w="290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(11,661)</w:t>
            </w:r>
          </w:p>
        </w:tc>
        <w:tc>
          <w:tcPr>
            <w:tcW w:w="6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(46,483)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9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6,372</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Gains on derivatives reclassified to income</w:t>
            </w:r>
          </w:p>
        </w:tc>
        <w:tc>
          <w:tcPr>
            <w:tcW w:w="19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7,187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Comprehensive loss attributable to Class A and</w:t>
            </w:r>
          </w:p>
        </w:tc>
        <w:tc>
          <w:tcPr>
            <w:tcW w:w="1920" w:type="dxa"/>
            <w:vAlign w:val="bottom"/>
            <w:vMerge w:val="restart"/>
            <w:shd w:val="clear" w:color="auto" w:fill="CFF0FC"/>
          </w:tcPr>
          <w:p>
            <w:pPr>
              <w:spacing w:after="0"/>
              <w:rPr>
                <w:sz w:val="16"/>
                <w:szCs w:val="16"/>
                <w:color w:val="auto"/>
              </w:rPr>
            </w:pPr>
          </w:p>
        </w:tc>
        <w:tc>
          <w:tcPr>
            <w:tcW w:w="980" w:type="dxa"/>
            <w:vAlign w:val="bottom"/>
            <w:vMerge w:val="restart"/>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(14,055)</w:t>
            </w:r>
          </w:p>
        </w:tc>
        <w:tc>
          <w:tcPr>
            <w:tcW w:w="660" w:type="dxa"/>
            <w:vAlign w:val="bottom"/>
            <w:gridSpan w:val="2"/>
            <w:vMerge w:val="restart"/>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(39,296)</w:t>
            </w:r>
          </w:p>
        </w:tc>
        <w:tc>
          <w:tcPr>
            <w:tcW w:w="0" w:type="dxa"/>
            <w:vAlign w:val="bottom"/>
          </w:tcPr>
          <w:p>
            <w:pPr>
              <w:spacing w:after="0"/>
              <w:rPr>
                <w:sz w:val="1"/>
                <w:szCs w:val="1"/>
                <w:color w:val="auto"/>
              </w:rPr>
            </w:pPr>
          </w:p>
        </w:tc>
      </w:tr>
      <w:tr>
        <w:trPr>
          <w:trHeight w:val="214"/>
        </w:trPr>
        <w:tc>
          <w:tcPr>
            <w:tcW w:w="566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B-1 common stockholders</w:t>
            </w:r>
          </w:p>
        </w:tc>
        <w:tc>
          <w:tcPr>
            <w:tcW w:w="1920" w:type="dxa"/>
            <w:vAlign w:val="bottom"/>
            <w:vMerge w:val="continue"/>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740" w:type="dxa"/>
            <w:vAlign w:val="bottom"/>
            <w:gridSpan w:val="2"/>
            <w:vMerge w:val="continue"/>
            <w:shd w:val="clear" w:color="auto" w:fill="CFF0FC"/>
          </w:tcPr>
          <w:p>
            <w:pPr>
              <w:spacing w:after="0"/>
              <w:rPr>
                <w:sz w:val="18"/>
                <w:szCs w:val="18"/>
                <w:color w:val="auto"/>
              </w:rPr>
            </w:pPr>
          </w:p>
        </w:tc>
        <w:tc>
          <w:tcPr>
            <w:tcW w:w="660" w:type="dxa"/>
            <w:vAlign w:val="bottom"/>
            <w:gridSpan w:val="2"/>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-427990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-427990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2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86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84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8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140" w:type="dxa"/>
            <w:vAlign w:val="bottom"/>
          </w:tcPr>
          <w:p>
            <w:pPr>
              <w:spacing w:after="0"/>
              <w:rPr>
                <w:sz w:val="10"/>
                <w:szCs w:val="10"/>
                <w:color w:val="auto"/>
              </w:rPr>
            </w:pPr>
          </w:p>
        </w:tc>
        <w:tc>
          <w:tcPr>
            <w:tcW w:w="9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86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84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8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B-2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6"/>
          </w:tcPr>
          <w:p>
            <w:pPr>
              <w:ind w:left="140"/>
              <w:spacing w:after="0" w:line="122"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120" w:type="dxa"/>
            <w:vAlign w:val="bottom"/>
          </w:tcPr>
          <w:p>
            <w:pPr>
              <w:spacing w:after="0"/>
              <w:rPr>
                <w:sz w:val="10"/>
                <w:szCs w:val="10"/>
                <w:color w:val="auto"/>
              </w:rPr>
            </w:pPr>
          </w:p>
        </w:tc>
        <w:tc>
          <w:tcPr>
            <w:tcW w:w="980" w:type="dxa"/>
            <w:vAlign w:val="bottom"/>
            <w:gridSpan w:val="3"/>
          </w:tcPr>
          <w:p>
            <w:pPr>
              <w:jc w:val="right"/>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60" w:type="dxa"/>
            <w:vAlign w:val="bottom"/>
          </w:tcPr>
          <w:p>
            <w:pPr>
              <w:spacing w:after="0"/>
              <w:rPr>
                <w:sz w:val="10"/>
                <w:szCs w:val="10"/>
                <w:color w:val="auto"/>
              </w:rPr>
            </w:pPr>
          </w:p>
        </w:tc>
        <w:tc>
          <w:tcPr>
            <w:tcW w:w="104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6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40" w:type="dxa"/>
            <w:vAlign w:val="bottom"/>
          </w:tcPr>
          <w:p>
            <w:pPr>
              <w:spacing w:after="0"/>
              <w:rPr>
                <w:sz w:val="11"/>
                <w:szCs w:val="11"/>
                <w:color w:val="auto"/>
              </w:rPr>
            </w:pPr>
          </w:p>
        </w:tc>
        <w:tc>
          <w:tcPr>
            <w:tcW w:w="6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2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February 1, 2025</w:t>
            </w:r>
          </w:p>
        </w:tc>
        <w:tc>
          <w:tcPr>
            <w:tcW w:w="62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239,066</w:t>
            </w: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40" w:type="dxa"/>
            <w:vAlign w:val="bottom"/>
            <w:tcBorders>
              <w:right w:val="single" w:sz="8" w:color="CFF0FC"/>
            </w:tcBorders>
            <w:shd w:val="clear" w:color="auto" w:fill="CFF0FC"/>
          </w:tcPr>
          <w:p>
            <w:pPr>
              <w:spacing w:after="0"/>
              <w:rPr>
                <w:sz w:val="10"/>
                <w:szCs w:val="10"/>
                <w:color w:val="auto"/>
              </w:rPr>
            </w:pPr>
          </w:p>
        </w:tc>
        <w:tc>
          <w:tcPr>
            <w:tcW w:w="640" w:type="dxa"/>
            <w:vAlign w:val="bottom"/>
            <w:tcBorders>
              <w:right w:val="single" w:sz="8" w:color="CFF0FC"/>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277</w:t>
            </w:r>
          </w:p>
        </w:tc>
        <w:tc>
          <w:tcPr>
            <w:tcW w:w="80" w:type="dxa"/>
            <w:vAlign w:val="bottom"/>
            <w:shd w:val="clear" w:color="auto" w:fill="CFF0FC"/>
          </w:tcPr>
          <w:p>
            <w:pPr>
              <w:spacing w:after="0"/>
              <w:rPr>
                <w:sz w:val="10"/>
                <w:szCs w:val="10"/>
                <w:color w:val="auto"/>
              </w:rPr>
            </w:pPr>
          </w:p>
        </w:tc>
        <w:tc>
          <w:tcPr>
            <w:tcW w:w="220" w:type="dxa"/>
            <w:vAlign w:val="bottom"/>
            <w:gridSpan w:val="2"/>
            <w:shd w:val="clear" w:color="auto" w:fill="CFF0FC"/>
          </w:tcPr>
          <w:p>
            <w:pPr>
              <w:ind w:lef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2,280,495</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(1,149,059)</w:t>
            </w: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FF0FC"/>
          </w:tcPr>
          <w:p>
            <w:pPr>
              <w:spacing w:after="0"/>
              <w:rPr>
                <w:sz w:val="10"/>
                <w:szCs w:val="10"/>
                <w:color w:val="auto"/>
              </w:rPr>
            </w:pPr>
          </w:p>
        </w:tc>
        <w:tc>
          <w:tcPr>
            <w:tcW w:w="82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(18,083)</w:t>
            </w:r>
          </w:p>
        </w:tc>
        <w:tc>
          <w:tcPr>
            <w:tcW w:w="160" w:type="dxa"/>
            <w:vAlign w:val="bottom"/>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1,113,630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(Note 7)</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9,445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860" w:type="dxa"/>
            <w:vAlign w:val="bottom"/>
            <w:tcBorders>
              <w:right w:val="single" w:sz="8" w:color="CFF0FC"/>
            </w:tcBorders>
            <w:gridSpan w:val="2"/>
            <w:shd w:val="clear" w:color="auto" w:fill="CFF0FC"/>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right w:val="single" w:sz="8" w:color="CFF0FC"/>
            </w:tcBorders>
            <w:gridSpan w:val="2"/>
            <w:shd w:val="clear" w:color="auto" w:fill="CFF0FC"/>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gridSpan w:val="3"/>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84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(11,661)</w:t>
            </w: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0"/>
                <w:szCs w:val="10"/>
                <w:color w:val="auto"/>
              </w:rPr>
            </w:pPr>
          </w:p>
        </w:tc>
        <w:tc>
          <w:tcPr>
            <w:tcW w:w="9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(11,661)</w:t>
            </w:r>
          </w:p>
        </w:tc>
        <w:tc>
          <w:tcPr>
            <w:tcW w:w="0" w:type="dxa"/>
            <w:vAlign w:val="bottom"/>
          </w:tcPr>
          <w:p>
            <w:pPr>
              <w:spacing w:after="0"/>
              <w:rPr>
                <w:sz w:val="1"/>
                <w:szCs w:val="1"/>
                <w:color w:val="auto"/>
              </w:rPr>
            </w:pPr>
          </w:p>
        </w:tc>
      </w:tr>
      <w:tr>
        <w:trPr>
          <w:trHeight w:val="108"/>
        </w:trPr>
        <w:tc>
          <w:tcPr>
            <w:tcW w:w="32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adjustment, net of tax</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Unrealized loss on derivatives (Note 5),</w:t>
            </w:r>
          </w:p>
        </w:tc>
        <w:tc>
          <w:tcPr>
            <w:tcW w:w="62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2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8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net of tax</w:t>
            </w:r>
          </w:p>
        </w:tc>
        <w:tc>
          <w:tcPr>
            <w:tcW w:w="8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(2,267)</w:t>
            </w:r>
          </w:p>
        </w:tc>
        <w:tc>
          <w:tcPr>
            <w:tcW w:w="16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(2,267)</w:t>
            </w:r>
          </w:p>
        </w:tc>
        <w:tc>
          <w:tcPr>
            <w:tcW w:w="0" w:type="dxa"/>
            <w:vAlign w:val="bottom"/>
          </w:tcPr>
          <w:p>
            <w:pPr>
              <w:spacing w:after="0"/>
              <w:rPr>
                <w:sz w:val="1"/>
                <w:szCs w:val="1"/>
                <w:color w:val="auto"/>
              </w:rPr>
            </w:pPr>
          </w:p>
        </w:tc>
      </w:tr>
      <w:tr>
        <w:trPr>
          <w:trHeight w:val="108"/>
        </w:trPr>
        <w:tc>
          <w:tcPr>
            <w:tcW w:w="32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income (Note 5), net of tax</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(159)</w:t>
            </w:r>
          </w:p>
        </w:tc>
        <w:tc>
          <w:tcPr>
            <w:tcW w:w="0" w:type="dxa"/>
            <w:vAlign w:val="bottom"/>
          </w:tcPr>
          <w:p>
            <w:pPr>
              <w:spacing w:after="0"/>
              <w:rPr>
                <w:sz w:val="1"/>
                <w:szCs w:val="1"/>
                <w:color w:val="auto"/>
              </w:rPr>
            </w:pPr>
          </w:p>
        </w:tc>
      </w:tr>
      <w:tr>
        <w:trPr>
          <w:trHeight w:val="108"/>
        </w:trPr>
        <w:tc>
          <w:tcPr>
            <w:tcW w:w="32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1,765</w:t>
            </w: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vMerge w:val="restart"/>
            <w:shd w:val="clear" w:color="auto" w:fill="CFF0FC"/>
          </w:tcPr>
          <w:p>
            <w:pPr>
              <w:spacing w:after="0"/>
              <w:rPr>
                <w:sz w:val="9"/>
                <w:szCs w:val="9"/>
                <w:color w:val="auto"/>
              </w:rPr>
            </w:pPr>
          </w:p>
        </w:tc>
        <w:tc>
          <w:tcPr>
            <w:tcW w:w="64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(1,692)</w:t>
            </w:r>
          </w:p>
        </w:tc>
        <w:tc>
          <w:tcPr>
            <w:tcW w:w="14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98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9"/>
                <w:szCs w:val="9"/>
                <w:color w:val="auto"/>
              </w:rPr>
            </w:pPr>
          </w:p>
        </w:tc>
        <w:tc>
          <w:tcPr>
            <w:tcW w:w="9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(1,690)</w:t>
            </w: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620" w:type="dxa"/>
            <w:vAlign w:val="bottom"/>
            <w:tcBorders>
              <w:right w:val="single" w:sz="8" w:color="CFF0FC"/>
            </w:tcBorders>
            <w:vMerge w:val="continue"/>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tcBorders>
              <w:right w:val="single" w:sz="8" w:color="CFF0FC"/>
            </w:tcBorders>
            <w:vMerge w:val="continue"/>
            <w:shd w:val="clear" w:color="auto" w:fill="CFF0FC"/>
          </w:tcPr>
          <w:p>
            <w:pPr>
              <w:spacing w:after="0"/>
              <w:rPr>
                <w:sz w:val="10"/>
                <w:szCs w:val="10"/>
                <w:color w:val="auto"/>
              </w:rPr>
            </w:pPr>
          </w:p>
        </w:tc>
        <w:tc>
          <w:tcPr>
            <w:tcW w:w="240" w:type="dxa"/>
            <w:vAlign w:val="bottom"/>
            <w:tcBorders>
              <w:right w:val="single" w:sz="8" w:color="CFF0FC"/>
            </w:tcBorders>
            <w:vMerge w:val="continue"/>
            <w:shd w:val="clear" w:color="auto" w:fill="CFF0FC"/>
          </w:tcPr>
          <w:p>
            <w:pPr>
              <w:spacing w:after="0"/>
              <w:rPr>
                <w:sz w:val="10"/>
                <w:szCs w:val="10"/>
                <w:color w:val="auto"/>
              </w:rPr>
            </w:pPr>
          </w:p>
        </w:tc>
        <w:tc>
          <w:tcPr>
            <w:tcW w:w="640" w:type="dxa"/>
            <w:vAlign w:val="bottom"/>
            <w:tcBorders>
              <w:right w:val="single" w:sz="8" w:color="CFF0FC"/>
            </w:tcBorders>
            <w:vMerge w:val="continue"/>
            <w:shd w:val="clear" w:color="auto" w:fill="CFF0FC"/>
          </w:tcPr>
          <w:p>
            <w:pPr>
              <w:spacing w:after="0"/>
              <w:rPr>
                <w:sz w:val="10"/>
                <w:szCs w:val="10"/>
                <w:color w:val="auto"/>
              </w:rPr>
            </w:pPr>
          </w:p>
        </w:tc>
        <w:tc>
          <w:tcPr>
            <w:tcW w:w="1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980" w:type="dxa"/>
            <w:vAlign w:val="bottom"/>
            <w:gridSpan w:val="3"/>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80" w:type="dxa"/>
            <w:vAlign w:val="bottom"/>
            <w:gridSpan w:val="2"/>
            <w:vMerge w:val="continue"/>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92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2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May 3, 2025</w:t>
            </w: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240,831</w:t>
            </w:r>
          </w:p>
        </w:tc>
        <w:tc>
          <w:tcPr>
            <w:tcW w:w="24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40" w:type="dxa"/>
            <w:vAlign w:val="bottom"/>
          </w:tcPr>
          <w:p>
            <w:pPr>
              <w:spacing w:after="0"/>
              <w:rPr>
                <w:sz w:val="10"/>
                <w:szCs w:val="10"/>
                <w:color w:val="auto"/>
              </w:rPr>
            </w:pPr>
          </w:p>
        </w:tc>
        <w:tc>
          <w:tcPr>
            <w:tcW w:w="64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160" w:type="dxa"/>
            <w:vAlign w:val="bottom"/>
          </w:tcPr>
          <w:p>
            <w:pPr>
              <w:spacing w:after="0"/>
              <w:rPr>
                <w:sz w:val="10"/>
                <w:szCs w:val="10"/>
                <w:color w:val="auto"/>
              </w:rPr>
            </w:pPr>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279</w:t>
            </w:r>
          </w:p>
        </w:tc>
        <w:tc>
          <w:tcPr>
            <w:tcW w:w="80" w:type="dxa"/>
            <w:vAlign w:val="bottom"/>
          </w:tcPr>
          <w:p>
            <w:pPr>
              <w:spacing w:after="0"/>
              <w:rPr>
                <w:sz w:val="10"/>
                <w:szCs w:val="10"/>
                <w:color w:val="auto"/>
              </w:rPr>
            </w:pPr>
          </w:p>
        </w:tc>
        <w:tc>
          <w:tcPr>
            <w:tcW w:w="220" w:type="dxa"/>
            <w:vAlign w:val="bottom"/>
            <w:gridSpan w:val="2"/>
          </w:tcPr>
          <w:p>
            <w:pPr>
              <w:ind w:lef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2,288,248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(1,160,720)</w:t>
            </w:r>
          </w:p>
        </w:tc>
        <w:tc>
          <w:tcPr>
            <w:tcW w:w="14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Pr>
          <w:p>
            <w:pPr>
              <w:spacing w:after="0"/>
              <w:rPr>
                <w:sz w:val="10"/>
                <w:szCs w:val="10"/>
                <w:color w:val="auto"/>
              </w:rPr>
            </w:pPr>
          </w:p>
        </w:tc>
        <w:tc>
          <w:tcPr>
            <w:tcW w:w="8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(20,477)</w:t>
            </w:r>
          </w:p>
        </w:tc>
        <w:tc>
          <w:tcPr>
            <w:tcW w:w="160" w:type="dxa"/>
            <w:vAlign w:val="bottom"/>
          </w:tcPr>
          <w:p>
            <w:pPr>
              <w:spacing w:after="0"/>
              <w:rPr>
                <w:sz w:val="10"/>
                <w:szCs w:val="10"/>
                <w:color w:val="auto"/>
              </w:rPr>
            </w:pP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1,107,330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3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8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8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Class</w:t>
            </w:r>
          </w:p>
        </w:tc>
        <w:tc>
          <w:tcPr>
            <w:tcW w:w="8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140" w:type="dxa"/>
            <w:vAlign w:val="bottom"/>
          </w:tcPr>
          <w:p>
            <w:pPr>
              <w:spacing w:after="0"/>
              <w:rPr>
                <w:sz w:val="10"/>
                <w:szCs w:val="10"/>
                <w:color w:val="auto"/>
              </w:rPr>
            </w:pPr>
          </w:p>
        </w:tc>
        <w:tc>
          <w:tcPr>
            <w:tcW w:w="9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8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8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B-1</w:t>
            </w:r>
          </w:p>
        </w:tc>
        <w:tc>
          <w:tcPr>
            <w:tcW w:w="8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B-2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120" w:type="dxa"/>
            <w:vAlign w:val="bottom"/>
          </w:tcPr>
          <w:p>
            <w:pPr>
              <w:spacing w:after="0"/>
              <w:rPr>
                <w:sz w:val="10"/>
                <w:szCs w:val="10"/>
                <w:color w:val="auto"/>
              </w:rPr>
            </w:pPr>
          </w:p>
        </w:tc>
        <w:tc>
          <w:tcPr>
            <w:tcW w:w="980" w:type="dxa"/>
            <w:vAlign w:val="bottom"/>
            <w:gridSpan w:val="3"/>
          </w:tcPr>
          <w:p>
            <w:pPr>
              <w:jc w:val="right"/>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comprehensive</w:t>
            </w:r>
          </w:p>
        </w:tc>
        <w:tc>
          <w:tcPr>
            <w:tcW w:w="140" w:type="dxa"/>
            <w:vAlign w:val="bottom"/>
          </w:tcPr>
          <w:p>
            <w:pPr>
              <w:spacing w:after="0"/>
              <w:rPr>
                <w:sz w:val="10"/>
                <w:szCs w:val="10"/>
                <w:color w:val="auto"/>
              </w:rPr>
            </w:pPr>
          </w:p>
        </w:tc>
        <w:tc>
          <w:tcPr>
            <w:tcW w:w="9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4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2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February 3, 2024</w:t>
            </w:r>
          </w:p>
        </w:tc>
        <w:tc>
          <w:tcPr>
            <w:tcW w:w="62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231,156</w:t>
            </w:r>
          </w:p>
        </w:tc>
        <w:tc>
          <w:tcPr>
            <w:tcW w:w="240" w:type="dxa"/>
            <w:vAlign w:val="bottom"/>
            <w:tcBorders>
              <w:right w:val="single" w:sz="8" w:color="CFF0FC"/>
            </w:tcBorders>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40" w:type="dxa"/>
            <w:vAlign w:val="bottom"/>
            <w:tcBorders>
              <w:right w:val="single" w:sz="8" w:color="CFF0FC"/>
            </w:tcBorders>
            <w:shd w:val="clear" w:color="auto" w:fill="CFF0FC"/>
          </w:tcPr>
          <w:p>
            <w:pPr>
              <w:spacing w:after="0"/>
              <w:rPr>
                <w:sz w:val="10"/>
                <w:szCs w:val="10"/>
                <w:color w:val="auto"/>
              </w:rPr>
            </w:pPr>
          </w:p>
        </w:tc>
        <w:tc>
          <w:tcPr>
            <w:tcW w:w="800" w:type="dxa"/>
            <w:vAlign w:val="bottom"/>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269</w:t>
            </w:r>
          </w:p>
        </w:tc>
        <w:tc>
          <w:tcPr>
            <w:tcW w:w="340" w:type="dxa"/>
            <w:vAlign w:val="bottom"/>
            <w:gridSpan w:val="3"/>
            <w:shd w:val="clear" w:color="auto" w:fill="CFF0FC"/>
          </w:tcPr>
          <w:p>
            <w:pPr>
              <w:ind w:lef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3"/>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2,229,582</w:t>
            </w:r>
          </w:p>
        </w:tc>
        <w:tc>
          <w:tcPr>
            <w:tcW w:w="12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3"/>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(1,047,243)</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1,821</w:t>
            </w:r>
          </w:p>
        </w:tc>
        <w:tc>
          <w:tcPr>
            <w:tcW w:w="140" w:type="dxa"/>
            <w:vAlign w:val="bottom"/>
            <w:tcBorders>
              <w:lef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1,184,429</w:t>
            </w:r>
          </w:p>
        </w:tc>
        <w:tc>
          <w:tcPr>
            <w:tcW w:w="0" w:type="dxa"/>
            <w:vAlign w:val="bottom"/>
          </w:tcPr>
          <w:p>
            <w:pPr>
              <w:spacing w:after="0"/>
              <w:rPr>
                <w:sz w:val="1"/>
                <w:szCs w:val="1"/>
                <w:color w:val="auto"/>
              </w:rPr>
            </w:pPr>
          </w:p>
        </w:tc>
      </w:tr>
      <w:tr>
        <w:trPr>
          <w:trHeight w:val="108"/>
        </w:trPr>
        <w:tc>
          <w:tcPr>
            <w:tcW w:w="32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(Note 7)</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17,451</w:t>
            </w:r>
          </w:p>
        </w:tc>
        <w:tc>
          <w:tcPr>
            <w:tcW w:w="120" w:type="dxa"/>
            <w:vAlign w:val="bottom"/>
          </w:tcPr>
          <w:p>
            <w:pPr>
              <w:spacing w:after="0"/>
              <w:rPr>
                <w:sz w:val="11"/>
                <w:szCs w:val="11"/>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17,451</w:t>
            </w: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860" w:type="dxa"/>
            <w:vAlign w:val="bottom"/>
            <w:tcBorders>
              <w:right w:val="single" w:sz="8" w:color="CFF0FC"/>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right w:val="single" w:sz="8" w:color="CFF0FC"/>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gridSpan w:val="3"/>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980" w:type="dxa"/>
            <w:vAlign w:val="bottom"/>
            <w:gridSpan w:val="3"/>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(46,483)</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10"/>
                <w:szCs w:val="10"/>
                <w:color w:val="auto"/>
              </w:rPr>
            </w:pPr>
          </w:p>
        </w:tc>
        <w:tc>
          <w:tcPr>
            <w:tcW w:w="9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(46,483)</w:t>
            </w:r>
          </w:p>
        </w:tc>
        <w:tc>
          <w:tcPr>
            <w:tcW w:w="0" w:type="dxa"/>
            <w:vAlign w:val="bottom"/>
          </w:tcPr>
          <w:p>
            <w:pPr>
              <w:spacing w:after="0"/>
              <w:rPr>
                <w:sz w:val="1"/>
                <w:szCs w:val="1"/>
                <w:color w:val="auto"/>
              </w:rPr>
            </w:pPr>
          </w:p>
        </w:tc>
      </w:tr>
      <w:tr>
        <w:trPr>
          <w:trHeight w:val="108"/>
        </w:trPr>
        <w:tc>
          <w:tcPr>
            <w:tcW w:w="32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adjustment, net of tax</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1,665</w:t>
            </w:r>
          </w:p>
        </w:tc>
        <w:tc>
          <w:tcPr>
            <w:tcW w:w="140" w:type="dxa"/>
            <w:vAlign w:val="bottom"/>
          </w:tcPr>
          <w:p>
            <w:pPr>
              <w:spacing w:after="0"/>
              <w:rPr>
                <w:sz w:val="11"/>
                <w:szCs w:val="1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1,665</w:t>
            </w:r>
          </w:p>
        </w:tc>
        <w:tc>
          <w:tcPr>
            <w:tcW w:w="0" w:type="dxa"/>
            <w:vAlign w:val="bottom"/>
          </w:tcPr>
          <w:p>
            <w:pPr>
              <w:spacing w:after="0"/>
              <w:rPr>
                <w:sz w:val="1"/>
                <w:szCs w:val="1"/>
                <w:color w:val="auto"/>
              </w:rPr>
            </w:pPr>
          </w:p>
        </w:tc>
      </w:tr>
      <w:tr>
        <w:trPr>
          <w:trHeight w:val="108"/>
        </w:trPr>
        <w:tc>
          <w:tcPr>
            <w:tcW w:w="32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Unrealized gain on derivatives (Note 5),</w:t>
            </w:r>
          </w:p>
        </w:tc>
        <w:tc>
          <w:tcPr>
            <w:tcW w:w="62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64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2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0" w:type="dxa"/>
            <w:vAlign w:val="bottom"/>
            <w:tcBorders>
              <w:left w:val="single" w:sz="8" w:color="CFF0FC"/>
            </w:tcBorders>
            <w:shd w:val="clear" w:color="auto" w:fill="CFF0FC"/>
          </w:tcPr>
          <w:p>
            <w:pPr>
              <w:spacing w:after="0"/>
              <w:rPr>
                <w:sz w:val="9"/>
                <w:szCs w:val="9"/>
                <w:color w:val="auto"/>
              </w:rPr>
            </w:pPr>
          </w:p>
        </w:tc>
        <w:tc>
          <w:tcPr>
            <w:tcW w:w="8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net of tax</w:t>
            </w:r>
          </w:p>
        </w:tc>
        <w:tc>
          <w:tcPr>
            <w:tcW w:w="8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9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6,372</w:t>
            </w:r>
          </w:p>
        </w:tc>
        <w:tc>
          <w:tcPr>
            <w:tcW w:w="140" w:type="dxa"/>
            <w:vAlign w:val="bottom"/>
            <w:tcBorders>
              <w:left w:val="single" w:sz="8" w:color="CFF0FC"/>
            </w:tcBorders>
            <w:shd w:val="clear" w:color="auto" w:fill="CFF0FC"/>
          </w:tcPr>
          <w:p>
            <w:pPr>
              <w:spacing w:after="0"/>
              <w:rPr>
                <w:sz w:val="11"/>
                <w:szCs w:val="11"/>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6,372</w:t>
            </w:r>
          </w:p>
        </w:tc>
        <w:tc>
          <w:tcPr>
            <w:tcW w:w="0" w:type="dxa"/>
            <w:vAlign w:val="bottom"/>
          </w:tcPr>
          <w:p>
            <w:pPr>
              <w:spacing w:after="0"/>
              <w:rPr>
                <w:sz w:val="1"/>
                <w:szCs w:val="1"/>
                <w:color w:val="auto"/>
              </w:rPr>
            </w:pPr>
          </w:p>
        </w:tc>
      </w:tr>
      <w:tr>
        <w:trPr>
          <w:trHeight w:val="108"/>
        </w:trPr>
        <w:tc>
          <w:tcPr>
            <w:tcW w:w="32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income (Note 5), net of tax</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(850)</w:t>
            </w:r>
          </w:p>
        </w:tc>
        <w:tc>
          <w:tcPr>
            <w:tcW w:w="14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(850)</w:t>
            </w:r>
          </w:p>
        </w:tc>
        <w:tc>
          <w:tcPr>
            <w:tcW w:w="0" w:type="dxa"/>
            <w:vAlign w:val="bottom"/>
          </w:tcPr>
          <w:p>
            <w:pPr>
              <w:spacing w:after="0"/>
              <w:rPr>
                <w:sz w:val="1"/>
                <w:szCs w:val="1"/>
                <w:color w:val="auto"/>
              </w:rPr>
            </w:pPr>
          </w:p>
        </w:tc>
      </w:tr>
      <w:tr>
        <w:trPr>
          <w:trHeight w:val="108"/>
        </w:trPr>
        <w:tc>
          <w:tcPr>
            <w:tcW w:w="32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1,793</w:t>
            </w:r>
          </w:p>
        </w:tc>
        <w:tc>
          <w:tcPr>
            <w:tcW w:w="240" w:type="dxa"/>
            <w:vAlign w:val="bottom"/>
            <w:tcBorders>
              <w:right w:val="single" w:sz="8" w:color="CFF0FC"/>
            </w:tcBorders>
            <w:shd w:val="clear" w:color="auto" w:fill="CFF0FC"/>
          </w:tcPr>
          <w:p>
            <w:pPr>
              <w:spacing w:after="0"/>
              <w:rPr>
                <w:sz w:val="9"/>
                <w:szCs w:val="9"/>
                <w:color w:val="auto"/>
              </w:rPr>
            </w:pPr>
          </w:p>
        </w:tc>
        <w:tc>
          <w:tcPr>
            <w:tcW w:w="84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(277)</w:t>
            </w:r>
          </w:p>
        </w:tc>
        <w:tc>
          <w:tcPr>
            <w:tcW w:w="120" w:type="dxa"/>
            <w:vAlign w:val="bottom"/>
            <w:tcBorders>
              <w:right w:val="single" w:sz="8" w:color="CFF0FC"/>
            </w:tcBorders>
            <w:shd w:val="clear" w:color="auto" w:fill="CFF0FC"/>
          </w:tcPr>
          <w:p>
            <w:pPr>
              <w:spacing w:after="0"/>
              <w:rPr>
                <w:sz w:val="9"/>
                <w:szCs w:val="9"/>
                <w:color w:val="auto"/>
              </w:rPr>
            </w:pPr>
          </w:p>
        </w:tc>
        <w:tc>
          <w:tcPr>
            <w:tcW w:w="98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left w:val="single" w:sz="8" w:color="CFF0FC"/>
            </w:tcBorders>
            <w:shd w:val="clear" w:color="auto" w:fill="CFF0FC"/>
          </w:tcPr>
          <w:p>
            <w:pPr>
              <w:spacing w:after="0"/>
              <w:rPr>
                <w:sz w:val="9"/>
                <w:szCs w:val="9"/>
                <w:color w:val="auto"/>
              </w:rPr>
            </w:pPr>
          </w:p>
        </w:tc>
        <w:tc>
          <w:tcPr>
            <w:tcW w:w="9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(275)</w:t>
            </w: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620" w:type="dxa"/>
            <w:vAlign w:val="bottom"/>
            <w:tcBorders>
              <w:right w:val="single" w:sz="8" w:color="CFF0FC"/>
            </w:tcBorders>
            <w:vMerge w:val="continue"/>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40" w:type="dxa"/>
            <w:vAlign w:val="bottom"/>
            <w:tcBorders>
              <w:right w:val="single" w:sz="8" w:color="CFF0FC"/>
            </w:tcBorders>
            <w:gridSpan w:val="2"/>
            <w:vMerge w:val="continue"/>
            <w:shd w:val="clear" w:color="auto" w:fill="CFF0FC"/>
          </w:tcPr>
          <w:p>
            <w:pPr>
              <w:spacing w:after="0"/>
              <w:rPr>
                <w:sz w:val="10"/>
                <w:szCs w:val="10"/>
                <w:color w:val="auto"/>
              </w:rPr>
            </w:pPr>
          </w:p>
        </w:tc>
        <w:tc>
          <w:tcPr>
            <w:tcW w:w="80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gridSpan w:val="3"/>
            <w:vMerge w:val="continue"/>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980" w:type="dxa"/>
            <w:vAlign w:val="bottom"/>
            <w:gridSpan w:val="3"/>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80" w:type="dxa"/>
            <w:vAlign w:val="bottom"/>
            <w:gridSpan w:val="2"/>
            <w:vMerge w:val="continue"/>
            <w:shd w:val="clear" w:color="auto" w:fill="CFF0FC"/>
          </w:tcPr>
          <w:p>
            <w:pPr>
              <w:spacing w:after="0"/>
              <w:rPr>
                <w:sz w:val="10"/>
                <w:szCs w:val="10"/>
                <w:color w:val="auto"/>
              </w:rPr>
            </w:pPr>
          </w:p>
        </w:tc>
        <w:tc>
          <w:tcPr>
            <w:tcW w:w="140" w:type="dxa"/>
            <w:vAlign w:val="bottom"/>
            <w:tcBorders>
              <w:left w:val="single" w:sz="8" w:color="CFF0FC"/>
            </w:tcBorders>
            <w:shd w:val="clear" w:color="auto" w:fill="CFF0FC"/>
          </w:tcPr>
          <w:p>
            <w:pPr>
              <w:spacing w:after="0"/>
              <w:rPr>
                <w:sz w:val="10"/>
                <w:szCs w:val="10"/>
                <w:color w:val="auto"/>
              </w:rPr>
            </w:pPr>
          </w:p>
        </w:tc>
        <w:tc>
          <w:tcPr>
            <w:tcW w:w="92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2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May 4, 2024</w:t>
            </w: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232,949</w:t>
            </w:r>
          </w:p>
        </w:tc>
        <w:tc>
          <w:tcPr>
            <w:tcW w:w="24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40" w:type="dxa"/>
            <w:vAlign w:val="bottom"/>
          </w:tcPr>
          <w:p>
            <w:pPr>
              <w:spacing w:after="0"/>
              <w:rPr>
                <w:sz w:val="10"/>
                <w:szCs w:val="10"/>
                <w:color w:val="auto"/>
              </w:rPr>
            </w:pPr>
          </w:p>
        </w:tc>
        <w:tc>
          <w:tcPr>
            <w:tcW w:w="80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0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271</w:t>
            </w:r>
          </w:p>
        </w:tc>
        <w:tc>
          <w:tcPr>
            <w:tcW w:w="340" w:type="dxa"/>
            <w:vAlign w:val="bottom"/>
            <w:gridSpan w:val="3"/>
          </w:tcPr>
          <w:p>
            <w:pPr>
              <w:ind w:lef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3"/>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2,246,756</w:t>
            </w:r>
          </w:p>
        </w:tc>
        <w:tc>
          <w:tcPr>
            <w:tcW w:w="1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3"/>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(1,093,726)</w:t>
            </w:r>
          </w:p>
        </w:tc>
        <w:tc>
          <w:tcPr>
            <w:tcW w:w="6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9,008</w:t>
            </w:r>
          </w:p>
        </w:tc>
        <w:tc>
          <w:tcPr>
            <w:tcW w:w="1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1,162,309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-1696720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-1696720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-1696720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-1696720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-1696720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-1696720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-1696720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-110490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-110490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-110490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-110490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-110490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-110490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-110490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08"/>
        </w:trPr>
        <w:tc>
          <w:tcPr>
            <w:tcW w:w="58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jc w:val="right"/>
              <w:ind w:right="2"/>
              <w:spacing w:after="0" w:line="109" w:lineRule="exact"/>
              <w:rPr>
                <w:sz w:val="20"/>
                <w:szCs w:val="20"/>
                <w:color w:val="auto"/>
              </w:rPr>
            </w:pPr>
            <w:r>
              <w:rPr>
                <w:rFonts w:ascii="Times New Roman" w:cs="Times New Roman" w:eastAsia="Times New Roman" w:hAnsi="Times New Roman"/>
                <w:sz w:val="12"/>
                <w:szCs w:val="12"/>
                <w:b w:val="1"/>
                <w:bCs w:val="1"/>
                <w:color w:val="auto"/>
              </w:rPr>
              <w:t>May 3,</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jc w:val="right"/>
              <w:ind w:right="553"/>
              <w:spacing w:after="0" w:line="109" w:lineRule="exact"/>
              <w:rPr>
                <w:sz w:val="20"/>
                <w:szCs w:val="20"/>
                <w:color w:val="auto"/>
              </w:rPr>
            </w:pPr>
            <w:r>
              <w:rPr>
                <w:rFonts w:ascii="Times New Roman" w:cs="Times New Roman" w:eastAsia="Times New Roman" w:hAnsi="Times New Roman"/>
                <w:sz w:val="12"/>
                <w:szCs w:val="12"/>
                <w:b w:val="1"/>
                <w:bCs w:val="1"/>
                <w:color w:val="auto"/>
              </w:rPr>
              <w:t>May 4,</w:t>
            </w:r>
          </w:p>
        </w:tc>
        <w:tc>
          <w:tcPr>
            <w:tcW w:w="100" w:type="dxa"/>
            <w:vAlign w:val="bottom"/>
          </w:tcPr>
          <w:p>
            <w:pPr>
              <w:spacing w:after="0"/>
              <w:rPr>
                <w:sz w:val="9"/>
                <w:szCs w:val="9"/>
                <w:color w:val="auto"/>
              </w:rPr>
            </w:pPr>
          </w:p>
        </w:tc>
      </w:tr>
      <w:tr>
        <w:trPr>
          <w:trHeight w:val="155"/>
        </w:trPr>
        <w:tc>
          <w:tcPr>
            <w:tcW w:w="5860" w:type="dxa"/>
            <w:vAlign w:val="bottom"/>
          </w:tcPr>
          <w:p>
            <w:pPr>
              <w:spacing w:after="0"/>
              <w:rPr>
                <w:sz w:val="13"/>
                <w:szCs w:val="13"/>
                <w:color w:val="auto"/>
              </w:rPr>
            </w:pPr>
          </w:p>
        </w:tc>
        <w:tc>
          <w:tcPr>
            <w:tcW w:w="2860" w:type="dxa"/>
            <w:vAlign w:val="bottom"/>
            <w:gridSpan w:val="2"/>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r>
      <w:tr>
        <w:trPr>
          <w:trHeight w:val="142"/>
        </w:trPr>
        <w:tc>
          <w:tcPr>
            <w:tcW w:w="5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1820" w:type="dxa"/>
            <w:vAlign w:val="bottom"/>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2860" w:type="dxa"/>
            <w:vAlign w:val="bottom"/>
            <w:gridSpan w:val="2"/>
          </w:tcPr>
          <w:p>
            <w:pPr>
              <w:jc w:val="right"/>
              <w:ind w:right="902"/>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(11,661)</w:t>
            </w: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(46,483)</w:t>
            </w:r>
          </w:p>
        </w:tc>
      </w:tr>
      <w:tr>
        <w:trPr>
          <w:trHeight w:val="136"/>
        </w:trPr>
        <w:tc>
          <w:tcPr>
            <w:tcW w:w="5860" w:type="dxa"/>
            <w:vAlign w:val="bottom"/>
            <w:shd w:val="clear" w:color="auto" w:fill="CFF0FC"/>
          </w:tcPr>
          <w:p>
            <w:pPr>
              <w:ind w:left="140"/>
              <w:spacing w:after="0" w:line="136" w:lineRule="exact"/>
              <w:rPr>
                <w:sz w:val="20"/>
                <w:szCs w:val="20"/>
                <w:color w:val="auto"/>
              </w:rPr>
            </w:pPr>
            <w:r>
              <w:rPr>
                <w:rFonts w:ascii="Times New Roman" w:cs="Times New Roman" w:eastAsia="Times New Roman" w:hAnsi="Times New Roman"/>
                <w:sz w:val="13"/>
                <w:szCs w:val="13"/>
                <w:color w:val="auto"/>
              </w:rPr>
              <w:t>Adjustments to reconcile net loss to net cash used in operating</w:t>
            </w:r>
          </w:p>
        </w:tc>
        <w:tc>
          <w:tcPr>
            <w:tcW w:w="18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1"/>
        </w:trPr>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activities:</w:t>
            </w:r>
          </w:p>
        </w:tc>
        <w:tc>
          <w:tcPr>
            <w:tcW w:w="18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5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49,365</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49,587</w:t>
            </w:r>
          </w:p>
        </w:tc>
        <w:tc>
          <w:tcPr>
            <w:tcW w:w="100" w:type="dxa"/>
            <w:vAlign w:val="bottom"/>
          </w:tcPr>
          <w:p>
            <w:pPr>
              <w:spacing w:after="0"/>
              <w:rPr>
                <w:sz w:val="12"/>
                <w:szCs w:val="12"/>
                <w:color w:val="auto"/>
              </w:rPr>
            </w:pPr>
          </w:p>
        </w:tc>
      </w:tr>
      <w:tr>
        <w:trPr>
          <w:trHeight w:val="148"/>
        </w:trPr>
        <w:tc>
          <w:tcPr>
            <w:tcW w:w="5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Amortization of debt discounts and issuance costs</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1,246</w:t>
            </w: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1,218</w:t>
            </w:r>
          </w:p>
        </w:tc>
        <w:tc>
          <w:tcPr>
            <w:tcW w:w="100" w:type="dxa"/>
            <w:vAlign w:val="bottom"/>
            <w:shd w:val="clear" w:color="auto" w:fill="CFF0FC"/>
          </w:tcPr>
          <w:p>
            <w:pPr>
              <w:spacing w:after="0"/>
              <w:rPr>
                <w:sz w:val="12"/>
                <w:szCs w:val="12"/>
                <w:color w:val="auto"/>
              </w:rPr>
            </w:pPr>
          </w:p>
        </w:tc>
      </w:tr>
      <w:tr>
        <w:trPr>
          <w:trHeight w:val="148"/>
        </w:trPr>
        <w:tc>
          <w:tcPr>
            <w:tcW w:w="5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Provision for deferred taxes</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(9,218)</w:t>
            </w:r>
          </w:p>
        </w:tc>
        <w:tc>
          <w:tcPr>
            <w:tcW w:w="5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(13,365)</w:t>
            </w:r>
          </w:p>
        </w:tc>
      </w:tr>
      <w:tr>
        <w:trPr>
          <w:trHeight w:val="148"/>
        </w:trPr>
        <w:tc>
          <w:tcPr>
            <w:tcW w:w="5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9,420</w:t>
            </w: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17,434</w:t>
            </w:r>
          </w:p>
        </w:tc>
        <w:tc>
          <w:tcPr>
            <w:tcW w:w="100" w:type="dxa"/>
            <w:vAlign w:val="bottom"/>
            <w:shd w:val="clear" w:color="auto" w:fill="CFF0FC"/>
          </w:tcPr>
          <w:p>
            <w:pPr>
              <w:spacing w:after="0"/>
              <w:rPr>
                <w:sz w:val="12"/>
                <w:szCs w:val="12"/>
                <w:color w:val="auto"/>
              </w:rPr>
            </w:pPr>
          </w:p>
        </w:tc>
      </w:tr>
      <w:tr>
        <w:trPr>
          <w:trHeight w:val="149"/>
        </w:trPr>
        <w:tc>
          <w:tcPr>
            <w:tcW w:w="5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Impairments, write-offs and losses on sale of fixed and other assets</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3,508</w:t>
            </w:r>
          </w:p>
        </w:tc>
        <w:tc>
          <w:tcPr>
            <w:tcW w:w="100" w:type="dxa"/>
            <w:vAlign w:val="bottom"/>
          </w:tcPr>
          <w:p>
            <w:pPr>
              <w:spacing w:after="0"/>
              <w:rPr>
                <w:sz w:val="12"/>
                <w:szCs w:val="12"/>
                <w:color w:val="auto"/>
              </w:rPr>
            </w:pPr>
          </w:p>
        </w:tc>
      </w:tr>
      <w:tr>
        <w:trPr>
          <w:trHeight w:val="148"/>
        </w:trPr>
        <w:tc>
          <w:tcPr>
            <w:tcW w:w="5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Income from equity method investees</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(4,610)</w:t>
            </w:r>
          </w:p>
        </w:tc>
        <w:tc>
          <w:tcPr>
            <w:tcW w:w="5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(4,886)</w:t>
            </w:r>
          </w:p>
        </w:tc>
      </w:tr>
      <w:tr>
        <w:trPr>
          <w:trHeight w:val="148"/>
        </w:trPr>
        <w:tc>
          <w:tcPr>
            <w:tcW w:w="5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Amounts reclassified out of accumulated other comprehensive loss</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(212)</w:t>
            </w:r>
          </w:p>
        </w:tc>
        <w:tc>
          <w:tcPr>
            <w:tcW w:w="5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(1,129)</w:t>
            </w:r>
          </w:p>
        </w:tc>
      </w:tr>
      <w:tr>
        <w:trPr>
          <w:trHeight w:val="148"/>
        </w:trPr>
        <w:tc>
          <w:tcPr>
            <w:tcW w:w="5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Non-cash operating lease costs</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102,132</w:t>
            </w: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103,637</w:t>
            </w:r>
          </w:p>
        </w:tc>
        <w:tc>
          <w:tcPr>
            <w:tcW w:w="100" w:type="dxa"/>
            <w:vAlign w:val="bottom"/>
            <w:shd w:val="clear" w:color="auto" w:fill="CFF0FC"/>
          </w:tcPr>
          <w:p>
            <w:pPr>
              <w:spacing w:after="0"/>
              <w:rPr>
                <w:sz w:val="12"/>
                <w:szCs w:val="12"/>
                <w:color w:val="auto"/>
              </w:rPr>
            </w:pPr>
          </w:p>
        </w:tc>
      </w:tr>
      <w:tr>
        <w:trPr>
          <w:trHeight w:val="148"/>
        </w:trPr>
        <w:tc>
          <w:tcPr>
            <w:tcW w:w="5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 non-operating loss</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2,665</w:t>
            </w:r>
          </w:p>
        </w:tc>
        <w:tc>
          <w:tcPr>
            <w:tcW w:w="100" w:type="dxa"/>
            <w:vAlign w:val="bottom"/>
          </w:tcPr>
          <w:p>
            <w:pPr>
              <w:spacing w:after="0"/>
              <w:rPr>
                <w:sz w:val="12"/>
                <w:szCs w:val="12"/>
                <w:color w:val="auto"/>
              </w:rPr>
            </w:pPr>
          </w:p>
        </w:tc>
      </w:tr>
      <w:tr>
        <w:trPr>
          <w:trHeight w:val="149"/>
        </w:trPr>
        <w:tc>
          <w:tcPr>
            <w:tcW w:w="5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8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Receivables</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w:t>
            </w:r>
          </w:p>
        </w:tc>
        <w:tc>
          <w:tcPr>
            <w:tcW w:w="100" w:type="dxa"/>
            <w:vAlign w:val="bottom"/>
          </w:tcPr>
          <w:p>
            <w:pPr>
              <w:spacing w:after="0"/>
              <w:rPr>
                <w:sz w:val="12"/>
                <w:szCs w:val="12"/>
                <w:color w:val="auto"/>
              </w:rPr>
            </w:pPr>
          </w:p>
        </w:tc>
      </w:tr>
      <w:tr>
        <w:trPr>
          <w:trHeight w:val="148"/>
        </w:trPr>
        <w:tc>
          <w:tcPr>
            <w:tcW w:w="58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Merchandise inventories</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7,857</w:t>
            </w: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3,076</w:t>
            </w:r>
          </w:p>
        </w:tc>
        <w:tc>
          <w:tcPr>
            <w:tcW w:w="100" w:type="dxa"/>
            <w:vAlign w:val="bottom"/>
            <w:shd w:val="clear" w:color="auto" w:fill="CFF0FC"/>
          </w:tcPr>
          <w:p>
            <w:pPr>
              <w:spacing w:after="0"/>
              <w:rPr>
                <w:sz w:val="12"/>
                <w:szCs w:val="12"/>
                <w:color w:val="auto"/>
              </w:rPr>
            </w:pPr>
          </w:p>
        </w:tc>
      </w:tr>
      <w:tr>
        <w:trPr>
          <w:trHeight w:val="148"/>
        </w:trPr>
        <w:tc>
          <w:tcPr>
            <w:tcW w:w="58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(1,673)</w:t>
            </w:r>
          </w:p>
        </w:tc>
        <w:tc>
          <w:tcPr>
            <w:tcW w:w="5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(4,511)</w:t>
            </w:r>
          </w:p>
        </w:tc>
      </w:tr>
      <w:tr>
        <w:trPr>
          <w:trHeight w:val="148"/>
        </w:trPr>
        <w:tc>
          <w:tcPr>
            <w:tcW w:w="58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Accounts payable and book overdrafts</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(19,028)</w:t>
            </w:r>
          </w:p>
        </w:tc>
        <w:tc>
          <w:tcPr>
            <w:tcW w:w="5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(19,538)</w:t>
            </w:r>
          </w:p>
        </w:tc>
      </w:tr>
      <w:tr>
        <w:trPr>
          <w:trHeight w:val="148"/>
        </w:trPr>
        <w:tc>
          <w:tcPr>
            <w:tcW w:w="58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Accrued salaries and employee benefits</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(51,130)</w:t>
            </w:r>
          </w:p>
        </w:tc>
        <w:tc>
          <w:tcPr>
            <w:tcW w:w="5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(5,474)</w:t>
            </w:r>
          </w:p>
        </w:tc>
      </w:tr>
      <w:tr>
        <w:trPr>
          <w:trHeight w:val="149"/>
        </w:trPr>
        <w:tc>
          <w:tcPr>
            <w:tcW w:w="58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12,426</w:t>
            </w: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5,902</w:t>
            </w:r>
          </w:p>
        </w:tc>
        <w:tc>
          <w:tcPr>
            <w:tcW w:w="100" w:type="dxa"/>
            <w:vAlign w:val="bottom"/>
            <w:shd w:val="clear" w:color="auto" w:fill="CFF0FC"/>
          </w:tcPr>
          <w:p>
            <w:pPr>
              <w:spacing w:after="0"/>
              <w:rPr>
                <w:sz w:val="12"/>
                <w:szCs w:val="12"/>
                <w:color w:val="auto"/>
              </w:rPr>
            </w:pPr>
          </w:p>
        </w:tc>
      </w:tr>
      <w:tr>
        <w:trPr>
          <w:trHeight w:val="148"/>
        </w:trPr>
        <w:tc>
          <w:tcPr>
            <w:tcW w:w="58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(103,780)</w:t>
            </w:r>
          </w:p>
        </w:tc>
        <w:tc>
          <w:tcPr>
            <w:tcW w:w="5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(104,181)</w:t>
            </w:r>
          </w:p>
        </w:tc>
      </w:tr>
      <w:tr>
        <w:trPr>
          <w:trHeight w:val="148"/>
        </w:trPr>
        <w:tc>
          <w:tcPr>
            <w:tcW w:w="58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(1,263)</w:t>
            </w:r>
          </w:p>
        </w:tc>
        <w:tc>
          <w:tcPr>
            <w:tcW w:w="5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1,139</w:t>
            </w:r>
          </w:p>
        </w:tc>
        <w:tc>
          <w:tcPr>
            <w:tcW w:w="100" w:type="dxa"/>
            <w:vAlign w:val="bottom"/>
            <w:shd w:val="clear" w:color="auto" w:fill="CFF0FC"/>
          </w:tcPr>
          <w:p>
            <w:pPr>
              <w:spacing w:after="0"/>
              <w:rPr>
                <w:sz w:val="12"/>
                <w:szCs w:val="12"/>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860" w:type="dxa"/>
            <w:vAlign w:val="bottom"/>
          </w:tcPr>
          <w:p>
            <w:pPr>
              <w:ind w:left="560"/>
              <w:spacing w:after="0" w:line="142"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(15,454)</w:t>
            </w:r>
          </w:p>
        </w:tc>
        <w:tc>
          <w:tcPr>
            <w:tcW w:w="520" w:type="dxa"/>
            <w:vAlign w:val="bottom"/>
          </w:tcPr>
          <w:p>
            <w:pPr>
              <w:spacing w:after="0"/>
              <w:rPr>
                <w:sz w:val="12"/>
                <w:szCs w:val="12"/>
                <w:color w:val="auto"/>
              </w:rPr>
            </w:pPr>
          </w:p>
        </w:tc>
        <w:tc>
          <w:tcPr>
            <w:tcW w:w="11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(8,414)</w:t>
            </w:r>
          </w:p>
        </w:tc>
      </w:tr>
      <w:tr>
        <w:trPr>
          <w:trHeight w:val="142"/>
        </w:trPr>
        <w:tc>
          <w:tcPr>
            <w:tcW w:w="5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1820" w:type="dxa"/>
            <w:vAlign w:val="bottom"/>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paid for fixed assets</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(28,412)</w:t>
            </w:r>
          </w:p>
        </w:tc>
        <w:tc>
          <w:tcPr>
            <w:tcW w:w="5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(32,641)</w:t>
            </w:r>
          </w:p>
        </w:tc>
      </w:tr>
      <w:tr>
        <w:trPr>
          <w:trHeight w:val="148"/>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(100)</w:t>
            </w:r>
          </w:p>
        </w:tc>
      </w:tr>
      <w:tr>
        <w:trPr>
          <w:trHeight w:val="148"/>
        </w:trPr>
        <w:tc>
          <w:tcPr>
            <w:tcW w:w="5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investments</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00" w:type="dxa"/>
            <w:vAlign w:val="bottom"/>
          </w:tcPr>
          <w:p>
            <w:pPr>
              <w:spacing w:after="0"/>
              <w:rPr>
                <w:sz w:val="12"/>
                <w:szCs w:val="12"/>
                <w:color w:val="auto"/>
              </w:rPr>
            </w:pPr>
          </w:p>
        </w:tc>
      </w:tr>
      <w:tr>
        <w:trPr>
          <w:trHeight w:val="149"/>
        </w:trPr>
        <w:tc>
          <w:tcPr>
            <w:tcW w:w="5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182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2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860" w:type="dxa"/>
            <w:vAlign w:val="bottom"/>
          </w:tcPr>
          <w:p>
            <w:pPr>
              <w:ind w:left="560"/>
              <w:spacing w:after="0" w:line="142"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(27,133)</w:t>
            </w:r>
          </w:p>
        </w:tc>
        <w:tc>
          <w:tcPr>
            <w:tcW w:w="520" w:type="dxa"/>
            <w:vAlign w:val="bottom"/>
          </w:tcPr>
          <w:p>
            <w:pPr>
              <w:spacing w:after="0"/>
              <w:rPr>
                <w:sz w:val="12"/>
                <w:szCs w:val="12"/>
                <w:color w:val="auto"/>
              </w:rPr>
            </w:pPr>
          </w:p>
        </w:tc>
        <w:tc>
          <w:tcPr>
            <w:tcW w:w="11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(31,743)</w:t>
            </w:r>
          </w:p>
        </w:tc>
      </w:tr>
      <w:tr>
        <w:trPr>
          <w:trHeight w:val="142"/>
        </w:trPr>
        <w:tc>
          <w:tcPr>
            <w:tcW w:w="5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1820" w:type="dxa"/>
            <w:vAlign w:val="bottom"/>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Borrowings under long-term debt agreements</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173,000</w:t>
            </w:r>
          </w:p>
        </w:tc>
        <w:tc>
          <w:tcPr>
            <w:tcW w:w="100" w:type="dxa"/>
            <w:vAlign w:val="bottom"/>
          </w:tcPr>
          <w:p>
            <w:pPr>
              <w:spacing w:after="0"/>
              <w:rPr>
                <w:sz w:val="12"/>
                <w:szCs w:val="12"/>
                <w:color w:val="auto"/>
              </w:rPr>
            </w:pPr>
          </w:p>
        </w:tc>
      </w:tr>
      <w:tr>
        <w:trPr>
          <w:trHeight w:val="148"/>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Repayments of long-term debt</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(173,000)</w:t>
            </w:r>
          </w:p>
        </w:tc>
      </w:tr>
      <w:tr>
        <w:trPr>
          <w:trHeight w:val="149"/>
        </w:trPr>
        <w:tc>
          <w:tcPr>
            <w:tcW w:w="5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refinancing costs</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(2,955)</w:t>
            </w:r>
          </w:p>
        </w:tc>
      </w:tr>
      <w:tr>
        <w:trPr>
          <w:trHeight w:val="148"/>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Payments for finance lease liabilities</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(1,143)</w:t>
            </w:r>
          </w:p>
        </w:tc>
        <w:tc>
          <w:tcPr>
            <w:tcW w:w="5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(1,444)</w:t>
            </w:r>
          </w:p>
        </w:tc>
      </w:tr>
      <w:tr>
        <w:trPr>
          <w:trHeight w:val="148"/>
        </w:trPr>
        <w:tc>
          <w:tcPr>
            <w:tcW w:w="5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employee stock purchase plan and stock option exercises</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100" w:type="dxa"/>
            <w:vAlign w:val="bottom"/>
          </w:tcPr>
          <w:p>
            <w:pPr>
              <w:spacing w:after="0"/>
              <w:rPr>
                <w:sz w:val="12"/>
                <w:szCs w:val="12"/>
                <w:color w:val="auto"/>
              </w:rPr>
            </w:pPr>
          </w:p>
        </w:tc>
      </w:tr>
      <w:tr>
        <w:trPr>
          <w:trHeight w:val="149"/>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Tax withholdings on stock-based awards</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(158)</w:t>
            </w:r>
          </w:p>
        </w:tc>
        <w:tc>
          <w:tcPr>
            <w:tcW w:w="5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(2,059)</w:t>
            </w:r>
          </w:p>
        </w:tc>
      </w:tr>
      <w:tr>
        <w:trPr>
          <w:trHeight w:val="142"/>
        </w:trPr>
        <w:tc>
          <w:tcPr>
            <w:tcW w:w="5860" w:type="dxa"/>
            <w:vAlign w:val="bottom"/>
          </w:tcPr>
          <w:p>
            <w:pPr>
              <w:ind w:left="560"/>
              <w:spacing w:after="0" w:line="142"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1820" w:type="dxa"/>
            <w:vAlign w:val="bottom"/>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(334)</w:t>
            </w:r>
          </w:p>
        </w:tc>
        <w:tc>
          <w:tcPr>
            <w:tcW w:w="28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(5,628)</w:t>
            </w:r>
          </w:p>
        </w:tc>
        <w:tc>
          <w:tcPr>
            <w:tcW w:w="100" w:type="dxa"/>
            <w:vAlign w:val="bottom"/>
          </w:tcPr>
          <w:p>
            <w:pPr>
              <w:spacing w:after="0"/>
              <w:rPr>
                <w:sz w:val="12"/>
                <w:szCs w:val="12"/>
                <w:color w:val="auto"/>
              </w:rPr>
            </w:pPr>
          </w:p>
        </w:tc>
      </w:tr>
      <w:tr>
        <w:trPr>
          <w:trHeight w:val="142"/>
        </w:trPr>
        <w:tc>
          <w:tcPr>
            <w:tcW w:w="5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Net decrease in cash, cash equivalents and restricted cash</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(42,921)</w:t>
            </w:r>
          </w:p>
        </w:tc>
        <w:tc>
          <w:tcPr>
            <w:tcW w:w="5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(45,785)</w:t>
            </w:r>
          </w:p>
        </w:tc>
      </w:tr>
      <w:tr>
        <w:trPr>
          <w:trHeight w:val="149"/>
        </w:trPr>
        <w:tc>
          <w:tcPr>
            <w:tcW w:w="586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18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181,665</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136,649</w:t>
            </w:r>
          </w:p>
        </w:tc>
        <w:tc>
          <w:tcPr>
            <w:tcW w:w="100" w:type="dxa"/>
            <w:vAlign w:val="bottom"/>
          </w:tcPr>
          <w:p>
            <w:pPr>
              <w:spacing w:after="0"/>
              <w:rPr>
                <w:sz w:val="12"/>
                <w:szCs w:val="12"/>
                <w:color w:val="auto"/>
              </w:rPr>
            </w:pPr>
          </w:p>
        </w:tc>
      </w:tr>
      <w:tr>
        <w:trPr>
          <w:trHeight w:val="182"/>
        </w:trPr>
        <w:tc>
          <w:tcPr>
            <w:tcW w:w="5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2860" w:type="dxa"/>
            <w:vAlign w:val="bottom"/>
            <w:gridSpan w:val="2"/>
            <w:shd w:val="clear" w:color="auto" w:fill="CFF0FC"/>
          </w:tcPr>
          <w:p>
            <w:pPr>
              <w:jc w:val="right"/>
              <w:ind w:right="902"/>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138,744</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90,864</w:t>
            </w:r>
          </w:p>
        </w:tc>
        <w:tc>
          <w:tcPr>
            <w:tcW w:w="100" w:type="dxa"/>
            <w:vAlign w:val="bottom"/>
            <w:shd w:val="clear" w:color="auto" w:fill="CFF0FC"/>
          </w:tcPr>
          <w:p>
            <w:pPr>
              <w:spacing w:after="0"/>
              <w:rPr>
                <w:sz w:val="15"/>
                <w:szCs w:val="15"/>
                <w:color w:val="auto"/>
              </w:rPr>
            </w:pPr>
          </w:p>
        </w:tc>
      </w:tr>
      <w:tr>
        <w:trPr>
          <w:trHeight w:val="129"/>
        </w:trPr>
        <w:tc>
          <w:tcPr>
            <w:tcW w:w="58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Supplemental cash flow disclosures:</w:t>
            </w:r>
          </w:p>
        </w:tc>
        <w:tc>
          <w:tcPr>
            <w:tcW w:w="1820" w:type="dxa"/>
            <w:vAlign w:val="bottom"/>
            <w:tcBorders>
              <w:top w:val="single" w:sz="8" w:color="CFF0F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48"/>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Interest paid, net</w:t>
            </w:r>
          </w:p>
        </w:tc>
        <w:tc>
          <w:tcPr>
            <w:tcW w:w="2860" w:type="dxa"/>
            <w:vAlign w:val="bottom"/>
            <w:gridSpan w:val="2"/>
            <w:shd w:val="clear" w:color="auto" w:fill="CFF0FC"/>
          </w:tcPr>
          <w:p>
            <w:pPr>
              <w:jc w:val="right"/>
              <w:ind w:right="902"/>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31,112</w:t>
            </w: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34,357</w:t>
            </w:r>
          </w:p>
        </w:tc>
        <w:tc>
          <w:tcPr>
            <w:tcW w:w="100" w:type="dxa"/>
            <w:vAlign w:val="bottom"/>
            <w:shd w:val="clear" w:color="auto" w:fill="CFF0FC"/>
          </w:tcPr>
          <w:p>
            <w:pPr>
              <w:spacing w:after="0"/>
              <w:rPr>
                <w:sz w:val="12"/>
                <w:szCs w:val="12"/>
                <w:color w:val="auto"/>
              </w:rPr>
            </w:pPr>
          </w:p>
        </w:tc>
      </w:tr>
      <w:tr>
        <w:trPr>
          <w:trHeight w:val="149"/>
        </w:trPr>
        <w:tc>
          <w:tcPr>
            <w:tcW w:w="5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taxes paid</w:t>
            </w:r>
          </w:p>
        </w:tc>
        <w:tc>
          <w:tcPr>
            <w:tcW w:w="2860" w:type="dxa"/>
            <w:vAlign w:val="bottom"/>
            <w:gridSpan w:val="2"/>
          </w:tcPr>
          <w:p>
            <w:pPr>
              <w:jc w:val="right"/>
              <w:ind w:right="902"/>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280" w:type="dxa"/>
            <w:vAlign w:val="bottom"/>
          </w:tcPr>
          <w:p>
            <w:pPr>
              <w:spacing w:after="0"/>
              <w:rPr>
                <w:sz w:val="12"/>
                <w:szCs w:val="12"/>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100" w:type="dxa"/>
            <w:vAlign w:val="bottom"/>
          </w:tcPr>
          <w:p>
            <w:pPr>
              <w:spacing w:after="0"/>
              <w:rPr>
                <w:sz w:val="12"/>
                <w:szCs w:val="12"/>
                <w:color w:val="auto"/>
              </w:rPr>
            </w:pPr>
          </w:p>
        </w:tc>
      </w:tr>
      <w:tr>
        <w:trPr>
          <w:trHeight w:val="148"/>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Supplemental non-cash investing and financing activities disclosure:</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4"/>
        </w:trPr>
        <w:tc>
          <w:tcPr>
            <w:tcW w:w="5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 and accrued expenses for capital expenditures</w:t>
            </w:r>
          </w:p>
        </w:tc>
        <w:tc>
          <w:tcPr>
            <w:tcW w:w="2860" w:type="dxa"/>
            <w:vAlign w:val="bottom"/>
            <w:gridSpan w:val="2"/>
          </w:tcPr>
          <w:p>
            <w:pPr>
              <w:jc w:val="right"/>
              <w:ind w:right="902"/>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13,010</w:t>
            </w:r>
          </w:p>
        </w:tc>
        <w:tc>
          <w:tcPr>
            <w:tcW w:w="280" w:type="dxa"/>
            <w:vAlign w:val="bottom"/>
          </w:tcPr>
          <w:p>
            <w:pPr>
              <w:spacing w:after="0"/>
              <w:rPr>
                <w:sz w:val="15"/>
                <w:szCs w:val="15"/>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14,541</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-2270125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-2270125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-1687195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-1687195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-928370</wp:posOffset>
            </wp:positionV>
            <wp:extent cx="93980" cy="136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-928370</wp:posOffset>
            </wp:positionV>
            <wp:extent cx="93980" cy="136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-513080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-495935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Petco Health and Wellness Company, Inc. (together with its consolidated subsidiaries, the “Company”) is a pet specialty retailer focused on improving the lives of pets, pet parents, and its own partners. The Company manages its business as one reportable operating segment.</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spacing w:after="0" w:line="176"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from the significant accounting policies disclosed in Note 1 of the Notes to Consolidated Financial Statements included in the Company’s Annual Report on Form 10-K for the fiscal year ended February 1, 2025.</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for interim financial information and the instructions to Form 10-Q and Article 10 of Regulation S-X. Accordingly, they do not include all of the information and footnotes required by GAAP for complete financial statements. Interim financial results are not necessarily indicative of results anticipated for the full year. The accompanying consolidated financial statements and these Notes to Consolidated Financial Statements should be read in conjunction with the audited consolidated financial statements and Notes to Consolidated Financial Statements included in the Company’s Annual Report on Form 10-K for the fiscal year ended February 1, 2025, from which the prior year balance sheet information herein was derived.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a series of interest rate cap agreements to limit the maximum interest on a portion of the Company’s variable-rate debt and decrease its exposure to interest rate variability relating to the three-month Secured Overnight Financing Rate as published by CME Group ("Term SOFR"). The interest rate caps became effective December 30, 2022 and expired on December 31, 2024. The interest rate caps were accounted for as cash flow hedges, and changes in the fair value of the interest rate caps are reported as a component of accumulated other comprehensive income (loss) ("AOCI").</w:t>
      </w:r>
    </w:p>
    <w:p>
      <w:pPr>
        <w:spacing w:after="0" w:line="183"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The Company has also entered into interest rate collar and interest rate swap agreements to limit the maximum interest on a portion of the Company’s variable-rate debt and decrease its exposure to interest rate variability relating to three-month Term SOFR.</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interest rate collars and swap are accounted for as cash flow hedges, and changes in the fair value of the interest rate collars are reported as a component of AOCI.</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consolidated balance sheets to the total amounts reported in the consolidated statements of cash flows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May 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133,343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165,756</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in</w:t>
            </w:r>
          </w:p>
        </w:tc>
        <w:tc>
          <w:tcPr>
            <w:tcW w:w="10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138,744</w:t>
            </w:r>
          </w:p>
        </w:tc>
        <w:tc>
          <w:tcPr>
            <w:tcW w:w="3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181,665</w:t>
            </w:r>
          </w:p>
        </w:tc>
        <w:tc>
          <w:tcPr>
            <w:tcW w:w="100" w:type="dxa"/>
            <w:vAlign w:val="bottom"/>
            <w:shd w:val="clear" w:color="auto" w:fill="CFF0FC"/>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8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the statement of cash flows</w:t>
            </w:r>
          </w:p>
        </w:tc>
        <w:tc>
          <w:tcPr>
            <w:tcW w:w="102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Net sales by product type and services were as follows (in thousands):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9"/>
          </w:tcPr>
          <w:p>
            <w:pPr>
              <w:ind w:left="7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Consumables</w:t>
            </w:r>
          </w:p>
        </w:tc>
        <w:tc>
          <w:tcPr>
            <w:tcW w:w="11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748,070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763,974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493,821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515,757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8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251,508</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249,409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1,493,399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1,529,140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-1859280</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-1842135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-1859280</wp:posOffset>
            </wp:positionV>
            <wp:extent cx="596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-1842135</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w:t>
      </w:r>
    </w:p>
    <w:p>
      <w:pPr>
        <w:spacing w:after="0" w:line="229" w:lineRule="exact"/>
        <w:rPr>
          <w:sz w:val="20"/>
          <w:szCs w:val="20"/>
          <w:color w:val="auto"/>
        </w:rPr>
      </w:pPr>
    </w:p>
    <w:p>
      <w:pPr>
        <w:jc w:val="both"/>
        <w:ind w:right="500" w:firstLine="515"/>
        <w:spacing w:after="0" w:line="282" w:lineRule="auto"/>
        <w:rPr>
          <w:sz w:val="20"/>
          <w:szCs w:val="20"/>
          <w:color w:val="auto"/>
        </w:rPr>
      </w:pPr>
      <w:r>
        <w:rPr>
          <w:rFonts w:ascii="Times New Roman" w:cs="Times New Roman" w:eastAsia="Times New Roman" w:hAnsi="Times New Roman"/>
          <w:sz w:val="18"/>
          <w:szCs w:val="18"/>
          <w:color w:val="auto"/>
        </w:rPr>
        <w:t>The Company has one reporting unit. The Company performs its annual impairment test during the fourth quarter of each fiscal year or more frequently when warranted by events or changes in circumstances.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2024, due to declines in the Company's share price, the Company performed an interim impairment test. As the estimated fair value of the Company's reporting unit was in excess of its carrying value, the Company concluded that goodwill was not impaired during the first quarter of fiscal 2024. The fair value of the Company's reporting unit was based upon an equal weighting of the income and market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Significant assumptions used in the determination of fair value of the reporting unit generally include prospective financial information, discount rates, terminal growth rates, and earnings multiples. The discounted cash flow model used to determine the fair value of the reporting unit during the first quarter of fiscal 2024 reflected the Company's most recent cash flow projections, a discount rate of 13.2%, and a terminal growth rate of 3%. The reporting unit fair value measurement is classified as Level 3 in the fair value hierarchy because it involves significant unobservable inputs.</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were no triggering events identified and no indications of impairment of the Company’s goodwill during the thirteen week period ended May 3, 2025.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Senior Secured Credit Facilities</w:t>
      </w:r>
    </w:p>
    <w:p>
      <w:pPr>
        <w:spacing w:after="0" w:line="121" w:lineRule="exact"/>
        <w:rPr>
          <w:sz w:val="20"/>
          <w:szCs w:val="20"/>
          <w:color w:val="auto"/>
        </w:rPr>
      </w:pPr>
    </w:p>
    <w:p>
      <w:pPr>
        <w:ind w:right="100" w:firstLine="515"/>
        <w:spacing w:after="0" w:line="261" w:lineRule="auto"/>
        <w:rPr>
          <w:sz w:val="20"/>
          <w:szCs w:val="20"/>
          <w:color w:val="auto"/>
        </w:rPr>
      </w:pPr>
      <w:r>
        <w:rPr>
          <w:rFonts w:ascii="Times New Roman" w:cs="Times New Roman" w:eastAsia="Times New Roman" w:hAnsi="Times New Roman"/>
          <w:sz w:val="18"/>
          <w:szCs w:val="18"/>
          <w:color w:val="auto"/>
        </w:rPr>
        <w:t>The Company has a secured term loan facility maturing on March 4, 2028 (the “First Lien Term Loan”) and a secured asset-based revolving credit facility with availability of up to $581.0 million, subject to a borrowing base (as amended from time to time, the “ABL Revolving Credit Facility”). The first tranche of the ABL Revolving Credit Facility has availability of up to $35.0 million, subject to a borrowing base, maturing on March 4, 2026. The second tranche has availability of up to $546.0 million, subject to a borrowing base, maturing on March 29, 2029. Interest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0" w:name="page11"/>
    <w:bookmarkEnd w:id="10"/>
    <w:p>
      <w:pPr>
        <w:ind w:right="200"/>
        <w:spacing w:after="0" w:line="282" w:lineRule="auto"/>
        <w:rPr>
          <w:sz w:val="20"/>
          <w:szCs w:val="20"/>
          <w:color w:val="auto"/>
        </w:rPr>
      </w:pPr>
      <w:r>
        <w:rPr>
          <w:rFonts w:ascii="Times New Roman" w:cs="Times New Roman" w:eastAsia="Times New Roman" w:hAnsi="Times New Roman"/>
          <w:sz w:val="18"/>
          <w:szCs w:val="18"/>
          <w:color w:val="auto"/>
        </w:rPr>
        <w:t>on the ABL Revolving Credit Facility is based on, at the Company's option, either the base rate subject to a 1% floor, or Term SOFR subject to a floor of 0%, plus an applicable margin.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May 3, 2025, the Company was in compliance with its covenants under the First Lien Term Loan and the ABL Revolving Credit Facility.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Facilities</w:t>
      </w:r>
    </w:p>
    <w:p>
      <w:pPr>
        <w:spacing w:after="0" w:line="229" w:lineRule="exact"/>
        <w:rPr>
          <w:sz w:val="20"/>
          <w:szCs w:val="20"/>
          <w:color w:val="auto"/>
        </w:rPr>
      </w:pPr>
    </w:p>
    <w:p>
      <w:pPr>
        <w:ind w:firstLine="515"/>
        <w:spacing w:after="0" w:line="256" w:lineRule="auto"/>
        <w:rPr>
          <w:sz w:val="20"/>
          <w:szCs w:val="20"/>
          <w:color w:val="auto"/>
        </w:rPr>
      </w:pPr>
      <w:r>
        <w:rPr>
          <w:rFonts w:ascii="Times New Roman" w:cs="Times New Roman" w:eastAsia="Times New Roman" w:hAnsi="Times New Roman"/>
          <w:sz w:val="18"/>
          <w:szCs w:val="18"/>
          <w:color w:val="auto"/>
        </w:rPr>
        <w:t>As of May 3, 2025, the outstanding principal balance of the First Lien Term Loan was $1,595.3 million ($1,583.5 million, net of the unamortized discount and debt issuance costs). As of February 1, 2025, the outstanding principal balance of the First Lien Term Loan was $1,595.3 million ($1,582.5 million, net of the unamortized discount and debt issuance costs). The weighted average interest rate on the borrowings outstanding was 7.9% and 7.9% as of May 3, 2025 and February 1, 2025, respectively. Debt issuance costs are being amortized over the contractual term to interest expense using the effective interest rate in effect at issuance. As of May 3, 2025 and February 1, 2025, the estimated fair value of the First Lien Term Loan was approximately $1,391.9 million and $1,529.5 million, respectively, based upon Level 2 fair value hierarchy inputs.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29" w:lineRule="exact"/>
        <w:rPr>
          <w:sz w:val="20"/>
          <w:szCs w:val="20"/>
          <w:color w:val="auto"/>
        </w:rPr>
      </w:pPr>
    </w:p>
    <w:p>
      <w:pPr>
        <w:ind w:right="220" w:firstLine="515"/>
        <w:spacing w:after="0" w:line="261" w:lineRule="auto"/>
        <w:rPr>
          <w:sz w:val="20"/>
          <w:szCs w:val="20"/>
          <w:color w:val="auto"/>
        </w:rPr>
      </w:pPr>
      <w:r>
        <w:rPr>
          <w:rFonts w:ascii="Times New Roman" w:cs="Times New Roman" w:eastAsia="Times New Roman" w:hAnsi="Times New Roman"/>
          <w:sz w:val="18"/>
          <w:szCs w:val="18"/>
          <w:color w:val="auto"/>
        </w:rPr>
        <w:t>In March 2024, the Company amended the ABL Revolving Credit Facility to increase its total availability and extend the maturity on a portion of the availability. Fees of $3.0 million relating to the Company’s entry into the amendment were capitalized as debt issuance costs. These fees consisted of arranger fees and other third-party expenses. The unamortized portion of the debt issuance costs of the ABL Revolving Credit Facility previously capitalized is being amortized over the amended contractual term.</w:t>
      </w:r>
    </w:p>
    <w:p>
      <w:pPr>
        <w:spacing w:after="0" w:line="180" w:lineRule="exact"/>
        <w:rPr>
          <w:sz w:val="20"/>
          <w:szCs w:val="20"/>
          <w:color w:val="auto"/>
        </w:rPr>
      </w:pPr>
    </w:p>
    <w:p>
      <w:pPr>
        <w:ind w:firstLine="515"/>
        <w:spacing w:after="0" w:line="258" w:lineRule="auto"/>
        <w:rPr>
          <w:sz w:val="20"/>
          <w:szCs w:val="20"/>
          <w:color w:val="auto"/>
        </w:rPr>
      </w:pPr>
      <w:r>
        <w:rPr>
          <w:rFonts w:ascii="Times New Roman" w:cs="Times New Roman" w:eastAsia="Times New Roman" w:hAnsi="Times New Roman"/>
          <w:sz w:val="18"/>
          <w:szCs w:val="18"/>
          <w:color w:val="auto"/>
        </w:rPr>
        <w:t>As of May 3, 2025 and February 1, 2025, no amounts were outstanding under the ABL Revolving Credit Facility. At May 3, 2025, $514.6 million was available under the ABL Revolving Credit Facility, which is net of $58.4 million of outstanding letters of credit issued in the normal course of business and an $8.0 million borrowing base reduction for a shortfall in qualifying assets. As of May 3, 2025 and February 1, 2025, unamortized debt issuance costs of $4.1 million and $4.4 million, respectively, relating to the ABL Revolving Credit Facility were outstanding and were being amortized using the straight-line method over the remaining term of the agreement.</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Prior to the March 2024 amendment, interest on the ABL Revolving Credit Facility was based on, at the Company’s option, either the base rate or Adjusted Term SOFR subject to a floor of 0%, in either case, plus an applicable margin. Following the March 2024 amendment, interest on the ABL Revolving Credit Facility is now based on, at the Company’s option, either the base rate subject to a 1% floor, or Term SOFR subject to a floor of 0%, plus an applicable margin. The applicable margin is currently equal to 25 basis points in the case of base rate loans and 125 basis points in the case of Term SOFR loans.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Company's interest rate swap, caps and collars are accounted for as cash flow hedges because they are expected to be highly effective in hedging variable rate interest payments. Changes in the fair value of the cash flow hedges are reported as a component of AOCI. As of May 3, 2025, AOCI included unrealized losses of $2.9 million ($2.2 million, net of tax). As of February 1, 2025, AOCI included unrealized gains of $0.4 million ($0.3 million, net of tax). Approximately $0.2 million and $1.1 million of pre-tax gains deferred in AOCI were reclassified to interest expense during the thirteen week periods ended May 3, 2025 and May 4, 2024, respectively. The Company currently estimates that $0.7 million of losses related to trade date costs on its cash flow hedges that are currently deferred in AOCI will be reclassified to interest expense in the consolidated statement of operations within the next twelve months. This estimate could vary based on actual amounts as a result of changes in market conditions.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The cash flow hedges are reflected in the Company’s consolidated balance sheets as follows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60" w:type="dxa"/>
            <w:vAlign w:val="bottom"/>
          </w:tcPr>
          <w:p>
            <w:pPr>
              <w:spacing w:after="0"/>
              <w:rPr>
                <w:sz w:val="13"/>
                <w:szCs w:val="13"/>
                <w:color w:val="auto"/>
              </w:rPr>
            </w:pPr>
          </w:p>
        </w:tc>
        <w:tc>
          <w:tcPr>
            <w:tcW w:w="308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May 3,</w:t>
            </w:r>
          </w:p>
        </w:tc>
        <w:tc>
          <w:tcPr>
            <w:tcW w:w="280" w:type="dxa"/>
            <w:vAlign w:val="bottom"/>
          </w:tcPr>
          <w:p>
            <w:pPr>
              <w:spacing w:after="0"/>
              <w:rPr>
                <w:sz w:val="13"/>
                <w:szCs w:val="13"/>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 portion of cash flow hedges</w:t>
            </w:r>
          </w:p>
        </w:tc>
        <w:tc>
          <w:tcPr>
            <w:tcW w:w="160" w:type="dxa"/>
            <w:vAlign w:val="bottom"/>
            <w:shd w:val="clear" w:color="auto" w:fill="CFF0FC"/>
          </w:tcPr>
          <w:p>
            <w:pPr>
              <w:spacing w:after="0"/>
              <w:rPr>
                <w:sz w:val="18"/>
                <w:szCs w:val="18"/>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Non-current asset portion of cash flow</w:t>
            </w:r>
          </w:p>
        </w:tc>
        <w:tc>
          <w:tcPr>
            <w:tcW w:w="160" w:type="dxa"/>
            <w:vAlign w:val="bottom"/>
          </w:tcPr>
          <w:p>
            <w:pPr>
              <w:spacing w:after="0"/>
              <w:rPr>
                <w:sz w:val="17"/>
                <w:szCs w:val="17"/>
                <w:color w:val="auto"/>
              </w:rPr>
            </w:pPr>
          </w:p>
        </w:tc>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Current liability portion of cash flow</w:t>
            </w:r>
          </w:p>
        </w:tc>
        <w:tc>
          <w:tcPr>
            <w:tcW w:w="160" w:type="dxa"/>
            <w:vAlign w:val="bottom"/>
            <w:shd w:val="clear" w:color="auto" w:fill="CFF0FC"/>
          </w:tcPr>
          <w:p>
            <w:pPr>
              <w:spacing w:after="0"/>
              <w:rPr>
                <w:sz w:val="17"/>
                <w:szCs w:val="17"/>
                <w:color w:val="auto"/>
              </w:rPr>
            </w:pPr>
          </w:p>
        </w:tc>
        <w:tc>
          <w:tcPr>
            <w:tcW w:w="3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shd w:val="clear" w:color="auto" w:fill="CFF0FC"/>
          </w:tcPr>
          <w:p>
            <w:pPr>
              <w:spacing w:after="0"/>
              <w:rPr>
                <w:sz w:val="20"/>
                <w:szCs w:val="20"/>
                <w:color w:val="auto"/>
              </w:rPr>
            </w:pPr>
          </w:p>
        </w:tc>
        <w:tc>
          <w:tcPr>
            <w:tcW w:w="3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Non-current liability portion of cash flow</w:t>
            </w:r>
          </w:p>
        </w:tc>
        <w:tc>
          <w:tcPr>
            <w:tcW w:w="160" w:type="dxa"/>
            <w:vAlign w:val="bottom"/>
          </w:tcPr>
          <w:p>
            <w:pPr>
              <w:spacing w:after="0"/>
              <w:rPr>
                <w:sz w:val="17"/>
                <w:szCs w:val="17"/>
                <w:color w:val="auto"/>
              </w:rPr>
            </w:pPr>
          </w:p>
        </w:tc>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(2,330)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1"/>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flow hedges</w:t>
            </w:r>
          </w:p>
        </w:tc>
        <w:tc>
          <w:tcPr>
            <w:tcW w:w="160" w:type="dxa"/>
            <w:vAlign w:val="bottom"/>
            <w:shd w:val="clear" w:color="auto" w:fill="CFF0FC"/>
          </w:tcPr>
          <w:p>
            <w:pPr>
              <w:spacing w:after="0"/>
              <w:rPr>
                <w:sz w:val="19"/>
                <w:szCs w:val="19"/>
                <w:color w:val="auto"/>
              </w:rPr>
            </w:pPr>
          </w:p>
        </w:tc>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(2,115)</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on a Recurring Basis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82,884</w:t>
            </w: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(14,045)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373"/>
        </w:trPr>
        <w:tc>
          <w:tcPr>
            <w:tcW w:w="6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127,109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14,630</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(13,996)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$77.5 million and $111.5 million as of May 3, 2025 and February 1, 2025, respectively. Also included in the Company’s money market mutual funds balances were $5.4 million and $15.6 million as of May 3, 2025 and February 1, 2025, respectively, which relate to the Company’s restricted cash, and are included in other current assets in the consolidated balance sheets.</w:t>
      </w:r>
    </w:p>
    <w:p>
      <w:pPr>
        <w:spacing w:after="0" w:line="183"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holds certain investments in equity securities without readily determinable fair values. When an upward or downward adjustment occurs, the resulting gains or losses are included in other non-operating income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on a Non-Recurring Basis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non-financial assets are assessed for impairment. If impaired, the carrying values of the assets are written down to fair value using Level 3 inputs.</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Company’s trade name has an indefinite life. The Company performs its annual impairment test during the fourth quarter of each fiscal year, or more frequently when warranted by events or changes in circumstances. During the first quarter of fiscal 2024, due to declines in the Company's share price, the Company performed an interim impairment test of its goodwill and indefinite-lived trade name. Refer to Note 3 for further discussion of the results of interim impairment testing performed on the Company’s goodwill.</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Company’s trade name was estimated by management using the relief from royalty valuation method, which estimates the hypothetical royalties that would have to be paid if the trade name was not owned. The fair value of the Company's trade name reflected the Company's most recent revenue projections, a discount rate of 14.2% and a terminal growth rate of 3%. The Company concluded that the fair value of its trade name exceeded its carrying value, and therefore no trade name impairment charge was recorded during the first quarter of fiscal 2024. The Company's trade name fair value measurement is classified as Level 3 in the fair value hierarchy because it involves significant unobservable inputs.</w:t>
      </w:r>
    </w:p>
    <w:p>
      <w:pPr>
        <w:spacing w:after="0" w:line="75"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There were no triggering events identified and no indications of impairment of the Company’s goodwill, indefinite-lived trade name, other intangible assets or equity and other investments during the thirteen week period ended May 3, 2025. There were no indications of impairment of the Company’s other intangible assets or equity and other investments during the thirteen week period ended May 4, 2024. During the thirteen week periods ended May 3, 2025 and May 4, 2024, the Company recorded fixed asset and right-of-use asset impairment charges of $0.6 million and $3.5 million, respectively.</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Equity-based compensation awards under the Company’s current equity incentive plan (as amended, the “2021 Equity Incentive Plan”) include restricted stock units (“RSUs,” which include performance-based stock units and market-based stock units), restricted stock awards (“RSAs”), non-qualified stock options, and other equity compensation awards. In addition, the Company has made equity-based compensation awards of RSUs and non-qualified stock options outside of the 2021 Equity Incentive Plan as employment inducement awards (collectively, the “Inducement Awards”). The Company also has an employee stock purchase plan (“ESPP”).</w:t>
      </w:r>
    </w:p>
    <w:p>
      <w:pPr>
        <w:spacing w:after="0" w:line="183"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equity-based compensation expense by award type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3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420" w:type="dxa"/>
            <w:vAlign w:val="bottom"/>
          </w:tcPr>
          <w:p>
            <w:pPr>
              <w:jc w:val="right"/>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40" w:type="dxa"/>
            <w:vAlign w:val="bottom"/>
          </w:tcPr>
          <w:p>
            <w:pPr>
              <w:jc w:val="right"/>
              <w:ind w:right="756"/>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r>
      <w:tr>
        <w:trPr>
          <w:trHeight w:val="173"/>
        </w:trPr>
        <w:tc>
          <w:tcPr>
            <w:tcW w:w="43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RSAs</w:t>
            </w:r>
          </w:p>
        </w:tc>
        <w:tc>
          <w:tcPr>
            <w:tcW w:w="3660" w:type="dxa"/>
            <w:vAlign w:val="bottom"/>
            <w:gridSpan w:val="2"/>
            <w:shd w:val="clear" w:color="auto" w:fill="CFF0FC"/>
          </w:tcPr>
          <w:p>
            <w:pPr>
              <w:jc w:val="right"/>
              <w:ind w:right="124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2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tcPr>
          <w:p>
            <w:pPr>
              <w:spacing w:after="0"/>
              <w:rPr>
                <w:sz w:val="18"/>
                <w:szCs w:val="18"/>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2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awards</w:t>
            </w:r>
          </w:p>
        </w:tc>
        <w:tc>
          <w:tcPr>
            <w:tcW w:w="2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2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24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2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00" w:type="dxa"/>
            <w:vAlign w:val="bottom"/>
            <w:shd w:val="clear" w:color="auto" w:fill="CFF0FC"/>
          </w:tcPr>
          <w:p>
            <w:pPr>
              <w:spacing w:after="0"/>
              <w:rPr>
                <w:sz w:val="21"/>
                <w:szCs w:val="21"/>
                <w:color w:val="auto"/>
              </w:rPr>
            </w:pPr>
          </w:p>
        </w:tc>
      </w:tr>
      <w:tr>
        <w:trPr>
          <w:trHeight w:val="628"/>
        </w:trPr>
        <w:tc>
          <w:tcPr>
            <w:tcW w:w="4340" w:type="dxa"/>
            <w:vAlign w:val="bottom"/>
            <w:tcBorders>
              <w:top w:val="single" w:sz="8" w:color="CFF0FC"/>
            </w:tcBorders>
          </w:tcPr>
          <w:p>
            <w:pPr>
              <w:spacing w:after="0"/>
              <w:rPr>
                <w:sz w:val="24"/>
                <w:szCs w:val="24"/>
                <w:color w:val="auto"/>
              </w:rPr>
            </w:pPr>
          </w:p>
        </w:tc>
        <w:tc>
          <w:tcPr>
            <w:tcW w:w="2240" w:type="dxa"/>
            <w:vAlign w:val="bottom"/>
            <w:tcBorders>
              <w:top w:val="single" w:sz="8" w:color="CFF0FC"/>
            </w:tcBorders>
          </w:tcPr>
          <w:p>
            <w:pPr>
              <w:jc w:val="right"/>
              <w:ind w:right="770"/>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-933450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-916940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Activity under the 2021 Equity Incentive Plan and the Inducement Awards was as follows (shares and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RSUs and RSAs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Nonvested/outstanding, February 1, 2025</w:t>
            </w: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delivered/exercised</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Nonvested/outstanding, May 3, 2025</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23,830</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7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Unrecognized compensation expense as of May 3, 2025</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58,766</w:t>
            </w:r>
          </w:p>
        </w:tc>
        <w:tc>
          <w:tcPr>
            <w:tcW w:w="180" w:type="dxa"/>
            <w:vAlign w:val="bottom"/>
          </w:tcPr>
          <w:p>
            <w:pPr>
              <w:spacing w:after="0"/>
              <w:rPr>
                <w:sz w:val="17"/>
                <w:szCs w:val="17"/>
                <w:color w:val="auto"/>
              </w:rPr>
            </w:pPr>
          </w:p>
        </w:tc>
        <w:tc>
          <w:tcPr>
            <w:tcW w:w="4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13,325</w:t>
            </w:r>
          </w:p>
        </w:tc>
        <w:tc>
          <w:tcPr>
            <w:tcW w:w="120" w:type="dxa"/>
            <w:vAlign w:val="bottom"/>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expense period as of May 3, 2025</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 years</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-299720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-281940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Series C Unit activity under the 2016 Incentive Plan was as follows (in thousands):</w:t>
      </w:r>
    </w:p>
    <w:p>
      <w:pPr>
        <w:spacing w:after="0" w:line="246"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09"/>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February 1, 2025</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192,835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(409)</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May 3, 2025</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192,426</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May 3, 2025</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190,382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-334010</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51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No additional Series C Units have been or will be awarded following the Company’s initial public offering. As of May 3, 2025, unrecognized compensation expense related to the unvested portion of Scooby LP’s Series C Units was $0.1 million, which is expected to be recognized over a weighted average period of 0.3 years. In addition to acceleration upon a change in control, a portion of grantees’ Series C Units may vest upon certain levels of direct or indirect sales by Scooby LP of the Company’s Class A common stock, and all unvested Series C Units will fully accelerate in the event Scooby LP sells 90% of its direct or indirect holdings of the Company’s Class A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 options and the ESPP) and the associated unrecognized compensation expense is greater than the average market price of Class A common shares because the inclusion of these securities would be anti-dilutive.</w:t>
      </w:r>
    </w:p>
    <w:p>
      <w:pPr>
        <w:spacing w:after="0" w:line="180" w:lineRule="exact"/>
        <w:rPr>
          <w:sz w:val="20"/>
          <w:szCs w:val="20"/>
          <w:color w:val="auto"/>
        </w:rPr>
      </w:pPr>
    </w:p>
    <w:p>
      <w:pPr>
        <w:ind w:right="360" w:firstLine="450"/>
        <w:spacing w:after="0" w:line="292" w:lineRule="auto"/>
        <w:rPr>
          <w:sz w:val="20"/>
          <w:szCs w:val="20"/>
          <w:color w:val="auto"/>
        </w:rPr>
      </w:pPr>
      <w:r>
        <w:rPr>
          <w:rFonts w:ascii="Times New Roman" w:cs="Times New Roman" w:eastAsia="Times New Roman" w:hAnsi="Times New Roman"/>
          <w:sz w:val="18"/>
          <w:szCs w:val="18"/>
          <w:color w:val="auto"/>
        </w:rPr>
        <w:t>All outstanding equity awards were excluded from the calculation of diluted loss per Class A and B-1 common share in the thirteen weeks ended May 3, 2025 and May 4, 2024, as their effect would be antidilutive in a net loss period</w:t>
      </w:r>
      <w:r>
        <w:rPr>
          <w:rFonts w:ascii="Arial" w:cs="Arial" w:eastAsia="Arial" w:hAnsi="Arial"/>
          <w:sz w:val="19"/>
          <w:szCs w:val="19"/>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9" w:lineRule="exact"/>
        <w:rPr>
          <w:sz w:val="20"/>
          <w:szCs w:val="20"/>
          <w:color w:val="auto"/>
        </w:rPr>
      </w:pPr>
    </w:p>
    <w:p>
      <w:pPr>
        <w:ind w:right="220" w:firstLine="612"/>
        <w:spacing w:after="0" w:line="261"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 w:name="page15"/>
    <w:bookmarkEnd w:id="14"/>
    <w:p>
      <w:pPr>
        <w:ind w:right="20"/>
        <w:spacing w:after="0" w:line="261" w:lineRule="auto"/>
        <w:rPr>
          <w:sz w:val="20"/>
          <w:szCs w:val="20"/>
          <w:color w:val="auto"/>
        </w:rPr>
      </w:pPr>
      <w:r>
        <w:rPr>
          <w:rFonts w:ascii="Times New Roman" w:cs="Times New Roman" w:eastAsia="Times New Roman" w:hAnsi="Times New Roman"/>
          <w:sz w:val="18"/>
          <w:szCs w:val="18"/>
          <w:color w:val="auto"/>
        </w:rPr>
        <w:t>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Reportable Segment</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has one reportable segment managed on a consolidated basis. The measure of segment profit or loss is consolidated net income (loss) that is reported on the consolidated statement of operations. The measure of segment assets is reported on the consolidated balance sheet as total assets.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represents segment information for the Company’s single operating segment, for the periods presented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900" w:type="dxa"/>
            <w:vAlign w:val="bottom"/>
          </w:tcPr>
          <w:p>
            <w:pPr>
              <w:spacing w:after="0"/>
              <w:rPr>
                <w:sz w:val="10"/>
                <w:szCs w:val="10"/>
                <w:color w:val="auto"/>
              </w:rPr>
            </w:pPr>
          </w:p>
        </w:tc>
        <w:tc>
          <w:tcPr>
            <w:tcW w:w="1560" w:type="dxa"/>
            <w:vAlign w:val="bottom"/>
          </w:tcPr>
          <w:p>
            <w:pPr>
              <w:jc w:val="right"/>
              <w:ind w:right="63"/>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00" w:type="dxa"/>
            <w:vAlign w:val="bottom"/>
          </w:tcPr>
          <w:p>
            <w:pPr>
              <w:jc w:val="right"/>
              <w:ind w:right="913"/>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r>
      <w:tr>
        <w:trPr>
          <w:trHeight w:val="173"/>
        </w:trPr>
        <w:tc>
          <w:tcPr>
            <w:tcW w:w="5900" w:type="dxa"/>
            <w:vAlign w:val="bottom"/>
          </w:tcPr>
          <w:p>
            <w:pPr>
              <w:spacing w:after="0"/>
              <w:rPr>
                <w:sz w:val="15"/>
                <w:szCs w:val="15"/>
                <w:color w:val="auto"/>
              </w:rPr>
            </w:pPr>
          </w:p>
        </w:tc>
        <w:tc>
          <w:tcPr>
            <w:tcW w:w="15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560" w:type="dxa"/>
            <w:vAlign w:val="bottom"/>
            <w:shd w:val="clear" w:color="auto" w:fill="CFF0FC"/>
          </w:tcPr>
          <w:p>
            <w:pPr>
              <w:jc w:val="right"/>
              <w:ind w:right="140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1,493,399</w:t>
            </w: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1,529,140</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1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5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(923,431)</w:t>
            </w:r>
          </w:p>
        </w:tc>
        <w:tc>
          <w:tcPr>
            <w:tcW w:w="7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(950,480)</w:t>
            </w:r>
          </w:p>
        </w:tc>
      </w:tr>
      <w:tr>
        <w:trPr>
          <w:trHeight w:val="198"/>
        </w:trPr>
        <w:tc>
          <w:tcPr>
            <w:tcW w:w="59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Advertising and marketing</w:t>
            </w:r>
          </w:p>
        </w:tc>
        <w:tc>
          <w:tcPr>
            <w:tcW w:w="1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156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(35,446)</w:t>
            </w:r>
          </w:p>
        </w:tc>
        <w:tc>
          <w:tcPr>
            <w:tcW w:w="72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(42,607)</w:t>
            </w:r>
          </w:p>
        </w:tc>
      </w:tr>
      <w:tr>
        <w:trPr>
          <w:trHeight w:val="198"/>
        </w:trPr>
        <w:tc>
          <w:tcPr>
            <w:tcW w:w="590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Stock compensation - general and</w:t>
            </w:r>
          </w:p>
        </w:tc>
        <w:tc>
          <w:tcPr>
            <w:tcW w:w="15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administrative</w:t>
            </w:r>
          </w:p>
        </w:tc>
        <w:tc>
          <w:tcPr>
            <w:tcW w:w="15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(9,323)</w:t>
            </w:r>
          </w:p>
        </w:tc>
        <w:tc>
          <w:tcPr>
            <w:tcW w:w="72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(17,434)</w:t>
            </w:r>
          </w:p>
        </w:tc>
      </w:tr>
      <w:tr>
        <w:trPr>
          <w:trHeight w:val="198"/>
        </w:trPr>
        <w:tc>
          <w:tcPr>
            <w:tcW w:w="59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general and</w:t>
            </w:r>
          </w:p>
        </w:tc>
        <w:tc>
          <w:tcPr>
            <w:tcW w:w="1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administrative expenses (1)</w:t>
            </w:r>
          </w:p>
        </w:tc>
        <w:tc>
          <w:tcPr>
            <w:tcW w:w="156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(508,840)</w:t>
            </w:r>
          </w:p>
        </w:tc>
        <w:tc>
          <w:tcPr>
            <w:tcW w:w="72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(535,401)</w:t>
            </w:r>
          </w:p>
        </w:tc>
      </w:tr>
      <w:tr>
        <w:trPr>
          <w:trHeight w:val="216"/>
        </w:trPr>
        <w:tc>
          <w:tcPr>
            <w:tcW w:w="5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(33,494)</w:t>
            </w:r>
          </w:p>
        </w:tc>
        <w:tc>
          <w:tcPr>
            <w:tcW w:w="72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(36,817)</w:t>
            </w:r>
          </w:p>
        </w:tc>
      </w:tr>
      <w:tr>
        <w:trPr>
          <w:trHeight w:val="216"/>
        </w:trPr>
        <w:tc>
          <w:tcPr>
            <w:tcW w:w="5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non-operating loss</w:t>
            </w:r>
          </w:p>
        </w:tc>
        <w:tc>
          <w:tcPr>
            <w:tcW w:w="15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(2,665)</w:t>
            </w: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(495)</w:t>
            </w:r>
          </w:p>
        </w:tc>
        <w:tc>
          <w:tcPr>
            <w:tcW w:w="7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5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4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1560" w:type="dxa"/>
            <w:vAlign w:val="bottom"/>
          </w:tcPr>
          <w:p>
            <w:pPr>
              <w:jc w:val="right"/>
              <w:ind w:right="140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(11,661)</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(46,483)</w:t>
            </w:r>
          </w:p>
        </w:tc>
      </w:tr>
      <w:tr>
        <w:trPr>
          <w:trHeight w:val="20"/>
        </w:trPr>
        <w:tc>
          <w:tcPr>
            <w:tcW w:w="59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1020" w:right="36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&amp; administrative expenses include pet care center expenses, support center labor and occupancy costs, legal, accounting, information technology, and consulting costs, depreciation and amortization, as well as impairments, write-offs, and losses on the sale of fixed and other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February 1, 2025 (the “2024 Form 10-K”). The discussion and analysis below contains certain forward-looking statements about our business and operations that are subject to the risks, uncertainties, and other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 These risks, uncertainties, and other factors could cause our actual results to differ materially from those expressed in, or implied by, the forward-looking statements. The risks described in this Form 10-Q and in other documents we file from time to time with the U.S. Securities and Exchange Commission (the “SEC”), including the section entitled “Forward-Looking Statements” in this Form 10-Q, should be carefully reviewed. All amounts herein are unaudited.</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Petco Health and Wellness Company, Inc. (“Petco”, the “Company”, “we”, “our” and “us”) is a pet specialty retailer focused on improving the lives of pets, pet parents, and our own partners. Through our omnichannel ecosystem, we provide our customers with a comprehensive offering of products and services to fulfill all of their pets’ needs through our more than 1,500 pet care centers in the U.S., Mexico, and Puerto Rico, our digital channel, and our flexible fulfillment options.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multicategory strategy integrates our digital assets with our nationwide physical footprint to meet the needs of pet parents who are looking for a single source for all their pets’ needs. Petco.com, our e-commerce site, and the Petco app, our personalized mobile app, together serve as hubs for pet parents to book appointments and manage all of their pets’ needs, while enabling them to shop wherever, whenever, and however they want.</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strive to be a company that is improving millions of pet lives as well as the lives of pet parents and the partners who work for us. In tandem with Petco Love, an independent 501(c)(3) nonprofit organization, we work with and support thousands of local animal welfare groups across the country and, through these partnerships and in-store adoption events, we have helped find homes for approximately 7 million animals.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Macroeconomic factors, including interest rates, potential inflationary pressures, tariffs, and global economic and geopolitical developments have had varying impacts on our results of operations that are difficult to isolate and quantify. We cannot predict the duration or ultimate severity of these macroeconomic factors or the ultimate impact on our operations and liquidity. Please refer to the risk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6" w:name="page17"/>
    <w:bookmarkEnd w:id="16"/>
    <w:p>
      <w:pPr>
        <w:ind w:left="372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the following:</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Sales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Comparing the thirteen weeks ended May 3, 2025 with the thirteen weeks ended May 4, 2024 (unless otherwise noted), our results included the following:</w:t>
      </w:r>
    </w:p>
    <w:p>
      <w:pPr>
        <w:spacing w:after="0" w:line="54" w:lineRule="exact"/>
        <w:rPr>
          <w:sz w:val="20"/>
          <w:szCs w:val="20"/>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sales from $1.53 billion to $1.49 billion, representing a period-over-period decrease of 2.3%;</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$16.4 million, compared to an operating loss of $16.8 million in the prior year period;</w:t>
      </w:r>
    </w:p>
    <w:p>
      <w:pPr>
        <w:spacing w:after="0" w:line="117"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attributable to Class A and B-1 common stockholders of $11.7 million, compared to net loss attributable to Class A and B-1 common stockholders of $46.5 million in the prior year period; and</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Adjusted EBITDA from $75.6 million to $89.4 million.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results of operations and the percent of net sales of line items included in our consolidated statements of operations (dollars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gridSpan w:val="9"/>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43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Products</w:t>
            </w:r>
          </w:p>
        </w:tc>
        <w:tc>
          <w:tcPr>
            <w:tcW w:w="3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1,241,891</w:t>
            </w:r>
          </w:p>
        </w:tc>
        <w:tc>
          <w:tcPr>
            <w:tcW w:w="100" w:type="dxa"/>
            <w:vAlign w:val="bottom"/>
          </w:tcPr>
          <w:p>
            <w:pPr>
              <w:spacing w:after="0"/>
              <w:rPr>
                <w:sz w:val="18"/>
                <w:szCs w:val="18"/>
                <w:color w:val="auto"/>
              </w:rPr>
            </w:pPr>
          </w:p>
        </w:tc>
        <w:tc>
          <w:tcPr>
            <w:tcW w:w="5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1,279,731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Services and other</w:t>
            </w:r>
          </w:p>
        </w:tc>
        <w:tc>
          <w:tcPr>
            <w:tcW w:w="29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251,508</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249,409</w:t>
            </w:r>
          </w:p>
        </w:tc>
        <w:tc>
          <w:tcPr>
            <w:tcW w:w="3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1,493,399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1,529,140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Products</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766,285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792,722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Services and other</w:t>
            </w:r>
          </w:p>
        </w:tc>
        <w:tc>
          <w:tcPr>
            <w:tcW w:w="29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157,146</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157,758</w:t>
            </w:r>
          </w:p>
        </w:tc>
        <w:tc>
          <w:tcPr>
            <w:tcW w:w="3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of sales</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923,431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950,480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Gross profit</w:t>
            </w:r>
          </w:p>
        </w:tc>
        <w:tc>
          <w:tcPr>
            <w:tcW w:w="2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569,968</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578,660</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9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553,609</w:t>
            </w:r>
          </w:p>
        </w:tc>
        <w:tc>
          <w:tcPr>
            <w:tcW w:w="10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595,442</w:t>
            </w: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income (loss)</w:t>
            </w:r>
          </w:p>
        </w:tc>
        <w:tc>
          <w:tcPr>
            <w:tcW w:w="2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16,359</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33,494</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36,817</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loss</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380" w:type="dxa"/>
            <w:vAlign w:val="bottom"/>
            <w:shd w:val="clear" w:color="auto" w:fill="CFF0FC"/>
          </w:tcPr>
          <w:p>
            <w:pPr>
              <w:ind w:left="280"/>
              <w:spacing w:after="0" w:line="191" w:lineRule="exact"/>
              <w:rPr>
                <w:sz w:val="20"/>
                <w:szCs w:val="20"/>
                <w:color w:val="auto"/>
              </w:rPr>
            </w:pPr>
            <w:r>
              <w:rPr>
                <w:rFonts w:ascii="Times New Roman" w:cs="Times New Roman" w:eastAsia="Times New Roman" w:hAnsi="Times New Roman"/>
                <w:sz w:val="18"/>
                <w:szCs w:val="18"/>
                <w:color w:val="auto"/>
              </w:rPr>
              <w:t>Loss before income taxes and income</w:t>
            </w:r>
          </w:p>
        </w:tc>
        <w:tc>
          <w:tcPr>
            <w:tcW w:w="2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2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(15,776)</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(55,846)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(4,477)</w:t>
            </w: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2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(4,610)</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191"/>
        </w:trPr>
        <w:tc>
          <w:tcPr>
            <w:tcW w:w="4380" w:type="dxa"/>
            <w:vAlign w:val="bottom"/>
            <w:tcBorders>
              <w:top w:val="single" w:sz="8" w:color="CFF0FC"/>
            </w:tcBorders>
          </w:tcPr>
          <w:p>
            <w:pPr>
              <w:ind w:left="280"/>
              <w:spacing w:after="0" w:line="191" w:lineRule="exact"/>
              <w:rPr>
                <w:sz w:val="20"/>
                <w:szCs w:val="20"/>
                <w:color w:val="auto"/>
              </w:rPr>
            </w:pPr>
            <w:r>
              <w:rPr>
                <w:rFonts w:ascii="Times New Roman" w:cs="Times New Roman" w:eastAsia="Times New Roman" w:hAnsi="Times New Roman"/>
                <w:sz w:val="18"/>
                <w:szCs w:val="18"/>
                <w:color w:val="auto"/>
              </w:rPr>
              <w:t>Net loss attributable to Class A and B-1</w:t>
            </w:r>
          </w:p>
        </w:tc>
        <w:tc>
          <w:tcPr>
            <w:tcW w:w="296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stockholders</w:t>
            </w:r>
          </w:p>
        </w:tc>
        <w:tc>
          <w:tcPr>
            <w:tcW w:w="3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(11,661)</w:t>
            </w:r>
          </w:p>
        </w:tc>
        <w:tc>
          <w:tcPr>
            <w:tcW w:w="5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(46,483)</w:t>
            </w:r>
          </w:p>
        </w:tc>
        <w:tc>
          <w:tcPr>
            <w:tcW w:w="0" w:type="dxa"/>
            <w:vAlign w:val="bottom"/>
          </w:tcPr>
          <w:p>
            <w:pPr>
              <w:spacing w:after="0"/>
              <w:rPr>
                <w:sz w:val="1"/>
                <w:szCs w:val="1"/>
                <w:color w:val="auto"/>
              </w:rPr>
            </w:pPr>
          </w:p>
        </w:tc>
      </w:tr>
      <w:tr>
        <w:trPr>
          <w:trHeight w:val="364"/>
        </w:trPr>
        <w:tc>
          <w:tcPr>
            <w:tcW w:w="4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3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3"/>
          </w:tcPr>
          <w:p>
            <w:pPr>
              <w:jc w:val="right"/>
              <w:ind w:right="900"/>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jc w:val="right"/>
              <w:ind w:right="472"/>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4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2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80" w:type="dxa"/>
            <w:vAlign w:val="bottom"/>
            <w:vMerge w:val="continue"/>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Products</w:t>
            </w:r>
          </w:p>
        </w:tc>
        <w:tc>
          <w:tcPr>
            <w:tcW w:w="2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Services and other</w:t>
            </w:r>
          </w:p>
        </w:tc>
        <w:tc>
          <w:tcPr>
            <w:tcW w:w="2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net sales</w:t>
            </w:r>
          </w:p>
        </w:tc>
        <w:tc>
          <w:tcPr>
            <w:tcW w:w="2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Products</w:t>
            </w:r>
          </w:p>
        </w:tc>
        <w:tc>
          <w:tcPr>
            <w:tcW w:w="2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Services and other</w:t>
            </w:r>
          </w:p>
        </w:tc>
        <w:tc>
          <w:tcPr>
            <w:tcW w:w="2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cost of sales</w:t>
            </w:r>
          </w:p>
        </w:tc>
        <w:tc>
          <w:tcPr>
            <w:tcW w:w="29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9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 (loss)</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non-operating loss</w:t>
            </w:r>
          </w:p>
        </w:tc>
        <w:tc>
          <w:tcPr>
            <w:tcW w:w="2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380" w:type="dxa"/>
            <w:vAlign w:val="bottom"/>
            <w:tcBorders>
              <w:top w:val="single" w:sz="8" w:color="CFF0FC"/>
            </w:tcBorders>
          </w:tcPr>
          <w:p>
            <w:pPr>
              <w:ind w:left="280"/>
              <w:spacing w:after="0" w:line="191" w:lineRule="exact"/>
              <w:rPr>
                <w:sz w:val="20"/>
                <w:szCs w:val="20"/>
                <w:color w:val="auto"/>
              </w:rPr>
            </w:pPr>
            <w:r>
              <w:rPr>
                <w:rFonts w:ascii="Times New Roman" w:cs="Times New Roman" w:eastAsia="Times New Roman" w:hAnsi="Times New Roman"/>
                <w:sz w:val="18"/>
                <w:szCs w:val="18"/>
                <w:color w:val="auto"/>
              </w:rPr>
              <w:t>Loss before income taxes and income</w:t>
            </w:r>
          </w:p>
        </w:tc>
        <w:tc>
          <w:tcPr>
            <w:tcW w:w="296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380" w:type="dxa"/>
            <w:vAlign w:val="bottom"/>
            <w:shd w:val="clear" w:color="auto" w:fill="CFF0FC"/>
          </w:tcPr>
          <w:p>
            <w:pPr>
              <w:ind w:left="280"/>
              <w:spacing w:after="0" w:line="191" w:lineRule="exact"/>
              <w:rPr>
                <w:sz w:val="20"/>
                <w:szCs w:val="20"/>
                <w:color w:val="auto"/>
              </w:rPr>
            </w:pPr>
            <w:r>
              <w:rPr>
                <w:rFonts w:ascii="Times New Roman" w:cs="Times New Roman" w:eastAsia="Times New Roman" w:hAnsi="Times New Roman"/>
                <w:sz w:val="18"/>
                <w:szCs w:val="18"/>
                <w:color w:val="auto"/>
              </w:rPr>
              <w:t>Net loss attributable to Class A and B-1</w:t>
            </w:r>
          </w:p>
        </w:tc>
        <w:tc>
          <w:tcPr>
            <w:tcW w:w="296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common stockholders</w:t>
            </w:r>
          </w:p>
        </w:tc>
        <w:tc>
          <w:tcPr>
            <w:tcW w:w="2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648"/>
        </w:trPr>
        <w:tc>
          <w:tcPr>
            <w:tcW w:w="4380" w:type="dxa"/>
            <w:vAlign w:val="bottom"/>
          </w:tcPr>
          <w:p>
            <w:pPr>
              <w:spacing w:after="0"/>
              <w:rPr>
                <w:sz w:val="24"/>
                <w:szCs w:val="24"/>
                <w:color w:val="auto"/>
              </w:rPr>
            </w:pPr>
          </w:p>
        </w:tc>
        <w:tc>
          <w:tcPr>
            <w:tcW w:w="29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-6522720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-6522720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-5965825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-5965825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-5537200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-5537200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-4422775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-4422775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-2588260</wp:posOffset>
            </wp:positionV>
            <wp:extent cx="1460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-2588260</wp:posOffset>
            </wp:positionV>
            <wp:extent cx="1454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-1748155</wp:posOffset>
            </wp:positionV>
            <wp:extent cx="1460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-1748155</wp:posOffset>
            </wp:positionV>
            <wp:extent cx="1454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59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0" w:type="dxa"/>
            <w:vAlign w:val="bottom"/>
          </w:tcPr>
          <w:p>
            <w:pPr>
              <w:jc w:val="center"/>
              <w:ind w:left="473"/>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jc w:val="right"/>
              <w:ind w:right="498"/>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220" w:type="dxa"/>
            <w:vAlign w:val="bottom"/>
          </w:tcPr>
          <w:p>
            <w:pPr>
              <w:spacing w:after="0"/>
              <w:rPr>
                <w:sz w:val="10"/>
                <w:szCs w:val="10"/>
                <w:color w:val="auto"/>
              </w:rPr>
            </w:pPr>
          </w:p>
        </w:tc>
      </w:tr>
      <w:tr>
        <w:trPr>
          <w:trHeight w:val="173"/>
        </w:trPr>
        <w:tc>
          <w:tcPr>
            <w:tcW w:w="5980" w:type="dxa"/>
            <w:vAlign w:val="bottom"/>
          </w:tcPr>
          <w:p>
            <w:pPr>
              <w:spacing w:after="0"/>
              <w:rPr>
                <w:sz w:val="15"/>
                <w:szCs w:val="15"/>
                <w:color w:val="auto"/>
              </w:rPr>
            </w:pPr>
          </w:p>
        </w:tc>
        <w:tc>
          <w:tcPr>
            <w:tcW w:w="254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20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Operational Data:</w:t>
            </w:r>
          </w:p>
        </w:tc>
        <w:tc>
          <w:tcPr>
            <w:tcW w:w="154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Comparable sales change</w:t>
            </w: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pet care centers (U.S. and Puerto Rico) at end of period</w:t>
            </w:r>
          </w:p>
        </w:tc>
        <w:tc>
          <w:tcPr>
            <w:tcW w:w="1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shd w:val="clear" w:color="auto" w:fill="CFF0FC"/>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(in thousands)</w:t>
            </w:r>
          </w:p>
        </w:tc>
        <w:tc>
          <w:tcPr>
            <w:tcW w:w="2540" w:type="dxa"/>
            <w:vAlign w:val="bottom"/>
            <w:gridSpan w:val="2"/>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89,449</w:t>
            </w:r>
          </w:p>
        </w:tc>
        <w:tc>
          <w:tcPr>
            <w:tcW w:w="300" w:type="dxa"/>
            <w:vAlign w:val="bottom"/>
          </w:tcPr>
          <w:p>
            <w:pPr>
              <w:spacing w:after="0"/>
              <w:rPr>
                <w:sz w:val="20"/>
                <w:szCs w:val="20"/>
                <w:color w:val="auto"/>
              </w:rPr>
            </w:pP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75,644</w:t>
            </w:r>
          </w:p>
        </w:tc>
        <w:tc>
          <w:tcPr>
            <w:tcW w:w="220" w:type="dxa"/>
            <w:vAlign w:val="bottom"/>
          </w:tcPr>
          <w:p>
            <w:pPr>
              <w:spacing w:after="0"/>
              <w:rPr>
                <w:sz w:val="20"/>
                <w:szCs w:val="20"/>
                <w:color w:val="auto"/>
              </w:rPr>
            </w:pPr>
          </w:p>
        </w:tc>
      </w:tr>
    </w:tbl>
    <w:p>
      <w:pPr>
        <w:spacing w:after="0" w:line="324" w:lineRule="exact"/>
        <w:rPr>
          <w:sz w:val="20"/>
          <w:szCs w:val="20"/>
          <w:color w:val="auto"/>
        </w:rPr>
      </w:pPr>
    </w:p>
    <w:p>
      <w:pPr>
        <w:ind w:right="2220" w:firstLine="22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Thirteen Weeks Ended May 3, 2025 Compared with Thirteen Weeks Ended May 4, 2024 </w:t>
      </w:r>
      <w:r>
        <w:rPr>
          <w:rFonts w:ascii="Times New Roman" w:cs="Times New Roman" w:eastAsia="Times New Roman" w:hAnsi="Times New Roman"/>
          <w:sz w:val="18"/>
          <w:szCs w:val="18"/>
          <w:b w:val="1"/>
          <w:bCs w:val="1"/>
          <w:i w:val="1"/>
          <w:iCs w:val="1"/>
          <w:color w:val="auto"/>
        </w:rPr>
        <w:t>Net Sales and Comparable Sales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4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jc w:val="right"/>
              <w:ind w:right="517"/>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right"/>
              <w:ind w:right="51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820" w:type="dxa"/>
            <w:vAlign w:val="bottom"/>
          </w:tcPr>
          <w:p>
            <w:pPr>
              <w:jc w:val="right"/>
              <w:ind w:right="27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r>
      <w:tr>
        <w:trPr>
          <w:trHeight w:val="173"/>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Consumables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748,070</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763,974</w:t>
            </w: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(15,904)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493,821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515,757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(21,936)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251,508</w:t>
            </w: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249,409</w:t>
            </w:r>
          </w:p>
        </w:tc>
        <w:tc>
          <w:tcPr>
            <w:tcW w:w="2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3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1,493,399</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1,529,140</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(35,741)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4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sales decreased $35.7 million, or 2.3%, to $1.49 billion in the thirteen weeks ended May 3, 2025 compared to net sales of $1.53 billion in the thirteen weeks ended May 4, 2024. The sales decrease primarily reflects lower transaction volume and a lower pet care center count, as well as a greater focus on profitability and margin. We continue to experience momentum in services, driven in part by our strategic investments in customer acquisition and retention, as well as efforts to optimize our existing veterinary hospital footprint.</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unable to quantify certain factors impacting sales described above due to the fact that such factors are based on input measures or qualitative information that do not lend themselves to quantification.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a percentage of net sales, our gross profit rate was 38.2% for the thirteen weeks ended May 3, 2025 compared with 37.8% for the thirteen weeks ended May 4, 2024. The increase was primarily due to improved utilization of our services footprint, effective inventory management, supply chain optimization efforts, and channel mix impacts. We are unable to quantify the factors impacting gross profit rate described above due to the fact that such factors are based on input measures or qualitative information that do not lend themselves to quantification.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As a percentage of net sales, SG&amp;A expenses were 37.1% for the thirteen weeks ended May 3, 2025 compared with 38.9% for the thirteen weeks ended May 4, 2024. The decrease in SG&amp;A expenses period-over-period included lower payroll and other compensation costs, advertising expenses, and store occupancy costs. In addition, the Company incurred disposition costs relating to its Pupbox business during the thirteen weeks ended May 4,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Interest expense decreased $3.3 million, or 9.0%, to $33.5 million in the thirteen weeks ended May 3, 2025 compared with $36.8 million in the thirteen weeks ended May 4, 2024. The decrease was primarily driven by lower interest rates on the First Lien Term Loan during the thirteen weeks ended May 3, 2025. For more information refer to Note 4,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Loss</w:t>
      </w:r>
    </w:p>
    <w:p>
      <w:pPr>
        <w:spacing w:after="0" w:line="229" w:lineRule="exact"/>
        <w:rPr>
          <w:sz w:val="20"/>
          <w:szCs w:val="20"/>
          <w:color w:val="auto"/>
        </w:rPr>
      </w:pPr>
    </w:p>
    <w:p>
      <w:pPr>
        <w:ind w:right="440" w:firstLine="554"/>
        <w:spacing w:after="0" w:line="266" w:lineRule="auto"/>
        <w:rPr>
          <w:sz w:val="20"/>
          <w:szCs w:val="20"/>
          <w:color w:val="auto"/>
        </w:rPr>
      </w:pPr>
      <w:r>
        <w:rPr>
          <w:rFonts w:ascii="Times New Roman" w:cs="Times New Roman" w:eastAsia="Times New Roman" w:hAnsi="Times New Roman"/>
          <w:sz w:val="18"/>
          <w:szCs w:val="18"/>
          <w:color w:val="auto"/>
        </w:rPr>
        <w:t xml:space="preserve">There was no other non-operating income or loss recognized during the thirteen weeks ended May 3, 2025. Other non-operating loss was $2.7 million for the thirteen weeks ended May 4, 2024. For more information, refer to Note 6,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effective tax rate was (4.5%) resulting in income tax expense of $0.5 million for the thirteen weeks ended May 3, 2025, compared to an effective tax rate of 9.1% resulting in income tax benefit of $4.5 million for the thirteen weeks ended May 4, 2024. The change in effective tax rate for the thirteen weeks ended May 3, 2025 is primarily driven by a reduction of equity-based compensation not expected to be deductible for tax purposes, along with a change in pre-tax earnings.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Adjusted EBITDA is not a substitute for net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 Refer to Part II, Item 7, “Management’s Discussion and Analysis of Financial Condition and Results of Operations— Reconciliation of Non-GAAP Financial Measures to GAAP Measures” included in the 2024 Form 10-K for more information regarding how we define Adjusted EBITDA.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Adjusted EBITDA and Adjusted EBITDA Margin for the periods presented: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7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gridSpan w:val="2"/>
          </w:tcPr>
          <w:p>
            <w:pPr>
              <w:jc w:val="right"/>
              <w:ind w:right="880"/>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jc w:val="right"/>
              <w:ind w:right="492"/>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220" w:type="dxa"/>
            <w:vAlign w:val="bottom"/>
          </w:tcPr>
          <w:p>
            <w:pPr>
              <w:spacing w:after="0"/>
              <w:rPr>
                <w:sz w:val="10"/>
                <w:szCs w:val="10"/>
                <w:color w:val="auto"/>
              </w:rPr>
            </w:pPr>
          </w:p>
        </w:tc>
      </w:tr>
      <w:tr>
        <w:trPr>
          <w:trHeight w:val="173"/>
        </w:trPr>
        <w:tc>
          <w:tcPr>
            <w:tcW w:w="7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191"/>
        </w:trPr>
        <w:tc>
          <w:tcPr>
            <w:tcW w:w="7520" w:type="dxa"/>
            <w:vAlign w:val="bottom"/>
            <w:shd w:val="clear" w:color="auto" w:fill="CFF0FC"/>
          </w:tcPr>
          <w:p>
            <w:pPr>
              <w:ind w:left="140"/>
              <w:spacing w:after="0" w:line="191" w:lineRule="exact"/>
              <w:rPr>
                <w:sz w:val="20"/>
                <w:szCs w:val="20"/>
                <w:color w:val="auto"/>
              </w:rPr>
            </w:pPr>
            <w:r>
              <w:rPr>
                <w:rFonts w:ascii="Times New Roman" w:cs="Times New Roman" w:eastAsia="Times New Roman" w:hAnsi="Times New Roman"/>
                <w:sz w:val="18"/>
                <w:szCs w:val="18"/>
                <w:color w:val="auto"/>
              </w:rPr>
              <w:t>Net loss attributable to Class A and B-1</w:t>
            </w: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r>
      <w:tr>
        <w:trPr>
          <w:trHeight w:val="234"/>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common stockholders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(11,661)</w:t>
            </w:r>
          </w:p>
        </w:tc>
        <w:tc>
          <w:tcPr>
            <w:tcW w:w="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(46,483)</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36,399</w:t>
            </w:r>
          </w:p>
        </w:tc>
        <w:tc>
          <w:tcPr>
            <w:tcW w:w="22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(4,477)</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49,587</w:t>
            </w:r>
          </w:p>
        </w:tc>
        <w:tc>
          <w:tcPr>
            <w:tcW w:w="22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3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(4,610)</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(4,886)</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impairments and write offs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2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22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non-operating loss</w:t>
            </w:r>
          </w:p>
        </w:tc>
        <w:tc>
          <w:tcPr>
            <w:tcW w:w="32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2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Mexico joint venture EBITDA (1)</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22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divestiture-related costs (2)</w:t>
            </w:r>
          </w:p>
        </w:tc>
        <w:tc>
          <w:tcPr>
            <w:tcW w:w="32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2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costs (3)</w:t>
            </w: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89,449</w:t>
            </w:r>
          </w:p>
        </w:tc>
        <w:tc>
          <w:tcPr>
            <w:tcW w:w="300" w:type="dxa"/>
            <w:vAlign w:val="bottom"/>
          </w:tcPr>
          <w:p>
            <w:pPr>
              <w:spacing w:after="0"/>
              <w:rPr>
                <w:sz w:val="18"/>
                <w:szCs w:val="18"/>
                <w:color w:val="auto"/>
              </w:rPr>
            </w:pP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75,644</w:t>
            </w:r>
          </w:p>
        </w:tc>
        <w:tc>
          <w:tcPr>
            <w:tcW w:w="22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752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1,493,399</w:t>
            </w:r>
          </w:p>
        </w:tc>
        <w:tc>
          <w:tcPr>
            <w:tcW w:w="3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1,529,140</w:t>
            </w:r>
          </w:p>
        </w:tc>
        <w:tc>
          <w:tcPr>
            <w:tcW w:w="220" w:type="dxa"/>
            <w:vAlign w:val="bottom"/>
            <w:shd w:val="clear" w:color="auto" w:fill="CFF0FC"/>
          </w:tcPr>
          <w:p>
            <w:pPr>
              <w:spacing w:after="0"/>
              <w:rPr>
                <w:sz w:val="17"/>
                <w:szCs w:val="17"/>
                <w:color w:val="auto"/>
              </w:rPr>
            </w:pPr>
          </w:p>
        </w:tc>
      </w:tr>
      <w:tr>
        <w:trPr>
          <w:trHeight w:val="198"/>
        </w:trPr>
        <w:tc>
          <w:tcPr>
            <w:tcW w:w="752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Net margin (4)</w:t>
            </w:r>
          </w:p>
        </w:tc>
        <w:tc>
          <w:tcPr>
            <w:tcW w:w="320" w:type="dxa"/>
            <w:vAlign w:val="bottom"/>
          </w:tcPr>
          <w:p>
            <w:pPr>
              <w:spacing w:after="0"/>
              <w:rPr>
                <w:sz w:val="17"/>
                <w:szCs w:val="17"/>
                <w:color w:val="auto"/>
              </w:rPr>
            </w:pPr>
          </w:p>
        </w:tc>
        <w:tc>
          <w:tcPr>
            <w:tcW w:w="15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(3.0)%</w:t>
            </w:r>
          </w:p>
        </w:tc>
      </w:tr>
      <w:tr>
        <w:trPr>
          <w:trHeight w:val="228"/>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Adjusted EBITDA Margin</w:t>
            </w:r>
          </w:p>
        </w:tc>
        <w:tc>
          <w:tcPr>
            <w:tcW w:w="3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-577850</wp:posOffset>
            </wp:positionV>
            <wp:extent cx="1460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-577850</wp:posOffset>
            </wp:positionV>
            <wp:extent cx="1454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w:t>
      </w:r>
    </w:p>
    <w:p>
      <w:pPr>
        <w:spacing w:after="0" w:line="80" w:lineRule="exact"/>
        <w:rPr>
          <w:sz w:val="20"/>
          <w:szCs w:val="20"/>
          <w:color w:val="auto"/>
        </w:rPr>
      </w:pPr>
    </w:p>
    <w:p>
      <w:pPr>
        <w:ind w:left="1020" w:right="120" w:hanging="503"/>
        <w:spacing w:after="0" w:line="236"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7700" w:type="dxa"/>
            <w:vAlign w:val="bottom"/>
          </w:tcPr>
          <w:p>
            <w:pPr>
              <w:spacing w:after="0"/>
              <w:rPr>
                <w:sz w:val="10"/>
                <w:szCs w:val="10"/>
                <w:color w:val="auto"/>
              </w:rPr>
            </w:pPr>
          </w:p>
        </w:tc>
        <w:tc>
          <w:tcPr>
            <w:tcW w:w="10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jc w:val="right"/>
              <w:ind w:right="495"/>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20" w:type="dxa"/>
            <w:vAlign w:val="bottom"/>
          </w:tcPr>
          <w:p>
            <w:pPr>
              <w:spacing w:after="0"/>
              <w:rPr>
                <w:sz w:val="10"/>
                <w:szCs w:val="10"/>
                <w:color w:val="auto"/>
              </w:rPr>
            </w:pPr>
          </w:p>
        </w:tc>
      </w:tr>
      <w:tr>
        <w:trPr>
          <w:trHeight w:val="173"/>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1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9,555</w:t>
            </w: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6,948</w:t>
            </w: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3,456</w:t>
            </w: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w:t>
            </w:r>
          </w:p>
        </w:tc>
        <w:tc>
          <w:tcPr>
            <w:tcW w:w="180" w:type="dxa"/>
            <w:vAlign w:val="bottom"/>
          </w:tcPr>
          <w:p>
            <w:pPr>
              <w:spacing w:after="0"/>
              <w:rPr>
                <w:sz w:val="18"/>
                <w:szCs w:val="18"/>
                <w:color w:val="auto"/>
              </w:rPr>
            </w:pPr>
          </w:p>
        </w:tc>
        <w:tc>
          <w:tcPr>
            <w:tcW w:w="66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20,991</w:t>
            </w:r>
          </w:p>
        </w:tc>
      </w:tr>
      <w:tr>
        <w:trPr>
          <w:trHeight w:val="22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50% of EBITDA</w:t>
            </w:r>
          </w:p>
        </w:tc>
        <w:tc>
          <w:tcPr>
            <w:tcW w:w="1020" w:type="dxa"/>
            <w:vAlign w:val="bottom"/>
            <w:tcBorders>
              <w:top w:val="single" w:sz="8" w:color="auto"/>
            </w:tcBorders>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-302260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-302260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w:t>
      </w:r>
    </w:p>
    <w:p>
      <w:pPr>
        <w:spacing w:after="0" w:line="95" w:lineRule="exact"/>
        <w:rPr>
          <w:sz w:val="20"/>
          <w:szCs w:val="20"/>
          <w:color w:val="auto"/>
        </w:rPr>
      </w:pPr>
    </w:p>
    <w:p>
      <w:pPr>
        <w:ind w:left="1020" w:right="100" w:hanging="503"/>
        <w:spacing w:after="0" w:line="261"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and divestiture-related costs include direct costs resulting from acquiring, integrating, or divesting businesses. These include third-party professional and legal fees, losses on sales of divestitures, and other integration-related costs that would not have otherwise been incurred as part of the Company's operations.</w:t>
      </w:r>
    </w:p>
    <w:p>
      <w:pPr>
        <w:spacing w:after="0" w:line="54" w:lineRule="exact"/>
        <w:rPr>
          <w:rFonts w:ascii="Times New Roman" w:cs="Times New Roman" w:eastAsia="Times New Roman" w:hAnsi="Times New Roman"/>
          <w:sz w:val="14"/>
          <w:szCs w:val="14"/>
          <w:color w:val="auto"/>
        </w:rPr>
      </w:pPr>
    </w:p>
    <w:p>
      <w:pPr>
        <w:ind w:left="1020" w:right="120" w:hanging="503"/>
        <w:spacing w:after="0" w:line="261"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include, as incurred: restructuring costs and restructuring-related severance costs; legal reserves associated with significant, non-ordinary course legal or regulatory matters; and costs related to certain significant strategic transactions.</w:t>
      </w:r>
    </w:p>
    <w:p>
      <w:pPr>
        <w:spacing w:after="0" w:line="54" w:lineRule="exact"/>
        <w:rPr>
          <w:rFonts w:ascii="Times New Roman" w:cs="Times New Roman" w:eastAsia="Times New Roman" w:hAnsi="Times New Roman"/>
          <w:sz w:val="14"/>
          <w:szCs w:val="14"/>
          <w:color w:val="auto"/>
        </w:rPr>
      </w:pPr>
    </w:p>
    <w:p>
      <w:pPr>
        <w:ind w:left="1020" w:right="100" w:hanging="503"/>
        <w:spacing w:after="0" w:line="261"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net margin as net loss attributable to Class A and B-1 common stockholders divided by net sales and Adjusted EBITDA margin as Adjusted EBITDA divided by net sales.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Free Cash Flow for the periods presented: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700" w:type="dxa"/>
            <w:vAlign w:val="bottom"/>
          </w:tcPr>
          <w:p>
            <w:pPr>
              <w:spacing w:after="0"/>
              <w:rPr>
                <w:sz w:val="10"/>
                <w:szCs w:val="10"/>
                <w:color w:val="auto"/>
              </w:rPr>
            </w:pPr>
          </w:p>
        </w:tc>
        <w:tc>
          <w:tcPr>
            <w:tcW w:w="10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jc w:val="center"/>
              <w:ind w:right="478"/>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(15,454)</w:t>
            </w:r>
          </w:p>
        </w:tc>
        <w:tc>
          <w:tcPr>
            <w:tcW w:w="6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(8,414)</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fixed assets</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(28,412)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(32,641)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Free Cash Flow</w:t>
            </w:r>
          </w:p>
        </w:tc>
        <w:tc>
          <w:tcPr>
            <w:tcW w:w="100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(43,866)</w:t>
            </w:r>
          </w:p>
        </w:tc>
        <w:tc>
          <w:tcPr>
            <w:tcW w:w="6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(41,055)</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funds generated by operating activities and available capacity for borrowings on our $581.0 million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May 3, 2025 was $647.9 million, inclusive of cash and cash equivalents of $133.3 million and $514.6 million of availability on the ABL Revolving Credit Facility.</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a party to contractual obligations involving commitments to make payments to third parties. These obligations impact our short-term and long-term liquidity and capital resource needs.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ectPr>
          <w:pgSz w:w="11900" w:h="16838" w:orient="portrait"/>
          <w:cols w:equalWidth="0" w:num="1">
            <w:col w:w="11240"/>
          </w:cols>
          <w:pgMar w:left="320" w:top="1309" w:right="339" w:bottom="1440" w:gutter="0" w:footer="0" w:header="0"/>
        </w:sect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cash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decrease in cash, cash equivalents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and restricted cash</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257"/>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60" w:type="dxa"/>
            <w:vAlign w:val="bottom"/>
          </w:tcPr>
          <w:p>
            <w:pPr>
              <w:spacing w:after="0"/>
              <w:rPr>
                <w:sz w:val="10"/>
                <w:szCs w:val="10"/>
                <w:color w:val="auto"/>
              </w:rPr>
            </w:pPr>
          </w:p>
        </w:tc>
      </w:tr>
      <w:tr>
        <w:trPr>
          <w:trHeight w:val="173"/>
        </w:trPr>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40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(15,454)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(8,414)</w:t>
            </w:r>
          </w:p>
        </w:tc>
      </w:tr>
      <w:tr>
        <w:trPr>
          <w:trHeight w:val="216"/>
        </w:trPr>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(31,743)</w:t>
            </w:r>
          </w:p>
        </w:tc>
      </w:tr>
      <w:tr>
        <w:trPr>
          <w:trHeight w:val="234"/>
        </w:trPr>
        <w:tc>
          <w:tcPr>
            <w:tcW w:w="34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(5,628)</w:t>
            </w:r>
          </w:p>
        </w:tc>
      </w:tr>
      <w:tr>
        <w:trPr>
          <w:trHeight w:val="20"/>
        </w:trPr>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(42,921)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(45,785)</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56" w:lineRule="exact"/>
        <w:rPr>
          <w:sz w:val="20"/>
          <w:szCs w:val="20"/>
          <w:color w:val="auto"/>
        </w:rPr>
      </w:pPr>
    </w:p>
    <w:p>
      <w:pPr>
        <w:sectPr>
          <w:pgSz w:w="11900" w:h="16838" w:orient="portrait"/>
          <w:cols w:equalWidth="0" w:num="2">
            <w:col w:w="6980" w:space="720"/>
            <w:col w:w="3540"/>
          </w:cols>
          <w:pgMar w:left="320" w:top="1309" w:right="339" w:bottom="1440" w:gutter="0" w:footer="0" w:header="0"/>
          <w:type w:val="continuous"/>
        </w:sect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used in operating activities is impacted by our net loss adjusted for certain non-cash items, including: depreciation, amortization, impairments and write-offs; amortization of debt discounts and issuance costs; deferred income taxes; equity-based compensation; impairments of goodwill and intangible assets; other non-operating loss; and the effect of changes in operating assets and liabilities.</w:t>
      </w:r>
    </w:p>
    <w:p>
      <w:pPr>
        <w:spacing w:after="0" w:line="18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$15.5 million in the thirteen weeks ended May 3, 2025 compared with net cash used in operating activities of $8.4 million in the thirteen weeks ended May 4, 2024. The increase in net cash outflows was primarily driven by lower sales and higher payouts of prior year accrued incentive bonuses. This was partially offset by a decrease in inventory purchases and lower payroll and fringe benefits.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2" w:name="page23"/>
    <w:bookmarkEnd w:id="22"/>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ind w:right="80" w:firstLine="46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$27.1 million and $31.7 million for the thirteen weeks ended May 3, 2025 and May 4, 2024, respectively. This decrease was primarily driven by reductions in new pet care centers and hospitals.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$0.3 million for the thirteen weeks ended May 3, 2025, compared with $5.6 million used in financing activities in the thirteen weeks ended May 4, 2024. This decrease was primarily driven by less cash paid for tax withholdings on equity-based awards during the thirteen weeks ended May 3, 2025 and debt refinancing costs paid during the thirteen weeks ended May 4,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229" w:lineRule="exact"/>
        <w:rPr>
          <w:sz w:val="20"/>
          <w:szCs w:val="20"/>
          <w:color w:val="auto"/>
        </w:rPr>
      </w:pPr>
    </w:p>
    <w:p>
      <w:pPr>
        <w:ind w:right="140" w:firstLine="515"/>
        <w:spacing w:after="0" w:line="261" w:lineRule="auto"/>
        <w:rPr>
          <w:sz w:val="20"/>
          <w:szCs w:val="20"/>
          <w:color w:val="auto"/>
        </w:rPr>
      </w:pPr>
      <w:r>
        <w:rPr>
          <w:rFonts w:ascii="Times New Roman" w:cs="Times New Roman" w:eastAsia="Times New Roman" w:hAnsi="Times New Roman"/>
          <w:sz w:val="18"/>
          <w:szCs w:val="18"/>
          <w:color w:val="auto"/>
        </w:rPr>
        <w:t>The Company has a secured term loan facility maturing on March 4, 2028 (the “First Lien Term Loan”) and a secured asset-based revolving credit facility with availability of up to $581.0 million, subject to a borrowing base (as amended from time to time, the “ABL Revolving Credit Facility”). The first tranche of the ABL Revolving Credit Facility has availability of up to $35.0 million, subject to a borrowing base, maturing on March 4, 2026. The second tranche has availability of up to $546.0 million, subject to a borrowing base, maturing on March 29, 2029.</w:t>
      </w:r>
    </w:p>
    <w:p>
      <w:pPr>
        <w:spacing w:after="0" w:line="178" w:lineRule="exact"/>
        <w:rPr>
          <w:sz w:val="20"/>
          <w:szCs w:val="20"/>
          <w:color w:val="auto"/>
        </w:rPr>
      </w:pPr>
    </w:p>
    <w:p>
      <w:pPr>
        <w:ind w:right="560"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regarding this indebtedness, refer to Note 4,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entered into interest rate cap, collar and swap agreements to limit the maximum interest on a portion of the Company’s variable-rate debt and decrease its exposure to interest rate variability relating to three-month Term SOFR. For more information regarding derivative instruments,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7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the 2024 Form 10-K.</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20" w:firstLine="509"/>
        <w:spacing w:after="0" w:line="315" w:lineRule="auto"/>
        <w:rPr>
          <w:sz w:val="20"/>
          <w:szCs w:val="20"/>
          <w:color w:val="auto"/>
        </w:rPr>
      </w:pPr>
      <w:r>
        <w:rPr>
          <w:rFonts w:ascii="Times New Roman" w:cs="Times New Roman" w:eastAsia="Times New Roman" w:hAnsi="Times New Roman"/>
          <w:sz w:val="18"/>
          <w:szCs w:val="18"/>
          <w:color w:val="auto"/>
        </w:rPr>
        <w:t>Refer to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Notes to Consolidated Financial Statements included in Part I, Item 1 of this Form 10-Q for information regarding recently issued accounting pronouncements.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interest rate risk in connection with the First Lien Term Loan and the ABL Revolving Credit Facility. As of May 3, 2025, we had $1,595.3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May 3, 2025 would have increased gross annual cash interest in the aggregate by approximately $16.2 million. Additionally, we entered into cash flow hedges to limit the maximum interest rate on a portion of our variable-rate debt and limit our exposure to interest rate variability,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189"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May 3, 2025,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Substantially all of our business is currently conducted in U.S. dollars, with a small amount denominated in foreign currencies. Our expenses are generally denominated in the currencies of the jurisdictions in which we conduct our operations. Our results of current and future operations and cash flows are subject to fluctuations due to changes in foreign currency exchange rates. We do not enter into forward currency contracts to hedge our foreign currency exposure. A hypothetical 10% change in foreign currency exchange rates applicable to our business would not have a material effect on our operating results.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229" w:lineRule="exact"/>
        <w:rPr>
          <w:sz w:val="20"/>
          <w:szCs w:val="20"/>
          <w:color w:val="auto"/>
        </w:rPr>
      </w:pPr>
    </w:p>
    <w:p>
      <w:pPr>
        <w:jc w:val="both"/>
        <w:ind w:right="280" w:firstLine="46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0" w:lineRule="exact"/>
        <w:rPr>
          <w:sz w:val="20"/>
          <w:szCs w:val="20"/>
          <w:color w:val="auto"/>
        </w:rPr>
      </w:pPr>
    </w:p>
    <w:p>
      <w:pPr>
        <w:jc w:val="both"/>
        <w:ind w:right="80" w:firstLine="469"/>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May 3, 2025.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60" w:firstLine="469"/>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May 3, 2025, which has materially affected, or is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2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120" w:firstLine="562"/>
        <w:spacing w:after="0" w:line="284" w:lineRule="auto"/>
        <w:rPr>
          <w:sz w:val="20"/>
          <w:szCs w:val="20"/>
          <w:color w:val="auto"/>
        </w:rPr>
      </w:pPr>
      <w:r>
        <w:rPr>
          <w:rFonts w:ascii="Times New Roman" w:cs="Times New Roman" w:eastAsia="Times New Roman" w:hAnsi="Times New Roman"/>
          <w:sz w:val="18"/>
          <w:szCs w:val="18"/>
          <w:color w:val="auto"/>
        </w:rPr>
        <w:t>See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Notes to Consolidated Financial Statements included in Part I, Item 1 of this Form 10-Q for a description of legal proceedings,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right="160" w:firstLine="562"/>
        <w:spacing w:after="0" w:line="273" w:lineRule="auto"/>
        <w:rPr>
          <w:sz w:val="20"/>
          <w:szCs w:val="20"/>
          <w:color w:val="auto"/>
        </w:rPr>
      </w:pPr>
      <w:r>
        <w:rPr>
          <w:rFonts w:ascii="Times New Roman" w:cs="Times New Roman" w:eastAsia="Times New Roman" w:hAnsi="Times New Roman"/>
          <w:sz w:val="17"/>
          <w:szCs w:val="17"/>
          <w:color w:val="auto"/>
        </w:rPr>
        <w:t>Reference is made to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included in the 2024 Form 10-K for information concerning risk factors. There have been no material changes with respect to the risk factors disclosed in the 2024 Form 10-K. You should carefully consider such factors, which could materially and adversely affect our business, financial condition, and/or results of operations. The risks described in the 2024 Form 10-K are not the only risks we face.</w:t>
      </w:r>
    </w:p>
    <w:p>
      <w:pPr>
        <w:spacing w:after="0" w:line="1"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Additional risks and uncertainties not currently known to us or that we currently deem to be immaterial also may materially and adversely affect our business, financial condition, and/or results of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None of our directors or Section 16 officers adopted or terminated a Rule 10b5-1 trading arrangement (as defined in Item 408(a) of Regulation S-K) or a non-Rule 10b5-1 trading arrangement (as defined in Item 408(c) of Regulation S-K) during the quarterly period covered by this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300" w:type="dxa"/>
            <w:vAlign w:val="bottom"/>
            <w:gridSpan w:val="8"/>
            <w:vMerge w:val="restart"/>
          </w:tcPr>
          <w:p>
            <w:pPr>
              <w:ind w:left="3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30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1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Offer Letter, dated February 17, 2025, between Petco Health and Wellness Company, Inc. and Sabrina Simmons (incorporated by reference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to Exhibit 10.1 of the Company's Current Report on Form 8-K, filed on February 18, 2025)</w:t>
              </w:r>
            </w:hyperlink>
          </w:p>
        </w:tc>
        <w:tc>
          <w:tcPr>
            <w:tcW w:w="35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01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Transition and Separation Agreement and General Release of Claims, dated February 20, 2025, between Petco Animal Supplies Stores, Inc.</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and Brian LaRose (incorporated by reference to Exhibit 10.1 of the Company's Current Report on Form 8-K/A, filed on February 25, 2025)</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40" w:type="dxa"/>
            <w:vAlign w:val="bottom"/>
            <w:tcBorders>
              <w:right w:val="single" w:sz="8" w:color="0000EE"/>
            </w:tcBorders>
            <w:shd w:val="clear" w:color="auto" w:fill="0000FF"/>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9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40" w:type="dxa"/>
            <w:vAlign w:val="bottom"/>
            <w:tcBorders>
              <w:right w:val="single" w:sz="8" w:color="0000EE"/>
            </w:tcBorders>
            <w:shd w:val="clear" w:color="auto" w:fill="0000FF"/>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668"/>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24</w:t>
            </w:r>
          </w:p>
        </w:tc>
        <w:tc>
          <w:tcPr>
            <w:tcW w:w="1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8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160" w:type="dxa"/>
            <w:vAlign w:val="bottom"/>
            <w:gridSpan w:val="2"/>
          </w:tcPr>
          <w:p>
            <w:pPr>
              <w:spacing w:after="0" w:line="20" w:lineRule="exact"/>
              <w:rPr>
                <w:sz w:val="1"/>
                <w:szCs w:val="1"/>
                <w:color w:val="auto"/>
              </w:rPr>
            </w:pPr>
          </w:p>
        </w:tc>
      </w:tr>
      <w:tr>
        <w:trPr>
          <w:trHeight w:val="4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108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98" w:lineRule="exact"/>
        <w:rPr>
          <w:sz w:val="20"/>
          <w:szCs w:val="20"/>
          <w:color w:val="auto"/>
        </w:rPr>
      </w:pPr>
    </w:p>
    <w:p>
      <w:pPr>
        <w:ind w:left="1080" w:hanging="1072"/>
        <w:spacing w:after="0"/>
        <w:tabs>
          <w:tab w:leader="none" w:pos="10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19" w:lineRule="exact"/>
        <w:rPr>
          <w:rFonts w:ascii="Times New Roman" w:cs="Times New Roman" w:eastAsia="Times New Roman" w:hAnsi="Times New Roman"/>
          <w:sz w:val="18"/>
          <w:szCs w:val="18"/>
          <w:color w:val="auto"/>
        </w:rPr>
      </w:pPr>
    </w:p>
    <w:p>
      <w:pPr>
        <w:ind w:left="4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19030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4"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0" w:right="4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6, 2025</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Sabrina Simmons</w:t>
            </w:r>
          </w:p>
        </w:tc>
      </w:tr>
      <w:tr>
        <w:trPr>
          <w:trHeight w:val="191"/>
        </w:trPr>
        <w:tc>
          <w:tcPr>
            <w:tcW w:w="34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Sabrina Simmons</w:t>
            </w:r>
          </w:p>
        </w:tc>
      </w:tr>
      <w:tr>
        <w:trPr>
          <w:trHeight w:val="216"/>
        </w:trPr>
        <w:tc>
          <w:tcPr>
            <w:tcW w:w="34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D. Anderson, certify that:</w:t>
      </w:r>
    </w:p>
    <w:p>
      <w:pPr>
        <w:spacing w:after="0" w:line="22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920" w:val="left"/>
        </w:tabs>
        <w:rPr>
          <w:sz w:val="20"/>
          <w:szCs w:val="20"/>
          <w:color w:val="auto"/>
        </w:rPr>
      </w:pPr>
      <w:r>
        <w:rPr>
          <w:rFonts w:ascii="Times New Roman" w:cs="Times New Roman" w:eastAsia="Times New Roman" w:hAnsi="Times New Roman"/>
          <w:sz w:val="18"/>
          <w:szCs w:val="18"/>
          <w:color w:val="auto"/>
        </w:rPr>
        <w:t>Date: June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Joel D. Anderson</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Sabrina Simmons, certify that:</w:t>
      </w:r>
    </w:p>
    <w:p>
      <w:pPr>
        <w:spacing w:after="0" w:line="22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440" w:val="left"/>
          <w:tab w:leader="none" w:pos="7860" w:val="left"/>
        </w:tabs>
        <w:rPr>
          <w:sz w:val="20"/>
          <w:szCs w:val="20"/>
          <w:color w:val="auto"/>
        </w:rPr>
      </w:pPr>
      <w:r>
        <w:rPr>
          <w:rFonts w:ascii="Times New Roman" w:cs="Times New Roman" w:eastAsia="Times New Roman" w:hAnsi="Times New Roman"/>
          <w:sz w:val="18"/>
          <w:szCs w:val="18"/>
          <w:color w:val="auto"/>
        </w:rPr>
        <w:t>Date: June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Sabrina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Sabrina Simmons</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May 3, 2025, as filed with the Securities and Exchange Commission on the date hereof (the “Report”), I, Joel D. Anderson, Chief Executive Officer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June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Joel D. Anderson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May 3, 2025, as filed with the Securities and Exchange Commission on the date hereof (the “Report”), I, Sabrina Simmons, Chief Financial Officer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June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Sabrina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Sabrina Simmons</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Roman"/>
      <w:start w:val="10"/>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2"/>
    </w:lvl>
  </w:abstractNum>
  <w:abstractNum w:abstractNumId="8">
    <w:nsid w:val="1190CDE7"/>
    <w:multiLevelType w:val="hybridMultilevel"/>
    <w:lvl w:ilvl="0">
      <w:lvlJc w:val="left"/>
      <w:lvlText w:val="*"/>
      <w:numFmt w:val="bullet"/>
      <w:start w:val="1"/>
    </w:lvl>
    <w:lvl w:ilvl="1">
      <w:lvlJc w:val="left"/>
      <w:lvlText w:val="%2"/>
      <w:numFmt w:val="decimal"/>
      <w:start w:val="104"/>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46" Type="http://schemas.openxmlformats.org/officeDocument/2006/relationships/hyperlink" Target="https://www.sec.gov/Archives/edgar/data/1826470/000119312525028619/d876071dex101.htm" TargetMode="External"/><Relationship Id="rId147" Type="http://schemas.openxmlformats.org/officeDocument/2006/relationships/hyperlink" Target="https://www.sec.gov/Archives/edgar/data/1826470/000119312525033440/d91876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2025-06-06T15:17:22Z</dcterms:created>
  <dcterms:modified xsi:type="dcterms:W3CDTF">2025-06-06T15:17:22Z</dcterms:modified>
</cp:coreProperties>
</file>