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Murphy Glenn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60,662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1,060,662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1,470,589</w:t>
            </w: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GSSB</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Corporation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60,662 restricted stock units ("RSUs") granted under the Petco Health and Wellness Company, Inc. 2021 Equity Incentive Plan, as amended. Each RSU represents the right to receive one share of Class A common stock of the Issuer. The RSUs will vest on the earlier to occur of (i) the Issuer's next annual shareholder meeting or (ii) June 30,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Giovanni Insana,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7"/>
          <w:szCs w:val="17"/>
          <w:color w:val="auto"/>
        </w:rPr>
        <w:t>EXHIBIT 24.1</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firstLine="832"/>
        <w:spacing w:after="0" w:line="290" w:lineRule="auto"/>
        <w:rPr>
          <w:sz w:val="20"/>
          <w:szCs w:val="20"/>
          <w:color w:val="auto"/>
        </w:rPr>
      </w:pPr>
      <w:r>
        <w:rPr>
          <w:rFonts w:ascii="Courier New" w:cs="Courier New" w:eastAsia="Courier New" w:hAnsi="Courier New"/>
          <w:sz w:val="17"/>
          <w:szCs w:val="17"/>
          <w:color w:val="auto"/>
        </w:rPr>
        <w:t>The undersigned hereby constitutes and appoints each of Sabrina Simmons, Giovanni Insana, Kristen Arn-O'Rourke and Lauren Stigall, and any of their substitutes, signing singly, as the undersigned's true and lawful attorney-in-fact to:</w:t>
      </w:r>
    </w:p>
    <w:p>
      <w:pPr>
        <w:spacing w:after="0" w:line="69" w:lineRule="exact"/>
        <w:rPr>
          <w:sz w:val="20"/>
          <w:szCs w:val="20"/>
          <w:color w:val="auto"/>
        </w:rPr>
      </w:pPr>
    </w:p>
    <w:p>
      <w:pPr>
        <w:ind w:right="1779" w:firstLine="7"/>
        <w:spacing w:after="0" w:line="253"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credentials (including codes or passwords) enabling the undersigned to make electronic filings with the U.S. Securities and Exchange Commission (the "SEC"), including as necessary to prepare, execute in the undersigned's name and on the undersigned's behalf, and submit to the SEC a Form ID, including amendments thereto, and any other document necessary or appropriate to obtain codes or passwords enabling the undersigned to make electronic filings with the SEC via the Electronic Data Gathering and Retrieval ("EDGAR") system of reports required by the Securities Exchange Act of 1934, as amended (the "Exchange Act"), the Securities Act of 1933, as amended</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Act") or any rule or regulation of the SEC;</w:t>
      </w:r>
    </w:p>
    <w:p>
      <w:pPr>
        <w:spacing w:after="0" w:line="175" w:lineRule="exact"/>
        <w:rPr>
          <w:rFonts w:ascii="Courier New" w:cs="Courier New" w:eastAsia="Courier New" w:hAnsi="Courier New"/>
          <w:sz w:val="17"/>
          <w:szCs w:val="17"/>
          <w:color w:val="auto"/>
        </w:rPr>
      </w:pPr>
    </w:p>
    <w:p>
      <w:pPr>
        <w:ind w:right="2399" w:firstLine="7"/>
        <w:spacing w:after="0" w:line="255"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w:t>
      </w:r>
    </w:p>
    <w:p>
      <w:pPr>
        <w:spacing w:after="0" w:line="3" w:lineRule="exact"/>
        <w:rPr>
          <w:rFonts w:ascii="Courier New" w:cs="Courier New" w:eastAsia="Courier New" w:hAnsi="Courier New"/>
          <w:sz w:val="17"/>
          <w:szCs w:val="17"/>
          <w:color w:val="auto"/>
        </w:rPr>
      </w:pPr>
    </w:p>
    <w:p>
      <w:pPr>
        <w:ind w:right="37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(iv) taking any other actions contemplated by Rule 10 of Regulation S-T;</w:t>
      </w:r>
    </w:p>
    <w:p>
      <w:pPr>
        <w:spacing w:after="0" w:line="33"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w:t>
      </w:r>
    </w:p>
    <w:p>
      <w:pPr>
        <w:spacing w:after="0" w:line="39" w:lineRule="exact"/>
        <w:rPr>
          <w:sz w:val="20"/>
          <w:szCs w:val="20"/>
          <w:color w:val="auto"/>
        </w:rPr>
      </w:pPr>
    </w:p>
    <w:p>
      <w:pPr>
        <w:ind w:right="2299"/>
        <w:spacing w:after="0" w:line="277" w:lineRule="auto"/>
        <w:rPr>
          <w:sz w:val="20"/>
          <w:szCs w:val="20"/>
          <w:color w:val="auto"/>
        </w:rPr>
      </w:pPr>
      <w:r>
        <w:rPr>
          <w:rFonts w:ascii="Courier New" w:cs="Courier New" w:eastAsia="Courier New" w:hAnsi="Courier New"/>
          <w:sz w:val="17"/>
          <w:szCs w:val="17"/>
          <w:color w:val="auto"/>
        </w:rPr>
        <w:t>capacity as an officer and/or director of Petco Health and Wellness Company, Inc. (the "Company"), Forms 3, 4 and 5 in accordance with Section 16(a) of the Exchange Act and the rules thereunder, and Forms 144 in accordance with Rule 144 under the Securities Act;</w:t>
      </w:r>
    </w:p>
    <w:p>
      <w:pPr>
        <w:spacing w:after="0" w:line="78" w:lineRule="exact"/>
        <w:rPr>
          <w:sz w:val="20"/>
          <w:szCs w:val="20"/>
          <w:color w:val="auto"/>
        </w:rPr>
      </w:pPr>
    </w:p>
    <w:p>
      <w:pPr>
        <w:ind w:right="2299" w:firstLine="7"/>
        <w:spacing w:after="0" w:line="28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9" w:lineRule="exact"/>
        <w:rPr>
          <w:rFonts w:ascii="Courier New" w:cs="Courier New" w:eastAsia="Courier New" w:hAnsi="Courier New"/>
          <w:sz w:val="17"/>
          <w:szCs w:val="17"/>
          <w:color w:val="auto"/>
        </w:rPr>
      </w:pPr>
    </w:p>
    <w:p>
      <w:pPr>
        <w:ind w:right="199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91" w:lineRule="exact"/>
        <w:rPr>
          <w:sz w:val="20"/>
          <w:szCs w:val="20"/>
          <w:color w:val="auto"/>
        </w:rPr>
      </w:pPr>
    </w:p>
    <w:p>
      <w:pPr>
        <w:ind w:right="1879" w:firstLine="832"/>
        <w:spacing w:after="0" w:line="25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w:t>
      </w:r>
    </w:p>
    <w:p>
      <w:pPr>
        <w:ind w:right="3139"/>
        <w:spacing w:after="0" w:line="249" w:lineRule="auto"/>
        <w:rPr>
          <w:sz w:val="20"/>
          <w:szCs w:val="20"/>
          <w:color w:val="auto"/>
        </w:rPr>
      </w:pPr>
      <w:r>
        <w:rPr>
          <w:rFonts w:ascii="Courier New" w:cs="Courier New" w:eastAsia="Courier New" w:hAnsi="Courier New"/>
          <w:sz w:val="17"/>
          <w:szCs w:val="17"/>
          <w:color w:val="auto"/>
        </w:rPr>
        <w:t>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requirements</w:t>
      </w:r>
    </w:p>
    <w:p>
      <w:pPr>
        <w:spacing w:after="0" w:line="1" w:lineRule="exact"/>
        <w:rPr>
          <w:sz w:val="20"/>
          <w:szCs w:val="20"/>
          <w:color w:val="auto"/>
        </w:rPr>
      </w:pPr>
    </w:p>
    <w:p>
      <w:pPr>
        <w:ind w:right="3439"/>
        <w:spacing w:after="0" w:line="333" w:lineRule="auto"/>
        <w:rPr>
          <w:sz w:val="20"/>
          <w:szCs w:val="20"/>
          <w:color w:val="auto"/>
        </w:rPr>
      </w:pPr>
      <w:r>
        <w:rPr>
          <w:rFonts w:ascii="Courier New" w:cs="Courier New" w:eastAsia="Courier New" w:hAnsi="Courier New"/>
          <w:sz w:val="17"/>
          <w:szCs w:val="17"/>
          <w:color w:val="auto"/>
        </w:rPr>
        <w:t>of the Exchange Act or the Securities Act, including Section 16 of the Exchange Act or Rule 144 under the Securities Act.</w:t>
      </w:r>
    </w:p>
    <w:p>
      <w:pPr>
        <w:spacing w:after="0" w:line="33" w:lineRule="exact"/>
        <w:rPr>
          <w:sz w:val="20"/>
          <w:szCs w:val="20"/>
          <w:color w:val="auto"/>
        </w:rPr>
      </w:pPr>
    </w:p>
    <w:p>
      <w:pPr>
        <w:ind w:right="1999" w:firstLine="832"/>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(i) the undersigned is no longer required to file Forms 3, 4 and 5 and Form 144 with respect to the undersigned's holdings of and transactions in securities issued by the Company, (ii) revocation by the undersigned in a signed writing delivered to the foregoing attorneys-in-fact or (iii) as to any attorney-in-fact individually, until such attorney-in-fact is no longer employed by the Company and its subsidiaries. This Power of Attorney revokes all previous powers of attorney with respect to the subject matter of this Power of Attorney.</w:t>
      </w:r>
    </w:p>
    <w:p>
      <w:pPr>
        <w:spacing w:after="0" w:line="92"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15th day of August 2025.</w:t>
      </w:r>
    </w:p>
    <w:p>
      <w:pPr>
        <w:sectPr>
          <w:pgSz w:w="11900" w:h="16838" w:orient="portrait"/>
          <w:cols w:equalWidth="0" w:num="1">
            <w:col w:w="9999"/>
          </w:cols>
          <w:pgMar w:left="460" w:top="110"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/s/ Glenn Murphy</w:t>
      </w:r>
    </w:p>
    <w:p>
      <w:pPr>
        <w:sectPr>
          <w:pgSz w:w="11900" w:h="16838" w:orient="portrait"/>
          <w:cols w:equalWidth="0" w:num="1">
            <w:col w:w="9999"/>
          </w:cols>
          <w:pgMar w:left="460" w:top="110" w:right="1440" w:bottom="0" w:gutter="0" w:footer="0" w:header="0"/>
          <w:type w:val="continuous"/>
        </w:sectPr>
      </w:pPr>
    </w:p>
    <w:bookmarkStart w:id="2" w:name="page3"/>
    <w:bookmarkEnd w:id="2"/>
    <w:p>
      <w:pPr>
        <w:ind w:left="3180"/>
        <w:spacing w:after="0"/>
        <w:rPr>
          <w:sz w:val="20"/>
          <w:szCs w:val="20"/>
          <w:color w:val="auto"/>
        </w:rPr>
      </w:pPr>
      <w:r>
        <w:rPr>
          <w:rFonts w:ascii="Courier New" w:cs="Courier New" w:eastAsia="Courier New" w:hAnsi="Courier New"/>
          <w:sz w:val="17"/>
          <w:szCs w:val="17"/>
          <w:color w:val="auto"/>
        </w:rPr>
        <w:t>----------------------------</w:t>
      </w:r>
    </w:p>
    <w:p>
      <w:pPr>
        <w:spacing w:after="0" w:line="3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Name: Glenn Murphy</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088"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2026-07-02T15:20:39Z</dcterms:created>
  <dcterms:modified xsi:type="dcterms:W3CDTF">2026-07-02T15:20:39Z</dcterms:modified>
</cp:coreProperties>
</file>