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Insana Giovanni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294" w:lineRule="auto"/>
        <w:rPr>
          <w:sz w:val="20"/>
          <w:szCs w:val="20"/>
          <w:color w:val="auto"/>
        </w:rPr>
      </w:pPr>
      <w:r>
        <w:rPr>
          <w:rFonts w:ascii="Times New Roman" w:cs="Times New Roman" w:eastAsia="Times New Roman" w:hAnsi="Times New Roman"/>
          <w:sz w:val="17"/>
          <w:szCs w:val="17"/>
          <w:color w:val="0000FF"/>
        </w:rPr>
        <w:t>C/O PETCO HEALTH AND WELLNESS COMPANY,</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INC., 10850 VIA FRONTERA</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Petco Health &amp; Wellness Company, Inc. </w:t>
              </w:r>
            </w:hyperlink>
            <w:r>
              <w:rPr>
                <w:rFonts w:ascii="Times New Roman" w:cs="Times New Roman" w:eastAsia="Times New Roman" w:hAnsi="Times New Roman"/>
                <w:sz w:val="16"/>
                <w:szCs w:val="16"/>
                <w:color w:val="000000"/>
              </w:rPr>
              <w:t>[</w:t>
            </w:r>
          </w:p>
        </w:tc>
        <w:tc>
          <w:tcPr>
            <w:tcW w:w="21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0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WOOF </w:t>
            </w:r>
            <w:r>
              <w:rPr>
                <w:rFonts w:ascii="Times New Roman" w:cs="Times New Roman" w:eastAsia="Times New Roman" w:hAnsi="Times New Roman"/>
                <w:sz w:val="21"/>
                <w:szCs w:val="21"/>
                <w:color w:val="000000"/>
              </w:rPr>
              <w:t>]</w:t>
            </w:r>
          </w:p>
        </w:tc>
        <w:tc>
          <w:tcPr>
            <w:tcW w:w="2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ind w:left="6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140" w:type="dxa"/>
            <w:vAlign w:val="bottom"/>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2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04/15/2026</w:t>
            </w: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22,308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397,347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reflects the withholding of restricted stock units ("RSUs") in satisfaction of the Reporting Person's tax liability. The RSUs were granted to the Reporting Person on April 15, 2024 pursuant to the Petco Health and Wellness Company, Inc. 2021 Equity Incentive Plan (as amended, the "2021 Plan"), and a portion vested on April 15,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205,612 outstanding RSUs granted under the 2021 Plan. Each RSU represents the right to receive one share of Class A common stock of the Issuer.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Officer and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Giovanni Insana</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625" TargetMode="External"/><Relationship Id="rId14" Type="http://schemas.openxmlformats.org/officeDocument/2006/relationships/hyperlink" Target="http://www.sec.gov/cgi-bin/browse-edgar?action=getcompany&amp;CIK=0001826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2026-04-17T18:14:48Z</dcterms:created>
  <dcterms:modified xsi:type="dcterms:W3CDTF">2026-04-17T18:14:48Z</dcterms:modified>
</cp:coreProperties>
</file>