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760" w:right="1620" w:hanging="3752"/>
        <w:spacing w:after="0" w:line="305"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October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3904615</wp:posOffset>
            </wp:positionH>
            <wp:positionV relativeFrom="paragraph">
              <wp:posOffset>-7620</wp:posOffset>
            </wp:positionV>
            <wp:extent cx="837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p>
      <w:pPr>
        <w:spacing w:after="0" w:line="192"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3" w:lineRule="exact"/>
        <w:rPr>
          <w:sz w:val="24"/>
          <w:szCs w:val="24"/>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20"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73" w:lineRule="exact"/>
        <w:rPr>
          <w:sz w:val="24"/>
          <w:szCs w:val="24"/>
          <w:color w:val="auto"/>
        </w:rPr>
      </w:pPr>
    </w:p>
    <w:p>
      <w:pPr>
        <w:sectPr>
          <w:pgSz w:w="11900" w:h="16838" w:orient="portrait"/>
          <w:cols w:equalWidth="0" w:num="2">
            <w:col w:w="7220" w:space="720"/>
            <w:col w:w="3300"/>
          </w:cols>
          <w:pgMar w:left="320" w:top="638"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1980"/>
        <w:spacing w:after="0"/>
        <w:tabs>
          <w:tab w:leader="none" w:pos="818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6"/>
          <w:szCs w:val="16"/>
          <w:b w:val="1"/>
          <w:bCs w:val="1"/>
          <w:color w:val="auto"/>
        </w:rPr>
        <w:t>92127</w:t>
      </w:r>
    </w:p>
    <w:p>
      <w:pPr>
        <w:spacing w:after="0" w:line="5"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4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4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Class A Common Stock, par value $0.001 per share</w:t>
            </w:r>
          </w:p>
        </w:tc>
        <w:tc>
          <w:tcPr>
            <w:tcW w:w="100" w:type="dxa"/>
            <w:vAlign w:val="bottom"/>
          </w:tcPr>
          <w:p>
            <w:pPr>
              <w:spacing w:after="0"/>
              <w:rPr>
                <w:sz w:val="16"/>
                <w:szCs w:val="16"/>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8"/>
              </w:rPr>
              <w:t>WOOF</w:t>
            </w:r>
          </w:p>
        </w:tc>
        <w:tc>
          <w:tcPr>
            <w:tcW w:w="100" w:type="dxa"/>
            <w:vAlign w:val="bottom"/>
          </w:tcPr>
          <w:p>
            <w:pPr>
              <w:spacing w:after="0"/>
              <w:rPr>
                <w:sz w:val="16"/>
                <w:szCs w:val="16"/>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12" w:lineRule="exact"/>
        <w:rPr>
          <w:sz w:val="24"/>
          <w:szCs w:val="24"/>
          <w:color w:val="auto"/>
        </w:rPr>
      </w:pPr>
    </w:p>
    <w:p>
      <w:pPr>
        <w:jc w:val="both"/>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9"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4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7540" w:val="left"/>
          <w:tab w:leader="none" w:pos="81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A Common Stock outstanding as of November 29, 2021 was 226,621,760.</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B-1 Common Stock outstanding as of November 29, 2021 was 37,790,781.</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Class B-2 Common Stock outstanding as of November 29, 2021 was 37,790,781.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922655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40" w:type="dxa"/>
            <w:vAlign w:val="bottom"/>
            <w:gridSpan w:val="7"/>
          </w:tcPr>
          <w:p>
            <w:pPr>
              <w:ind w:left="9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12"/>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Comprehensive Income (Loss)</w:t>
              </w:r>
            </w:hyperlink>
          </w:p>
        </w:tc>
        <w:tc>
          <w:tcPr>
            <w:tcW w:w="50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Stockholders' / Members' Equity</w:t>
              </w:r>
            </w:hyperlink>
          </w:p>
        </w:tc>
        <w:tc>
          <w:tcPr>
            <w:tcW w:w="49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53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gridSpan w:val="2"/>
            <w:vMerge w:val="continue"/>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8">
              <w:r>
                <w:rPr>
                  <w:rFonts w:ascii="Arial" w:cs="Arial" w:eastAsia="Arial" w:hAnsi="Arial"/>
                  <w:sz w:val="18"/>
                  <w:szCs w:val="18"/>
                  <w:color w:val="0000EE"/>
                  <w:w w:val="95"/>
                </w:rPr>
                <w:t>OTHER INFORMATION</w:t>
              </w:r>
            </w:hyperlink>
          </w:p>
        </w:tc>
        <w:tc>
          <w:tcPr>
            <w:tcW w:w="742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3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Other Information</w:t>
              </w:r>
            </w:hyperlink>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750"/>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60" w:type="dxa"/>
            <w:vAlign w:val="bottom"/>
            <w:gridSpan w:val="18"/>
          </w:tcPr>
          <w:p>
            <w:pPr>
              <w:ind w:left="4420"/>
              <w:spacing w:after="0"/>
              <w:rPr>
                <w:sz w:val="20"/>
                <w:szCs w:val="20"/>
                <w:color w:val="auto"/>
              </w:rPr>
            </w:pPr>
            <w:r>
              <w:rPr>
                <w:rFonts w:ascii="Arial" w:cs="Arial" w:eastAsia="Arial" w:hAnsi="Arial"/>
                <w:sz w:val="18"/>
                <w:szCs w:val="18"/>
                <w:color w:val="auto"/>
              </w:rPr>
              <w:t>1</w:t>
            </w: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0" w:lineRule="exact"/>
        <w:rPr>
          <w:sz w:val="20"/>
          <w:szCs w:val="20"/>
          <w:color w:val="auto"/>
        </w:rPr>
      </w:pPr>
    </w:p>
    <w:p>
      <w:pPr>
        <w:ind w:firstLine="864"/>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as contained in Section 27A of the Securities Act of 1933, as amended, and Section 21E of the Securities Exchange Act of 1934, as amended, concerning expectations, beliefs plans, objectives, goals, strategies, future events or performance and underlying assumptions and other statements that are not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the COVID-19 pandemic on our business.</w:t>
      </w:r>
    </w:p>
    <w:p>
      <w:pPr>
        <w:spacing w:after="0" w:line="84"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Quarterly Report on Form 10-Q is, or should be relied upon as, a promise or representation or warranty as to any future matter, including any matter in respect of our operations or business or financial condition. All forward-looking statements are based on expectations and assumptions about future events that may or may not be correct or necessarily take place and that are by their nature subject to significant uncertainties and contingencies, many of which are outside of our control.</w:t>
      </w:r>
    </w:p>
    <w:p>
      <w:pPr>
        <w:spacing w:after="0" w:line="58" w:lineRule="exact"/>
        <w:rPr>
          <w:sz w:val="20"/>
          <w:szCs w:val="20"/>
          <w:color w:val="auto"/>
        </w:rPr>
      </w:pPr>
    </w:p>
    <w:p>
      <w:pPr>
        <w:ind w:right="20" w:firstLine="864"/>
        <w:spacing w:after="0" w:line="268" w:lineRule="auto"/>
        <w:rPr>
          <w:sz w:val="20"/>
          <w:szCs w:val="20"/>
          <w:color w:val="auto"/>
        </w:rPr>
      </w:pPr>
      <w:r>
        <w:rPr>
          <w:rFonts w:ascii="Arial" w:cs="Arial" w:eastAsia="Arial" w:hAnsi="Arial"/>
          <w:sz w:val="17"/>
          <w:szCs w:val="17"/>
          <w:color w:val="auto"/>
        </w:rPr>
        <w:t>Forward-looking statements are subject to a number of risks, uncertainties and other factors that could cause actual results or events to differ materially from the potential results or events discussed in the forward-looking statements, including, without limitation, those identified in this Quarterly Report on Form 10-Q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(vii) failure to effectively manage our costs; (viii) our reliance on our information technology systems; (ix) our ability to prevent or effectively respond to a privacy or security breach; (x) our ability to effectively manage strategic ventures, alliances or acquisitions; (xi) economic or regulatory developments that might affect our ability to provide attractive promotional financing; (xii) interruptions and other supply chain issues; (xiii) catastrophic events, health crises, and pandemics, including the potential effects that the ongoing COVID-19 pandemic and/or corresponding macroeconomic uncertainty could have on our financial position, results of operations and cash flows;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and (xx) the other risks, uncertainties and other factors identified under “Risk Factors” and elsewhere in our other filings with the Securities and Exchange Commission. The occurrence of any such factors could significantly alter the results set forth in these statements.</w:t>
      </w:r>
    </w:p>
    <w:p>
      <w:pPr>
        <w:spacing w:after="0" w:line="130" w:lineRule="exact"/>
        <w:rPr>
          <w:sz w:val="20"/>
          <w:szCs w:val="20"/>
          <w:color w:val="auto"/>
        </w:rPr>
      </w:pPr>
    </w:p>
    <w:p>
      <w:pPr>
        <w:jc w:val="both"/>
        <w:ind w:right="100" w:firstLine="864"/>
        <w:spacing w:after="0" w:line="263" w:lineRule="auto"/>
        <w:rPr>
          <w:sz w:val="20"/>
          <w:szCs w:val="20"/>
          <w:color w:val="auto"/>
        </w:rPr>
      </w:pPr>
      <w:r>
        <w:rPr>
          <w:rFonts w:ascii="Arial" w:cs="Arial" w:eastAsia="Arial" w:hAnsi="Arial"/>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86"/>
              </w:rPr>
              <w:t>October 30,</w:t>
            </w:r>
          </w:p>
        </w:tc>
        <w:tc>
          <w:tcPr>
            <w:tcW w:w="26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January 30,</w:t>
            </w:r>
          </w:p>
        </w:tc>
        <w:tc>
          <w:tcPr>
            <w:tcW w:w="0" w:type="dxa"/>
            <w:vAlign w:val="bottom"/>
          </w:tcPr>
          <w:p>
            <w:pPr>
              <w:spacing w:after="0"/>
              <w:rPr>
                <w:sz w:val="1"/>
                <w:szCs w:val="1"/>
                <w:color w:val="auto"/>
              </w:rPr>
            </w:pPr>
          </w:p>
        </w:tc>
      </w:tr>
      <w:tr>
        <w:trPr>
          <w:trHeight w:val="153"/>
        </w:trPr>
        <w:tc>
          <w:tcPr>
            <w:tcW w:w="7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88"/>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center"/>
              <w:ind w:right="288"/>
              <w:spacing w:after="0" w:line="155" w:lineRule="exact"/>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221,484</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111,402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Receivables, less allowance for credit losses ($1,617 and $3,267, respectively)</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45,478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Merchandise inventories, net</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644,389</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538,675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Prepaid expenses</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37,762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40,032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40,761</w:t>
            </w:r>
          </w:p>
        </w:tc>
        <w:tc>
          <w:tcPr>
            <w:tcW w:w="2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current assets</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989,874</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777,549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Fixed assets</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1,657,876</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1,487,987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(975,456)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(860,440)</w:t>
            </w:r>
          </w:p>
        </w:tc>
        <w:tc>
          <w:tcPr>
            <w:tcW w:w="0" w:type="dxa"/>
            <w:vAlign w:val="bottom"/>
          </w:tcPr>
          <w:p>
            <w:pPr>
              <w:spacing w:after="0"/>
              <w:rPr>
                <w:sz w:val="1"/>
                <w:szCs w:val="1"/>
                <w:color w:val="auto"/>
              </w:rPr>
            </w:pPr>
          </w:p>
        </w:tc>
      </w:tr>
      <w:tr>
        <w:trPr>
          <w:trHeight w:val="156"/>
        </w:trPr>
        <w:tc>
          <w:tcPr>
            <w:tcW w:w="76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Fixed assets, net</w:t>
            </w:r>
          </w:p>
        </w:tc>
        <w:tc>
          <w:tcPr>
            <w:tcW w:w="2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682,420</w:t>
            </w:r>
          </w:p>
        </w:tc>
        <w:tc>
          <w:tcPr>
            <w:tcW w:w="2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627,547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1,369,231</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1,328,108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2,183,202</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2,179,310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Trade name</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1,025,000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1,025,000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Other intangible assets</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4,793</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Less accumulated amortization</w:t>
            </w:r>
          </w:p>
        </w:tc>
        <w:tc>
          <w:tcPr>
            <w:tcW w:w="2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(4,336)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155"/>
        </w:trPr>
        <w:tc>
          <w:tcPr>
            <w:tcW w:w="7620" w:type="dxa"/>
            <w:vAlign w:val="bottom"/>
            <w:tcBorders>
              <w:top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Other intangible assets, net</w:t>
            </w:r>
          </w:p>
        </w:tc>
        <w:tc>
          <w:tcPr>
            <w:tcW w:w="26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457</w:t>
            </w:r>
          </w:p>
        </w:tc>
        <w:tc>
          <w:tcPr>
            <w:tcW w:w="2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long-term assets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219,362</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137,474</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6,469,546</w:t>
            </w: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Accounts payable and book overdrafts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380,174</w:t>
            </w:r>
          </w:p>
        </w:tc>
        <w:tc>
          <w:tcPr>
            <w:tcW w:w="20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339,485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Accrued salaries and employee benefits</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159,705</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129,484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214,525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145,846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Current portion of operating lease liabilities</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256,831</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258,289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Current portion of long-term debt and other lease liabilities</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20,303</w:t>
            </w:r>
          </w:p>
        </w:tc>
        <w:tc>
          <w:tcPr>
            <w:tcW w:w="2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current liabilities</w:t>
            </w:r>
          </w:p>
        </w:tc>
        <w:tc>
          <w:tcPr>
            <w:tcW w:w="26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1,031,538</w:t>
            </w:r>
          </w:p>
        </w:tc>
        <w:tc>
          <w:tcPr>
            <w:tcW w:w="2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875,307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20" w:type="dxa"/>
            <w:vAlign w:val="bottom"/>
          </w:tcPr>
          <w:p>
            <w:pPr>
              <w:spacing w:after="0" w:line="155" w:lineRule="exact"/>
              <w:rPr>
                <w:sz w:val="20"/>
                <w:szCs w:val="20"/>
                <w:color w:val="auto"/>
              </w:rPr>
            </w:pPr>
            <w:r>
              <w:rPr>
                <w:rFonts w:ascii="Arial" w:cs="Arial" w:eastAsia="Arial" w:hAnsi="Arial"/>
                <w:sz w:val="14"/>
                <w:szCs w:val="14"/>
                <w:color w:val="auto"/>
              </w:rPr>
              <w:t>Senior secured credit facilities, net, excluding current portion</w:t>
            </w:r>
          </w:p>
        </w:tc>
        <w:tc>
          <w:tcPr>
            <w:tcW w:w="260" w:type="dxa"/>
            <w:vAlign w:val="bottom"/>
          </w:tcPr>
          <w:p>
            <w:pPr>
              <w:spacing w:after="0"/>
              <w:rPr>
                <w:sz w:val="13"/>
                <w:szCs w:val="13"/>
                <w:color w:val="auto"/>
              </w:rPr>
            </w:pPr>
          </w:p>
        </w:tc>
        <w:tc>
          <w:tcPr>
            <w:tcW w:w="1460" w:type="dxa"/>
            <w:vAlign w:val="bottom"/>
          </w:tcPr>
          <w:p>
            <w:pPr>
              <w:jc w:val="right"/>
              <w:ind w:right="48"/>
              <w:spacing w:after="0" w:line="155" w:lineRule="exact"/>
              <w:rPr>
                <w:sz w:val="20"/>
                <w:szCs w:val="20"/>
                <w:color w:val="auto"/>
              </w:rPr>
            </w:pPr>
            <w:r>
              <w:rPr>
                <w:rFonts w:ascii="Arial" w:cs="Arial" w:eastAsia="Arial" w:hAnsi="Arial"/>
                <w:sz w:val="14"/>
                <w:szCs w:val="14"/>
                <w:color w:val="auto"/>
              </w:rPr>
              <w:t>1,643,423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1,646,281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Operating lease liabilities, excluding current portion</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1,128,201</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1,083,575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Deferred taxes, net</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309,072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280,920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spacing w:after="0"/>
              <w:rPr>
                <w:sz w:val="20"/>
                <w:szCs w:val="20"/>
                <w:color w:val="auto"/>
              </w:rPr>
            </w:pPr>
            <w:r>
              <w:rPr>
                <w:rFonts w:ascii="Arial" w:cs="Arial" w:eastAsia="Arial" w:hAnsi="Arial"/>
                <w:sz w:val="14"/>
                <w:szCs w:val="14"/>
                <w:color w:val="auto"/>
              </w:rPr>
              <w:t>Other long-term liabilities</w:t>
            </w:r>
          </w:p>
        </w:tc>
        <w:tc>
          <w:tcPr>
            <w:tcW w:w="26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136,399</w:t>
            </w:r>
          </w:p>
        </w:tc>
        <w:tc>
          <w:tcPr>
            <w:tcW w:w="2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134,354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4,248,633</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4,020,437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Commitments and contingencies (Notes 3, 4 and 8)</w:t>
            </w:r>
          </w:p>
        </w:tc>
        <w:tc>
          <w:tcPr>
            <w:tcW w:w="26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20" w:type="dxa"/>
            <w:vAlign w:val="bottom"/>
            <w:shd w:val="clear" w:color="auto" w:fill="CFF0FC"/>
          </w:tcPr>
          <w:p>
            <w:pPr>
              <w:ind w:left="400"/>
              <w:spacing w:after="0" w:line="149" w:lineRule="exact"/>
              <w:rPr>
                <w:sz w:val="20"/>
                <w:szCs w:val="20"/>
                <w:color w:val="auto"/>
              </w:rPr>
            </w:pPr>
            <w:r>
              <w:rPr>
                <w:rFonts w:ascii="Arial" w:cs="Arial" w:eastAsia="Arial" w:hAnsi="Arial"/>
                <w:sz w:val="14"/>
                <w:szCs w:val="14"/>
                <w:color w:val="auto"/>
              </w:rPr>
              <w:t>Issued and outstanding - 226.5 million shares as of October 30, 2021</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and 226.4 million shares as of January 30, 2021</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226</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20" w:type="dxa"/>
            <w:vAlign w:val="bottom"/>
          </w:tcPr>
          <w:p>
            <w:pPr>
              <w:ind w:left="26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26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shd w:val="clear" w:color="auto" w:fill="CFF0FC"/>
          </w:tcPr>
          <w:p>
            <w:pPr>
              <w:ind w:left="400"/>
              <w:spacing w:after="0"/>
              <w:rPr>
                <w:sz w:val="20"/>
                <w:szCs w:val="20"/>
                <w:color w:val="auto"/>
              </w:rPr>
            </w:pPr>
            <w:r>
              <w:rPr>
                <w:rFonts w:ascii="Arial" w:cs="Arial" w:eastAsia="Arial" w:hAnsi="Arial"/>
                <w:sz w:val="14"/>
                <w:szCs w:val="14"/>
                <w:color w:val="auto"/>
              </w:rPr>
              <w:t>Issued and outstanding - 37.8 million shares</w:t>
            </w:r>
          </w:p>
        </w:tc>
        <w:tc>
          <w:tcPr>
            <w:tcW w:w="260" w:type="dxa"/>
            <w:vAlign w:val="bottom"/>
            <w:shd w:val="clear" w:color="auto" w:fill="CFF0FC"/>
          </w:tcPr>
          <w:p>
            <w:pPr>
              <w:spacing w:after="0"/>
              <w:rPr>
                <w:sz w:val="14"/>
                <w:szCs w:val="14"/>
                <w:color w:val="auto"/>
              </w:rPr>
            </w:pPr>
          </w:p>
        </w:tc>
        <w:tc>
          <w:tcPr>
            <w:tcW w:w="1660" w:type="dxa"/>
            <w:vAlign w:val="bottom"/>
            <w:gridSpan w:val="2"/>
            <w:shd w:val="clear" w:color="auto" w:fill="CFF0FC"/>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20" w:type="dxa"/>
            <w:vAlign w:val="bottom"/>
          </w:tcPr>
          <w:p>
            <w:pPr>
              <w:ind w:left="26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20" w:type="dxa"/>
            <w:vAlign w:val="bottom"/>
          </w:tcPr>
          <w:p>
            <w:pPr>
              <w:ind w:left="400"/>
              <w:spacing w:after="0"/>
              <w:rPr>
                <w:sz w:val="20"/>
                <w:szCs w:val="20"/>
                <w:color w:val="auto"/>
              </w:rPr>
            </w:pPr>
            <w:r>
              <w:rPr>
                <w:rFonts w:ascii="Arial" w:cs="Arial" w:eastAsia="Arial" w:hAnsi="Arial"/>
                <w:sz w:val="14"/>
                <w:szCs w:val="14"/>
                <w:color w:val="auto"/>
              </w:rPr>
              <w:t>Issued and outstanding - none</w:t>
            </w:r>
          </w:p>
        </w:tc>
        <w:tc>
          <w:tcPr>
            <w:tcW w:w="260" w:type="dxa"/>
            <w:vAlign w:val="bottom"/>
          </w:tcPr>
          <w:p>
            <w:pPr>
              <w:spacing w:after="0"/>
              <w:rPr>
                <w:sz w:val="14"/>
                <w:szCs w:val="14"/>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Additional paid-in-capital</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2,126,294</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2,092,110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Retained earnings (accumulated deficit)</w:t>
            </w:r>
          </w:p>
        </w:tc>
        <w:tc>
          <w:tcPr>
            <w:tcW w:w="26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color w:val="auto"/>
              </w:rPr>
              <w:t>113,172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4"/>
                <w:szCs w:val="14"/>
                <w:color w:val="auto"/>
              </w:rPr>
              <w:t>(22,251)</w:t>
            </w:r>
          </w:p>
        </w:tc>
        <w:tc>
          <w:tcPr>
            <w:tcW w:w="0" w:type="dxa"/>
            <w:vAlign w:val="bottom"/>
          </w:tcPr>
          <w:p>
            <w:pPr>
              <w:spacing w:after="0"/>
              <w:rPr>
                <w:sz w:val="1"/>
                <w:szCs w:val="1"/>
                <w:color w:val="auto"/>
              </w:rPr>
            </w:pPr>
          </w:p>
        </w:tc>
      </w:tr>
      <w:tr>
        <w:trPr>
          <w:trHeight w:val="162"/>
        </w:trPr>
        <w:tc>
          <w:tcPr>
            <w:tcW w:w="7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Accumulated other comprehensive loss</w:t>
            </w:r>
          </w:p>
        </w:tc>
        <w:tc>
          <w:tcPr>
            <w:tcW w:w="26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155"/>
        </w:trPr>
        <w:tc>
          <w:tcPr>
            <w:tcW w:w="76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2,237,402</w:t>
            </w:r>
          </w:p>
        </w:tc>
        <w:tc>
          <w:tcPr>
            <w:tcW w:w="2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2,068,848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Noncontrolling interest</w:t>
            </w:r>
          </w:p>
        </w:tc>
        <w:tc>
          <w:tcPr>
            <w:tcW w:w="26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(16,489)</w:t>
            </w:r>
          </w:p>
        </w:tc>
        <w:tc>
          <w:tcPr>
            <w:tcW w:w="20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equity</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2,220,913</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2,055,265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20" w:type="dxa"/>
            <w:vAlign w:val="bottom"/>
            <w:tcBorders>
              <w:bottom w:val="single" w:sz="8" w:color="CFF0FC"/>
            </w:tcBorders>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6,469,546</w:t>
            </w:r>
          </w:p>
        </w:tc>
        <w:tc>
          <w:tcPr>
            <w:tcW w:w="200" w:type="dxa"/>
            <w:vAlign w:val="bottom"/>
            <w:tcBorders>
              <w:bottom w:val="single" w:sz="8" w:color="CFF0FC"/>
            </w:tcBorders>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6,075,702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 thousands, except per share amounts)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4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October 30,</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w w:val="98"/>
              </w:rPr>
              <w:t>October 31,</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October 30,</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w w:val="98"/>
              </w:rPr>
              <w:t>October 31,</w:t>
            </w:r>
          </w:p>
        </w:tc>
        <w:tc>
          <w:tcPr>
            <w:tcW w:w="120" w:type="dxa"/>
            <w:vAlign w:val="bottom"/>
          </w:tcPr>
          <w:p>
            <w:pPr>
              <w:spacing w:after="0"/>
              <w:rPr>
                <w:sz w:val="11"/>
                <w:szCs w:val="11"/>
                <w:color w:val="auto"/>
              </w:rPr>
            </w:pPr>
          </w:p>
        </w:tc>
      </w:tr>
      <w:tr>
        <w:trPr>
          <w:trHeight w:val="171"/>
        </w:trPr>
        <w:tc>
          <w:tcPr>
            <w:tcW w:w="4900" w:type="dxa"/>
            <w:vAlign w:val="bottom"/>
            <w:tcBorders>
              <w:bottom w:val="single" w:sz="8" w:color="CFF0FC"/>
            </w:tcBorders>
          </w:tcPr>
          <w:p>
            <w:pPr>
              <w:spacing w:after="0"/>
              <w:rPr>
                <w:sz w:val="14"/>
                <w:szCs w:val="14"/>
                <w:color w:val="auto"/>
              </w:rPr>
            </w:pPr>
          </w:p>
        </w:tc>
        <w:tc>
          <w:tcPr>
            <w:tcW w:w="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1,443,264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1,259,997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4,292,792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3,582,489</w:t>
            </w:r>
          </w:p>
        </w:tc>
        <w:tc>
          <w:tcPr>
            <w:tcW w:w="12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848,555</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718,559</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2,501,688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2,045,016</w:t>
            </w:r>
          </w:p>
        </w:tc>
        <w:tc>
          <w:tcPr>
            <w:tcW w:w="12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594,709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541,438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1,791,104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1,537,473</w:t>
            </w:r>
          </w:p>
        </w:tc>
        <w:tc>
          <w:tcPr>
            <w:tcW w:w="120" w:type="dxa"/>
            <w:vAlign w:val="bottom"/>
            <w:shd w:val="clear" w:color="auto" w:fill="CFF0FC"/>
          </w:tcPr>
          <w:p>
            <w:pPr>
              <w:spacing w:after="0"/>
              <w:rPr>
                <w:sz w:val="19"/>
                <w:szCs w:val="19"/>
                <w:color w:val="auto"/>
              </w:rPr>
            </w:pPr>
          </w:p>
        </w:tc>
      </w:tr>
      <w:tr>
        <w:trPr>
          <w:trHeight w:val="229"/>
        </w:trPr>
        <w:tc>
          <w:tcPr>
            <w:tcW w:w="4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8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532,760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495,401</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1,607,938</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1,410,024</w:t>
            </w:r>
          </w:p>
        </w:tc>
        <w:tc>
          <w:tcPr>
            <w:tcW w:w="120" w:type="dxa"/>
            <w:vAlign w:val="bottom"/>
            <w:tcBorders>
              <w:bottom w:val="single" w:sz="8" w:color="CFF0FC"/>
            </w:tcBorders>
          </w:tcPr>
          <w:p>
            <w:pPr>
              <w:spacing w:after="0"/>
              <w:rPr>
                <w:sz w:val="19"/>
                <w:szCs w:val="19"/>
                <w:color w:val="auto"/>
              </w:rPr>
            </w:pPr>
          </w:p>
        </w:tc>
      </w:tr>
      <w:tr>
        <w:trPr>
          <w:trHeight w:val="22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61,949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46,037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183,166</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127,449</w:t>
            </w:r>
          </w:p>
        </w:tc>
        <w:tc>
          <w:tcPr>
            <w:tcW w:w="120" w:type="dxa"/>
            <w:vAlign w:val="bottom"/>
            <w:shd w:val="clear" w:color="auto" w:fill="CFF0FC"/>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18,769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58,504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169,096</w:t>
            </w:r>
          </w:p>
        </w:tc>
        <w:tc>
          <w:tcPr>
            <w:tcW w:w="12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20,838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(19,773)</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(64,934)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490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w:t>
            </w:r>
          </w:p>
        </w:tc>
        <w:tc>
          <w:tcPr>
            <w:tcW w:w="8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900" w:type="dxa"/>
            <w:vAlign w:val="bottom"/>
          </w:tcPr>
          <w:p>
            <w:pPr>
              <w:ind w:left="640"/>
              <w:spacing w:after="0"/>
              <w:rPr>
                <w:sz w:val="20"/>
                <w:szCs w:val="20"/>
                <w:color w:val="auto"/>
              </w:rPr>
            </w:pPr>
            <w:r>
              <w:rPr>
                <w:rFonts w:ascii="Arial" w:cs="Arial" w:eastAsia="Arial" w:hAnsi="Arial"/>
                <w:sz w:val="18"/>
                <w:szCs w:val="18"/>
                <w:color w:val="auto"/>
              </w:rPr>
              <w:t>from equity method investees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62,971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(7,709)</w:t>
            </w:r>
          </w:p>
        </w:tc>
        <w:tc>
          <w:tcPr>
            <w:tcW w:w="16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168,811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(41,315)</w:t>
            </w:r>
          </w:p>
        </w:tc>
      </w:tr>
      <w:tr>
        <w:trPr>
          <w:trHeight w:val="229"/>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14,095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(7,940)</w:t>
            </w: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43,784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(13,537)</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(1,875)</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(2,952)</w:t>
            </w:r>
          </w:p>
        </w:tc>
      </w:tr>
      <w:tr>
        <w:trPr>
          <w:trHeight w:val="223"/>
        </w:trPr>
        <w:tc>
          <w:tcPr>
            <w:tcW w:w="4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8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51,513</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132,517</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(4,502)</w:t>
            </w:r>
          </w:p>
        </w:tc>
      </w:tr>
      <w:tr>
        <w:trPr>
          <w:trHeight w:val="209"/>
        </w:trPr>
        <w:tc>
          <w:tcPr>
            <w:tcW w:w="4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 attributable to Class A and B-1</w:t>
            </w:r>
          </w:p>
        </w:tc>
        <w:tc>
          <w:tcPr>
            <w:tcW w:w="8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stockholders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52,752</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135,423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(20,324)</w:t>
            </w:r>
          </w:p>
        </w:tc>
      </w:tr>
      <w:tr>
        <w:trPr>
          <w:trHeight w:val="230"/>
        </w:trPr>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Class A and B-1 common</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share (1):</w:t>
            </w: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r>
      <w:tr>
        <w:trPr>
          <w:trHeight w:val="229"/>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0.51</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(0.10)</w:t>
            </w:r>
          </w:p>
        </w:tc>
      </w:tr>
      <w:tr>
        <w:trPr>
          <w:trHeight w:val="230"/>
        </w:trPr>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w:t>
            </w:r>
          </w:p>
        </w:tc>
        <w:tc>
          <w:tcPr>
            <w:tcW w:w="8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9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income (loss) per Class A and B-1 common share (1):</w:t>
            </w:r>
          </w:p>
        </w:tc>
        <w:tc>
          <w:tcPr>
            <w:tcW w:w="8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4900" w:type="dxa"/>
            <w:vAlign w:val="bottom"/>
          </w:tcPr>
          <w:p>
            <w:pPr>
              <w:ind w:left="500"/>
              <w:spacing w:after="0"/>
              <w:rPr>
                <w:sz w:val="20"/>
                <w:szCs w:val="20"/>
                <w:color w:val="auto"/>
              </w:rPr>
            </w:pPr>
            <w:r>
              <w:rPr>
                <w:rFonts w:ascii="Arial" w:cs="Arial" w:eastAsia="Arial" w:hAnsi="Arial"/>
                <w:sz w:val="18"/>
                <w:szCs w:val="18"/>
                <w:color w:val="auto"/>
              </w:rPr>
              <w:t>Basic</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264,228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209,015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264,220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209,015</w:t>
            </w:r>
          </w:p>
        </w:tc>
        <w:tc>
          <w:tcPr>
            <w:tcW w:w="120" w:type="dxa"/>
            <w:vAlign w:val="bottom"/>
          </w:tcPr>
          <w:p>
            <w:pPr>
              <w:spacing w:after="0"/>
              <w:rPr>
                <w:sz w:val="19"/>
                <w:szCs w:val="19"/>
                <w:color w:val="auto"/>
              </w:rPr>
            </w:pPr>
          </w:p>
        </w:tc>
      </w:tr>
      <w:tr>
        <w:trPr>
          <w:trHeight w:val="243"/>
        </w:trPr>
        <w:tc>
          <w:tcPr>
            <w:tcW w:w="4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8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265,322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209,015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265,189</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209,015</w:t>
            </w:r>
          </w:p>
        </w:tc>
        <w:tc>
          <w:tcPr>
            <w:tcW w:w="12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972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0" w:lineRule="exact"/>
        <w:rPr>
          <w:sz w:val="20"/>
          <w:szCs w:val="20"/>
          <w:color w:val="auto"/>
        </w:rPr>
      </w:pPr>
    </w:p>
    <w:p>
      <w:pPr>
        <w:ind w:left="580" w:right="100" w:hanging="572"/>
        <w:spacing w:after="0" w:line="25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Amounts for periods prior to the Company’s conversion to a Delaware corporation have been retrospectively adjusted to give effect to the organizational transactions described in Note 1. See Note 7 for further discussion.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25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58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w w:val="98"/>
              </w:rPr>
              <w:t>October 30,</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3"/>
              <w:spacing w:after="0" w:line="133" w:lineRule="exact"/>
              <w:rPr>
                <w:sz w:val="20"/>
                <w:szCs w:val="20"/>
                <w:color w:val="auto"/>
              </w:rPr>
            </w:pPr>
            <w:r>
              <w:rPr>
                <w:rFonts w:ascii="Arial" w:cs="Arial" w:eastAsia="Arial" w:hAnsi="Arial"/>
                <w:sz w:val="14"/>
                <w:szCs w:val="14"/>
                <w:b w:val="1"/>
                <w:bCs w:val="1"/>
                <w:color w:val="auto"/>
                <w:w w:val="98"/>
              </w:rPr>
              <w:t>October 31,</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8"/>
              </w:rPr>
              <w:t>October 30,</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3"/>
              <w:spacing w:after="0" w:line="133" w:lineRule="exact"/>
              <w:rPr>
                <w:sz w:val="20"/>
                <w:szCs w:val="20"/>
                <w:color w:val="auto"/>
              </w:rPr>
            </w:pPr>
            <w:r>
              <w:rPr>
                <w:rFonts w:ascii="Arial" w:cs="Arial" w:eastAsia="Arial" w:hAnsi="Arial"/>
                <w:sz w:val="14"/>
                <w:szCs w:val="14"/>
                <w:b w:val="1"/>
                <w:bCs w:val="1"/>
                <w:color w:val="auto"/>
                <w:w w:val="98"/>
              </w:rPr>
              <w:t>October 31,</w:t>
            </w:r>
          </w:p>
        </w:tc>
        <w:tc>
          <w:tcPr>
            <w:tcW w:w="100" w:type="dxa"/>
            <w:vAlign w:val="bottom"/>
          </w:tcPr>
          <w:p>
            <w:pPr>
              <w:spacing w:after="0"/>
              <w:rPr>
                <w:sz w:val="11"/>
                <w:szCs w:val="11"/>
                <w:color w:val="auto"/>
              </w:rPr>
            </w:pPr>
          </w:p>
        </w:tc>
      </w:tr>
      <w:tr>
        <w:trPr>
          <w:trHeight w:val="171"/>
        </w:trPr>
        <w:tc>
          <w:tcPr>
            <w:tcW w:w="58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(24,826)</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(4,502)</w:t>
            </w:r>
          </w:p>
        </w:tc>
      </w:tr>
      <w:tr>
        <w:trPr>
          <w:trHeight w:val="20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Class A and B-1</w:t>
            </w: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135,423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(20,324)</w:t>
            </w:r>
          </w:p>
        </w:tc>
      </w:tr>
      <w:tr>
        <w:trPr>
          <w:trHeight w:val="229"/>
        </w:trPr>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(3,747)</w:t>
            </w: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derivatives</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(77)</w:t>
            </w: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Losses on derivatives reclassified to income</w:t>
            </w:r>
          </w:p>
        </w:tc>
        <w:tc>
          <w:tcPr>
            <w:tcW w:w="14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19"/>
                <w:szCs w:val="19"/>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comprehensive (loss) income, net of tax</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3,023</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50,457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(22,804)</w:t>
            </w: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rPr>
              <w:t>Comprehensive loss attributable to noncontrolling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(1,297)</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(4,502)</w:t>
            </w:r>
          </w:p>
        </w:tc>
      </w:tr>
      <w:tr>
        <w:trPr>
          <w:trHeight w:val="20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 attributable to Class A and</w:t>
            </w: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B-1 common stockholders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51,696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134,370</w:t>
            </w:r>
          </w:p>
        </w:tc>
        <w:tc>
          <w:tcPr>
            <w:tcW w:w="1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(18,302)</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CONSOLIDATED STATEMENTS OF STOCKHOLDERS’ / MEMBERS’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w w:val="98"/>
              </w:rPr>
              <w:t>Common stock</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(Accumulated</w:t>
            </w:r>
          </w:p>
        </w:tc>
        <w:tc>
          <w:tcPr>
            <w:tcW w:w="100" w:type="dxa"/>
            <w:vAlign w:val="bottom"/>
          </w:tcPr>
          <w:p>
            <w:pPr>
              <w:spacing w:after="0"/>
              <w:rPr>
                <w:sz w:val="11"/>
                <w:szCs w:val="11"/>
                <w:color w:val="auto"/>
              </w:rPr>
            </w:pPr>
          </w:p>
        </w:tc>
        <w:tc>
          <w:tcPr>
            <w:tcW w:w="78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w w:val="89"/>
              </w:rPr>
              <w:t>Accumulated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8"/>
              </w:rPr>
              <w:t>Class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Class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Class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9"/>
              </w:rPr>
              <w:t>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94"/>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340"/>
              <w:spacing w:after="0" w:line="122" w:lineRule="exact"/>
              <w:rPr>
                <w:sz w:val="20"/>
                <w:szCs w:val="20"/>
                <w:color w:val="auto"/>
              </w:rPr>
            </w:pPr>
            <w:r>
              <w:rPr>
                <w:rFonts w:ascii="Arial" w:cs="Arial" w:eastAsia="Arial" w:hAnsi="Arial"/>
                <w:sz w:val="11"/>
                <w:szCs w:val="11"/>
                <w:b w:val="1"/>
                <w:bCs w:val="1"/>
                <w:color w:val="auto"/>
              </w:rPr>
              <w:t>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Members’</w:t>
            </w:r>
          </w:p>
        </w:tc>
        <w:tc>
          <w:tcPr>
            <w:tcW w:w="4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B-1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B-2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00"/>
              <w:spacing w:after="0" w:line="122" w:lineRule="exact"/>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3"/>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retained</w:t>
            </w:r>
          </w:p>
        </w:tc>
        <w:tc>
          <w:tcPr>
            <w:tcW w:w="100" w:type="dxa"/>
            <w:vAlign w:val="bottom"/>
          </w:tcPr>
          <w:p>
            <w:pPr>
              <w:spacing w:after="0"/>
              <w:rPr>
                <w:sz w:val="10"/>
                <w:szCs w:val="10"/>
                <w:color w:val="auto"/>
              </w:rPr>
            </w:pPr>
          </w:p>
        </w:tc>
        <w:tc>
          <w:tcPr>
            <w:tcW w:w="78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w w:val="94"/>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5"/>
              </w:rPr>
              <w:t>stockholders’</w:t>
            </w:r>
          </w:p>
        </w:tc>
        <w:tc>
          <w:tcPr>
            <w:tcW w:w="80" w:type="dxa"/>
            <w:vAlign w:val="bottom"/>
          </w:tcPr>
          <w:p>
            <w:pPr>
              <w:spacing w:after="0"/>
              <w:rPr>
                <w:sz w:val="10"/>
                <w:szCs w:val="10"/>
                <w:color w:val="auto"/>
              </w:rPr>
            </w:pPr>
          </w:p>
        </w:tc>
        <w:tc>
          <w:tcPr>
            <w:tcW w:w="8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Noncontrolling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740" w:type="dxa"/>
            <w:vAlign w:val="bottom"/>
            <w:tcBorders>
              <w:bottom w:val="single" w:sz="8" w:color="CFF0FC"/>
            </w:tcBorders>
          </w:tcPr>
          <w:p>
            <w:pPr>
              <w:spacing w:after="0"/>
              <w:rPr>
                <w:sz w:val="11"/>
                <w:szCs w:val="11"/>
                <w:color w:val="auto"/>
              </w:rPr>
            </w:pPr>
          </w:p>
        </w:tc>
        <w:tc>
          <w:tcPr>
            <w:tcW w:w="92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8"/>
              </w:rPr>
              <w:t>interest (1)</w:t>
            </w:r>
          </w:p>
        </w:tc>
        <w:tc>
          <w:tcPr>
            <w:tcW w:w="260" w:type="dxa"/>
            <w:vAlign w:val="bottom"/>
            <w:tcBorders>
              <w:bottom w:val="single" w:sz="8" w:color="CFF0FC"/>
            </w:tcBorders>
            <w:gridSpan w:val="2"/>
          </w:tcPr>
          <w:p>
            <w:pPr>
              <w:spacing w:after="0"/>
              <w:rPr>
                <w:sz w:val="11"/>
                <w:szCs w:val="11"/>
                <w:color w:val="auto"/>
              </w:rPr>
            </w:pPr>
          </w:p>
        </w:tc>
        <w:tc>
          <w:tcPr>
            <w:tcW w:w="4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capital</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earnings (1)</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w w:val="72"/>
              </w:rPr>
              <w:t>loss</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equity</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interest</w:t>
            </w:r>
          </w:p>
        </w:tc>
        <w:tc>
          <w:tcPr>
            <w:tcW w:w="16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January 30, 2021</w:t>
            </w:r>
          </w:p>
        </w:tc>
        <w:tc>
          <w:tcPr>
            <w:tcW w:w="920" w:type="dxa"/>
            <w:vAlign w:val="bottom"/>
            <w:tcBorders>
              <w:right w:val="single" w:sz="8" w:color="CFF0FC"/>
            </w:tcBorders>
            <w:shd w:val="clear" w:color="auto" w:fill="CFF0FC"/>
          </w:tcPr>
          <w:p>
            <w:pPr>
              <w:ind w:left="820"/>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5"/>
              </w:rPr>
              <w:t>226,424</w:t>
            </w:r>
          </w:p>
        </w:tc>
        <w:tc>
          <w:tcPr>
            <w:tcW w:w="6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620" w:type="dxa"/>
            <w:vAlign w:val="bottom"/>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6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2,092,110</w:t>
            </w:r>
          </w:p>
        </w:tc>
        <w:tc>
          <w:tcPr>
            <w:tcW w:w="1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FF0FC"/>
          </w:tcPr>
          <w:p>
            <w:pPr>
              <w:jc w:val="right"/>
              <w:ind w:right="80"/>
              <w:spacing w:after="0"/>
              <w:rPr>
                <w:sz w:val="20"/>
                <w:szCs w:val="20"/>
                <w:color w:val="auto"/>
              </w:rPr>
            </w:pPr>
            <w:r>
              <w:rPr>
                <w:rFonts w:ascii="Arial" w:cs="Arial" w:eastAsia="Arial" w:hAnsi="Arial"/>
                <w:sz w:val="11"/>
                <w:szCs w:val="11"/>
                <w:color w:val="auto"/>
              </w:rPr>
              <w:t>(22,251)</w:t>
            </w: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w w:val="97"/>
              </w:rPr>
              <w:t>$</w:t>
            </w: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(1,275)</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2,068,848</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(13,583)</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2,055,265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w w:val="95"/>
              </w:rPr>
              <w:t>Equity-based compensation expense</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(Note 7)</w:t>
            </w:r>
          </w:p>
        </w:tc>
        <w:tc>
          <w:tcPr>
            <w:tcW w:w="920" w:type="dxa"/>
            <w:vAlign w:val="bottom"/>
          </w:tcPr>
          <w:p>
            <w:pPr>
              <w:spacing w:after="0"/>
              <w:rPr>
                <w:sz w:val="11"/>
                <w:szCs w:val="11"/>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11,604</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11,604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11,604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7,560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7,560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(1,411)</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6,149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920" w:type="dxa"/>
            <w:vAlign w:val="bottom"/>
          </w:tcPr>
          <w:p>
            <w:pPr>
              <w:spacing w:after="0"/>
              <w:rPr>
                <w:sz w:val="11"/>
                <w:szCs w:val="11"/>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(786)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(786)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(786)</w:t>
            </w:r>
          </w:p>
        </w:tc>
        <w:tc>
          <w:tcPr>
            <w:tcW w:w="0" w:type="dxa"/>
            <w:vAlign w:val="bottom"/>
          </w:tcPr>
          <w:p>
            <w:pPr>
              <w:spacing w:after="0"/>
              <w:rPr>
                <w:sz w:val="1"/>
                <w:szCs w:val="1"/>
                <w:color w:val="auto"/>
              </w:rPr>
            </w:pPr>
          </w:p>
        </w:tc>
      </w:tr>
      <w:tr>
        <w:trPr>
          <w:trHeight w:val="135"/>
        </w:trPr>
        <w:tc>
          <w:tcPr>
            <w:tcW w:w="1740" w:type="dxa"/>
            <w:vAlign w:val="bottom"/>
            <w:shd w:val="clear" w:color="auto" w:fill="CFF0FC"/>
          </w:tcPr>
          <w:p>
            <w:pPr>
              <w:spacing w:after="0"/>
              <w:rPr>
                <w:sz w:val="20"/>
                <w:szCs w:val="20"/>
                <w:color w:val="auto"/>
              </w:rPr>
            </w:pPr>
            <w:r>
              <w:rPr>
                <w:rFonts w:ascii="Arial" w:cs="Arial" w:eastAsia="Arial" w:hAnsi="Arial"/>
                <w:sz w:val="11"/>
                <w:szCs w:val="11"/>
                <w:color w:val="auto"/>
              </w:rPr>
              <w:t>Issuance of restricted stock awards</w:t>
            </w:r>
          </w:p>
        </w:tc>
        <w:tc>
          <w:tcPr>
            <w:tcW w:w="920" w:type="dxa"/>
            <w:vAlign w:val="bottom"/>
            <w:tcBorders>
              <w:right w:val="single" w:sz="8" w:color="CFF0FC"/>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gridSpan w:val="2"/>
            <w:shd w:val="clear" w:color="auto" w:fill="CFF0FC"/>
          </w:tcPr>
          <w:p>
            <w:pPr>
              <w:spacing w:after="0"/>
              <w:rPr>
                <w:sz w:val="11"/>
                <w:szCs w:val="11"/>
                <w:color w:val="auto"/>
              </w:rPr>
            </w:pP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40" w:type="dxa"/>
            <w:vAlign w:val="bottom"/>
          </w:tcPr>
          <w:p>
            <w:pPr>
              <w:spacing w:after="0"/>
              <w:rPr>
                <w:sz w:val="20"/>
                <w:szCs w:val="20"/>
                <w:color w:val="auto"/>
              </w:rPr>
            </w:pPr>
            <w:r>
              <w:rPr>
                <w:rFonts w:ascii="Arial" w:cs="Arial" w:eastAsia="Arial" w:hAnsi="Arial"/>
                <w:sz w:val="11"/>
                <w:szCs w:val="11"/>
                <w:b w:val="1"/>
                <w:bCs w:val="1"/>
                <w:color w:val="auto"/>
              </w:rPr>
              <w:t>Balance at May 1, 2021</w:t>
            </w:r>
          </w:p>
        </w:tc>
        <w:tc>
          <w:tcPr>
            <w:tcW w:w="920" w:type="dxa"/>
            <w:vAlign w:val="bottom"/>
          </w:tcPr>
          <w:p>
            <w:pPr>
              <w:ind w:left="820"/>
              <w:spacing w:after="0"/>
              <w:rPr>
                <w:sz w:val="20"/>
                <w:szCs w:val="20"/>
                <w:color w:val="auto"/>
              </w:rPr>
            </w:pPr>
            <w:r>
              <w:rPr>
                <w:rFonts w:ascii="Arial" w:cs="Arial" w:eastAsia="Arial" w:hAnsi="Arial"/>
                <w:sz w:val="11"/>
                <w:szCs w:val="11"/>
                <w:color w:val="auto"/>
                <w:w w:val="97"/>
              </w:rPr>
              <w:t>$</w:t>
            </w: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226,479</w:t>
            </w: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37,791</w:t>
            </w:r>
          </w:p>
        </w:tc>
        <w:tc>
          <w:tcPr>
            <w:tcW w:w="620" w:type="dxa"/>
            <w:vAlign w:val="bottom"/>
            <w:gridSpan w:val="4"/>
          </w:tcPr>
          <w:p>
            <w:pPr>
              <w:jc w:val="right"/>
              <w:ind w:right="20"/>
              <w:spacing w:after="0"/>
              <w:rPr>
                <w:sz w:val="20"/>
                <w:szCs w:val="20"/>
                <w:color w:val="auto"/>
              </w:rPr>
            </w:pPr>
            <w:r>
              <w:rPr>
                <w:rFonts w:ascii="Arial" w:cs="Arial" w:eastAsia="Arial" w:hAnsi="Arial"/>
                <w:sz w:val="11"/>
                <w:szCs w:val="11"/>
                <w:color w:val="auto"/>
              </w:rPr>
              <w:t>37,791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264</w:t>
            </w:r>
          </w:p>
        </w:tc>
        <w:tc>
          <w:tcPr>
            <w:tcW w:w="260" w:type="dxa"/>
            <w:vAlign w:val="bottom"/>
            <w:gridSpan w:val="2"/>
          </w:tcPr>
          <w:p>
            <w:pPr>
              <w:ind w:left="20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2,103,714</w:t>
            </w:r>
          </w:p>
        </w:tc>
        <w:tc>
          <w:tcPr>
            <w:tcW w:w="16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1"/>
                <w:szCs w:val="11"/>
                <w:color w:val="auto"/>
              </w:rPr>
              <w:t>(14,691)</w:t>
            </w: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(2,061)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2,087,226</w:t>
            </w:r>
          </w:p>
        </w:tc>
        <w:tc>
          <w:tcPr>
            <w:tcW w:w="140" w:type="dxa"/>
            <w:vAlign w:val="bottom"/>
          </w:tcPr>
          <w:p>
            <w:pPr>
              <w:spacing w:after="0"/>
              <w:rPr>
                <w:sz w:val="14"/>
                <w:szCs w:val="14"/>
                <w:color w:val="auto"/>
              </w:rPr>
            </w:pP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(14,994)</w:t>
            </w: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2,072,232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40" w:type="dxa"/>
            <w:vAlign w:val="bottom"/>
            <w:tcBorders>
              <w:top w:val="single" w:sz="8" w:color="CFF0FC"/>
            </w:tcBorders>
            <w:shd w:val="clear" w:color="auto" w:fill="CFF0FC"/>
          </w:tcPr>
          <w:p>
            <w:pPr>
              <w:spacing w:after="0" w:line="106" w:lineRule="exact"/>
              <w:rPr>
                <w:sz w:val="20"/>
                <w:szCs w:val="20"/>
                <w:color w:val="auto"/>
              </w:rPr>
            </w:pPr>
            <w:r>
              <w:rPr>
                <w:rFonts w:ascii="Arial" w:cs="Arial" w:eastAsia="Arial" w:hAnsi="Arial"/>
                <w:sz w:val="11"/>
                <w:szCs w:val="11"/>
                <w:color w:val="auto"/>
                <w:w w:val="95"/>
              </w:rPr>
              <w:t>Equity-based compensation expense</w:t>
            </w:r>
          </w:p>
        </w:tc>
        <w:tc>
          <w:tcPr>
            <w:tcW w:w="920" w:type="dxa"/>
            <w:vAlign w:val="bottom"/>
            <w:tcBorders>
              <w:top w:val="single" w:sz="8" w:color="CFF0FC"/>
              <w:right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200" w:type="dxa"/>
            <w:vAlign w:val="bottom"/>
            <w:tcBorders>
              <w:top w:val="single" w:sz="8" w:color="CFF0FC"/>
              <w:right w:val="single" w:sz="8" w:color="CFF0FC"/>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CFF0FC"/>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right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right w:val="single" w:sz="8" w:color="CFF0FC"/>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right w:val="single" w:sz="8" w:color="CFF0FC"/>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7)</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11,506</w:t>
            </w:r>
          </w:p>
        </w:tc>
        <w:tc>
          <w:tcPr>
            <w:tcW w:w="16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11,506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11,506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20"/>
                <w:szCs w:val="20"/>
                <w:color w:val="auto"/>
              </w:rPr>
            </w:pPr>
            <w:r>
              <w:rPr>
                <w:rFonts w:ascii="Arial" w:cs="Arial" w:eastAsia="Arial" w:hAnsi="Arial"/>
                <w:sz w:val="11"/>
                <w:szCs w:val="11"/>
                <w:color w:val="auto"/>
              </w:rPr>
              <w:t>Net income</w:t>
            </w:r>
          </w:p>
        </w:tc>
        <w:tc>
          <w:tcPr>
            <w:tcW w:w="920" w:type="dxa"/>
            <w:vAlign w:val="bottom"/>
          </w:tcPr>
          <w:p>
            <w:pPr>
              <w:spacing w:after="0"/>
              <w:rPr>
                <w:sz w:val="11"/>
                <w:szCs w:val="11"/>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75,111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75,111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(256)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74,855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920" w:type="dxa"/>
            <w:vAlign w:val="bottom"/>
            <w:tcBorders>
              <w:right w:val="single" w:sz="8" w:color="CFF0FC"/>
            </w:tcBorders>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789</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789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789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Borders>
              <w:bottom w:val="single" w:sz="8" w:color="CFF0FC"/>
            </w:tcBorders>
          </w:tcPr>
          <w:p>
            <w:pPr>
              <w:spacing w:after="0"/>
              <w:rPr>
                <w:sz w:val="20"/>
                <w:szCs w:val="20"/>
                <w:color w:val="auto"/>
              </w:rPr>
            </w:pPr>
            <w:r>
              <w:rPr>
                <w:rFonts w:ascii="Arial" w:cs="Arial" w:eastAsia="Arial" w:hAnsi="Arial"/>
                <w:sz w:val="11"/>
                <w:szCs w:val="11"/>
                <w:color w:val="auto"/>
              </w:rPr>
              <w:t>Issuance of common stock</w:t>
            </w:r>
          </w:p>
        </w:tc>
        <w:tc>
          <w:tcPr>
            <w:tcW w:w="92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FF0FC"/>
            </w:tcBorders>
            <w:gridSpan w:val="2"/>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July 31, 2021</w:t>
            </w:r>
          </w:p>
        </w:tc>
        <w:tc>
          <w:tcPr>
            <w:tcW w:w="920" w:type="dxa"/>
            <w:vAlign w:val="bottom"/>
            <w:tcBorders>
              <w:right w:val="single" w:sz="8" w:color="CFF0FC"/>
            </w:tcBorders>
            <w:shd w:val="clear" w:color="auto" w:fill="CFF0FC"/>
          </w:tcPr>
          <w:p>
            <w:pPr>
              <w:ind w:left="820"/>
              <w:spacing w:after="0"/>
              <w:rPr>
                <w:sz w:val="20"/>
                <w:szCs w:val="20"/>
                <w:color w:val="auto"/>
              </w:rPr>
            </w:pPr>
            <w:r>
              <w:rPr>
                <w:rFonts w:ascii="Arial" w:cs="Arial" w:eastAsia="Arial" w:hAnsi="Arial"/>
                <w:sz w:val="11"/>
                <w:szCs w:val="11"/>
                <w:color w:val="auto"/>
                <w:w w:val="97"/>
              </w:rPr>
              <w:t>$</w:t>
            </w:r>
          </w:p>
        </w:tc>
        <w:tc>
          <w:tcPr>
            <w:tcW w:w="78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w w:val="95"/>
              </w:rPr>
              <w:t>226,491</w:t>
            </w:r>
          </w:p>
        </w:tc>
        <w:tc>
          <w:tcPr>
            <w:tcW w:w="6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620" w:type="dxa"/>
            <w:vAlign w:val="bottom"/>
            <w:gridSpan w:val="4"/>
            <w:shd w:val="clear" w:color="auto" w:fill="CFF0FC"/>
          </w:tcPr>
          <w:p>
            <w:pPr>
              <w:jc w:val="right"/>
              <w:ind w:right="20"/>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60" w:type="dxa"/>
            <w:vAlign w:val="bottom"/>
            <w:tcBorders>
              <w:right w:val="single" w:sz="8" w:color="CFF0FC"/>
            </w:tcBorders>
            <w:gridSpan w:val="2"/>
            <w:shd w:val="clear" w:color="auto" w:fill="CFF0FC"/>
          </w:tcPr>
          <w:p>
            <w:pPr>
              <w:ind w:left="200"/>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2,115,220</w:t>
            </w:r>
          </w:p>
        </w:tc>
        <w:tc>
          <w:tcPr>
            <w:tcW w:w="160" w:type="dxa"/>
            <w:vAlign w:val="bottom"/>
            <w:shd w:val="clear" w:color="auto" w:fill="CFF0FC"/>
          </w:tcPr>
          <w:p>
            <w:pPr>
              <w:spacing w:after="0"/>
              <w:rPr>
                <w:sz w:val="11"/>
                <w:szCs w:val="11"/>
                <w:color w:val="auto"/>
              </w:rPr>
            </w:pPr>
          </w:p>
        </w:tc>
        <w:tc>
          <w:tcPr>
            <w:tcW w:w="140" w:type="dxa"/>
            <w:vAlign w:val="bottom"/>
            <w:gridSpan w:val="2"/>
            <w:shd w:val="clear" w:color="auto" w:fill="CFF0FC"/>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60,420</w:t>
            </w:r>
          </w:p>
        </w:tc>
        <w:tc>
          <w:tcPr>
            <w:tcW w:w="120" w:type="dxa"/>
            <w:vAlign w:val="bottom"/>
            <w:shd w:val="clear" w:color="auto" w:fill="CFF0FC"/>
          </w:tcPr>
          <w:p>
            <w:pPr>
              <w:spacing w:after="0"/>
              <w:rPr>
                <w:sz w:val="11"/>
                <w:szCs w:val="11"/>
                <w:color w:val="auto"/>
              </w:rPr>
            </w:pPr>
          </w:p>
        </w:tc>
        <w:tc>
          <w:tcPr>
            <w:tcW w:w="18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w w:val="97"/>
              </w:rPr>
              <w:t>$</w:t>
            </w:r>
          </w:p>
        </w:tc>
        <w:tc>
          <w:tcPr>
            <w:tcW w:w="700" w:type="dxa"/>
            <w:vAlign w:val="bottom"/>
            <w:gridSpan w:val="3"/>
            <w:shd w:val="clear" w:color="auto" w:fill="CFF0FC"/>
          </w:tcPr>
          <w:p>
            <w:pPr>
              <w:jc w:val="right"/>
              <w:ind w:right="60"/>
              <w:spacing w:after="0"/>
              <w:rPr>
                <w:sz w:val="20"/>
                <w:szCs w:val="20"/>
                <w:color w:val="auto"/>
              </w:rPr>
            </w:pPr>
            <w:r>
              <w:rPr>
                <w:rFonts w:ascii="Arial" w:cs="Arial" w:eastAsia="Arial" w:hAnsi="Arial"/>
                <w:sz w:val="11"/>
                <w:szCs w:val="11"/>
                <w:color w:val="auto"/>
              </w:rPr>
              <w:t>(1,272)</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5"/>
                <w:szCs w:val="5"/>
                <w:color w:val="auto"/>
                <w:w w:val="70"/>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2,174,632</w:t>
            </w:r>
          </w:p>
        </w:tc>
        <w:tc>
          <w:tcPr>
            <w:tcW w:w="140" w:type="dxa"/>
            <w:vAlign w:val="bottom"/>
            <w:shd w:val="clear" w:color="auto" w:fill="CFF0FC"/>
          </w:tcPr>
          <w:p>
            <w:pPr>
              <w:spacing w:after="0"/>
              <w:rPr>
                <w:sz w:val="11"/>
                <w:szCs w:val="11"/>
                <w:color w:val="auto"/>
              </w:rPr>
            </w:pPr>
          </w:p>
        </w:tc>
        <w:tc>
          <w:tcPr>
            <w:tcW w:w="160" w:type="dxa"/>
            <w:vAlign w:val="bottom"/>
            <w:gridSpan w:val="2"/>
            <w:shd w:val="clear" w:color="auto" w:fill="CFF0FC"/>
          </w:tcPr>
          <w:p>
            <w:pPr>
              <w:ind w:left="80"/>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(15,250)</w:t>
            </w: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2,159,382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w w:val="95"/>
              </w:rPr>
              <w:t>Equity-based compensation expense</w:t>
            </w:r>
          </w:p>
        </w:tc>
        <w:tc>
          <w:tcPr>
            <w:tcW w:w="9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(Note 7)</w:t>
            </w:r>
          </w:p>
        </w:tc>
        <w:tc>
          <w:tcPr>
            <w:tcW w:w="920" w:type="dxa"/>
            <w:vAlign w:val="bottom"/>
          </w:tcPr>
          <w:p>
            <w:pPr>
              <w:spacing w:after="0"/>
              <w:rPr>
                <w:sz w:val="11"/>
                <w:szCs w:val="11"/>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11,087</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11,087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11,087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52,752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52,752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(1,239)</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51,513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920" w:type="dxa"/>
            <w:vAlign w:val="bottom"/>
          </w:tcPr>
          <w:p>
            <w:pPr>
              <w:spacing w:after="0"/>
              <w:rPr>
                <w:sz w:val="11"/>
                <w:szCs w:val="11"/>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(1,056)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(1,056)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Issuance of common stock,</w:t>
            </w:r>
          </w:p>
        </w:tc>
        <w:tc>
          <w:tcPr>
            <w:tcW w:w="920" w:type="dxa"/>
            <w:vAlign w:val="bottom"/>
            <w:tcBorders>
              <w:right w:val="single" w:sz="8" w:color="CFF0FC"/>
            </w:tcBorders>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including tax effects</w:t>
            </w:r>
          </w:p>
        </w:tc>
        <w:tc>
          <w:tcPr>
            <w:tcW w:w="920" w:type="dxa"/>
            <w:vAlign w:val="bottom"/>
            <w:tcBorders>
              <w:right w:val="single" w:sz="8" w:color="CFF0FC"/>
            </w:tcBorders>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gridSpan w:val="2"/>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(13)</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(13)</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rPr>
                <w:sz w:val="20"/>
                <w:szCs w:val="20"/>
                <w:color w:val="auto"/>
              </w:rPr>
            </w:pPr>
            <w:r>
              <w:rPr>
                <w:rFonts w:ascii="Arial" w:cs="Arial" w:eastAsia="Arial" w:hAnsi="Arial"/>
                <w:sz w:val="11"/>
                <w:szCs w:val="11"/>
                <w:b w:val="1"/>
                <w:bCs w:val="1"/>
                <w:color w:val="auto"/>
              </w:rPr>
              <w:t>Balance at October 30, 2021</w:t>
            </w:r>
          </w:p>
        </w:tc>
        <w:tc>
          <w:tcPr>
            <w:tcW w:w="9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740" w:type="dxa"/>
            <w:vAlign w:val="bottom"/>
            <w:vMerge w:val="continue"/>
          </w:tcPr>
          <w:p>
            <w:pPr>
              <w:spacing w:after="0"/>
              <w:rPr>
                <w:sz w:val="11"/>
                <w:szCs w:val="11"/>
                <w:color w:val="auto"/>
              </w:rPr>
            </w:pPr>
          </w:p>
        </w:tc>
        <w:tc>
          <w:tcPr>
            <w:tcW w:w="920" w:type="dxa"/>
            <w:vAlign w:val="bottom"/>
          </w:tcPr>
          <w:p>
            <w:pPr>
              <w:ind w:left="820"/>
              <w:spacing w:after="0"/>
              <w:rPr>
                <w:sz w:val="20"/>
                <w:szCs w:val="20"/>
                <w:color w:val="auto"/>
              </w:rPr>
            </w:pPr>
            <w:r>
              <w:rPr>
                <w:rFonts w:ascii="Arial" w:cs="Arial" w:eastAsia="Arial" w:hAnsi="Arial"/>
                <w:sz w:val="11"/>
                <w:szCs w:val="11"/>
                <w:color w:val="auto"/>
                <w:w w:val="97"/>
              </w:rPr>
              <w:t>$</w:t>
            </w:r>
          </w:p>
        </w:tc>
        <w:tc>
          <w:tcPr>
            <w:tcW w:w="780" w:type="dxa"/>
            <w:vAlign w:val="bottom"/>
            <w:gridSpan w:val="3"/>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w w:val="95"/>
              </w:rPr>
              <w:t>226,492</w:t>
            </w:r>
          </w:p>
        </w:tc>
        <w:tc>
          <w:tcPr>
            <w:tcW w:w="620" w:type="dxa"/>
            <w:vAlign w:val="bottom"/>
            <w:gridSpan w:val="3"/>
          </w:tcPr>
          <w:p>
            <w:pPr>
              <w:jc w:val="right"/>
              <w:spacing w:after="0"/>
              <w:rPr>
                <w:sz w:val="20"/>
                <w:szCs w:val="20"/>
                <w:color w:val="auto"/>
              </w:rPr>
            </w:pPr>
            <w:r>
              <w:rPr>
                <w:rFonts w:ascii="Arial" w:cs="Arial" w:eastAsia="Arial" w:hAnsi="Arial"/>
                <w:sz w:val="11"/>
                <w:szCs w:val="11"/>
                <w:color w:val="auto"/>
              </w:rPr>
              <w:t>37,791</w:t>
            </w:r>
          </w:p>
        </w:tc>
        <w:tc>
          <w:tcPr>
            <w:tcW w:w="620" w:type="dxa"/>
            <w:vAlign w:val="bottom"/>
            <w:gridSpan w:val="4"/>
          </w:tcPr>
          <w:p>
            <w:pPr>
              <w:jc w:val="right"/>
              <w:ind w:right="20"/>
              <w:spacing w:after="0"/>
              <w:rPr>
                <w:sz w:val="20"/>
                <w:szCs w:val="20"/>
                <w:color w:val="auto"/>
              </w:rPr>
            </w:pPr>
            <w:r>
              <w:rPr>
                <w:rFonts w:ascii="Arial" w:cs="Arial" w:eastAsia="Arial" w:hAnsi="Arial"/>
                <w:sz w:val="11"/>
                <w:szCs w:val="11"/>
                <w:color w:val="auto"/>
              </w:rPr>
              <w:t>37,791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264</w:t>
            </w:r>
          </w:p>
        </w:tc>
        <w:tc>
          <w:tcPr>
            <w:tcW w:w="260" w:type="dxa"/>
            <w:vAlign w:val="bottom"/>
            <w:gridSpan w:val="2"/>
          </w:tcPr>
          <w:p>
            <w:pPr>
              <w:ind w:left="20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2,126,294</w:t>
            </w:r>
          </w:p>
        </w:tc>
        <w:tc>
          <w:tcPr>
            <w:tcW w:w="160" w:type="dxa"/>
            <w:vAlign w:val="bottom"/>
          </w:tcPr>
          <w:p>
            <w:pPr>
              <w:spacing w:after="0"/>
              <w:rPr>
                <w:sz w:val="11"/>
                <w:szCs w:val="11"/>
                <w:color w:val="auto"/>
              </w:rPr>
            </w:pPr>
          </w:p>
        </w:tc>
        <w:tc>
          <w:tcPr>
            <w:tcW w:w="140" w:type="dxa"/>
            <w:vAlign w:val="bottom"/>
            <w:gridSpan w:val="2"/>
          </w:tcPr>
          <w:p>
            <w:pPr>
              <w:ind w:lef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113,172</w:t>
            </w:r>
          </w:p>
        </w:tc>
        <w:tc>
          <w:tcPr>
            <w:tcW w:w="120" w:type="dxa"/>
            <w:vAlign w:val="bottom"/>
          </w:tcPr>
          <w:p>
            <w:pPr>
              <w:spacing w:after="0"/>
              <w:rPr>
                <w:sz w:val="11"/>
                <w:szCs w:val="11"/>
                <w:color w:val="auto"/>
              </w:rPr>
            </w:pPr>
          </w:p>
        </w:tc>
        <w:tc>
          <w:tcPr>
            <w:tcW w:w="180" w:type="dxa"/>
            <w:vAlign w:val="bottom"/>
            <w:gridSpan w:val="2"/>
          </w:tcPr>
          <w:p>
            <w:pPr>
              <w:ind w:left="100"/>
              <w:spacing w:after="0"/>
              <w:rPr>
                <w:sz w:val="20"/>
                <w:szCs w:val="20"/>
                <w:color w:val="auto"/>
              </w:rPr>
            </w:pPr>
            <w:r>
              <w:rPr>
                <w:rFonts w:ascii="Arial" w:cs="Arial" w:eastAsia="Arial" w:hAnsi="Arial"/>
                <w:sz w:val="11"/>
                <w:szCs w:val="11"/>
                <w:color w:val="auto"/>
                <w:w w:val="97"/>
              </w:rPr>
              <w:t>$</w:t>
            </w:r>
          </w:p>
        </w:tc>
        <w:tc>
          <w:tcPr>
            <w:tcW w:w="700" w:type="dxa"/>
            <w:vAlign w:val="bottom"/>
            <w:gridSpan w:val="3"/>
          </w:tcPr>
          <w:p>
            <w:pPr>
              <w:jc w:val="right"/>
              <w:ind w:right="60"/>
              <w:spacing w:after="0"/>
              <w:rPr>
                <w:sz w:val="20"/>
                <w:szCs w:val="20"/>
                <w:color w:val="auto"/>
              </w:rPr>
            </w:pPr>
            <w:r>
              <w:rPr>
                <w:rFonts w:ascii="Arial" w:cs="Arial" w:eastAsia="Arial" w:hAnsi="Arial"/>
                <w:sz w:val="11"/>
                <w:szCs w:val="11"/>
                <w:color w:val="auto"/>
              </w:rPr>
              <w:t>(2,328)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Arial" w:cs="Arial" w:eastAsia="Arial" w:hAnsi="Arial"/>
                <w:sz w:val="5"/>
                <w:szCs w:val="5"/>
                <w:color w:val="auto"/>
                <w:w w:val="70"/>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2,237,402</w:t>
            </w:r>
          </w:p>
        </w:tc>
        <w:tc>
          <w:tcPr>
            <w:tcW w:w="140" w:type="dxa"/>
            <w:vAlign w:val="bottom"/>
          </w:tcPr>
          <w:p>
            <w:pPr>
              <w:spacing w:after="0"/>
              <w:rPr>
                <w:sz w:val="11"/>
                <w:szCs w:val="11"/>
                <w:color w:val="auto"/>
              </w:rPr>
            </w:pPr>
          </w:p>
        </w:tc>
        <w:tc>
          <w:tcPr>
            <w:tcW w:w="160" w:type="dxa"/>
            <w:vAlign w:val="bottom"/>
            <w:gridSpan w:val="2"/>
          </w:tcPr>
          <w:p>
            <w:pPr>
              <w:ind w:left="80"/>
              <w:spacing w:after="0"/>
              <w:rPr>
                <w:sz w:val="20"/>
                <w:szCs w:val="20"/>
                <w:color w:val="auto"/>
              </w:rPr>
            </w:pPr>
            <w:r>
              <w:rPr>
                <w:rFonts w:ascii="Arial" w:cs="Arial" w:eastAsia="Arial" w:hAnsi="Arial"/>
                <w:sz w:val="11"/>
                <w:szCs w:val="11"/>
                <w:color w:val="auto"/>
                <w:w w:val="97"/>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(16,489)</w:t>
            </w: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2,220,913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ind w:left="240"/>
              <w:spacing w:after="0"/>
              <w:rPr>
                <w:sz w:val="20"/>
                <w:szCs w:val="20"/>
                <w:color w:val="auto"/>
              </w:rPr>
            </w:pPr>
            <w:r>
              <w:rPr>
                <w:rFonts w:ascii="Arial" w:cs="Arial" w:eastAsia="Arial" w:hAnsi="Arial"/>
                <w:sz w:val="11"/>
                <w:szCs w:val="11"/>
                <w:b w:val="1"/>
                <w:bCs w:val="1"/>
                <w:color w:val="auto"/>
                <w:w w:val="98"/>
              </w:rPr>
              <w:t>Common stock</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vMerge w:val="restart"/>
          </w:tcPr>
          <w:p>
            <w:pPr>
              <w:jc w:val="center"/>
              <w:ind w:right="180"/>
              <w:spacing w:after="0"/>
              <w:rPr>
                <w:sz w:val="20"/>
                <w:szCs w:val="20"/>
                <w:color w:val="auto"/>
              </w:rPr>
            </w:pPr>
            <w:r>
              <w:rPr>
                <w:rFonts w:ascii="Arial" w:cs="Arial" w:eastAsia="Arial" w:hAnsi="Arial"/>
                <w:sz w:val="11"/>
                <w:szCs w:val="11"/>
                <w:b w:val="1"/>
                <w:bCs w:val="1"/>
                <w:color w:val="auto"/>
                <w:w w:val="89"/>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1"/>
              </w:rPr>
              <w:t>Class</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81"/>
              </w:rPr>
              <w:t>Class</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1"/>
              </w:rPr>
              <w:t>Class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87"/>
              </w:rPr>
              <w:t>other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w w:val="98"/>
              </w:rPr>
              <w:t>Total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7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gridSpan w:val="3"/>
          </w:tcPr>
          <w:p>
            <w:pPr>
              <w:jc w:val="right"/>
              <w:ind w:right="280"/>
              <w:spacing w:after="0" w:line="122" w:lineRule="exact"/>
              <w:rPr>
                <w:sz w:val="20"/>
                <w:szCs w:val="20"/>
                <w:color w:val="auto"/>
              </w:rPr>
            </w:pPr>
            <w:r>
              <w:rPr>
                <w:rFonts w:ascii="Arial" w:cs="Arial" w:eastAsia="Arial" w:hAnsi="Arial"/>
                <w:sz w:val="11"/>
                <w:szCs w:val="11"/>
                <w:b w:val="1"/>
                <w:bCs w:val="1"/>
                <w:color w:val="auto"/>
                <w:w w:val="93"/>
              </w:rPr>
              <w:t>Members’</w:t>
            </w:r>
          </w:p>
        </w:tc>
        <w:tc>
          <w:tcPr>
            <w:tcW w:w="4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A</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0"/>
              </w:rPr>
              <w:t>B-1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B-2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w w:val="94"/>
              </w:rPr>
              <w:t>paid-in</w:t>
            </w:r>
          </w:p>
        </w:tc>
        <w:tc>
          <w:tcPr>
            <w:tcW w:w="82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Accumulated</w:t>
            </w:r>
          </w:p>
        </w:tc>
        <w:tc>
          <w:tcPr>
            <w:tcW w:w="88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comprehensive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members’</w:t>
            </w:r>
          </w:p>
        </w:tc>
        <w:tc>
          <w:tcPr>
            <w:tcW w:w="94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Noncontrolling</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5"/>
        </w:trPr>
        <w:tc>
          <w:tcPr>
            <w:tcW w:w="1740" w:type="dxa"/>
            <w:vAlign w:val="bottom"/>
            <w:tcBorders>
              <w:bottom w:val="single" w:sz="8" w:color="CFF0FC"/>
            </w:tcBorders>
          </w:tcPr>
          <w:p>
            <w:pPr>
              <w:spacing w:after="0"/>
              <w:rPr>
                <w:sz w:val="11"/>
                <w:szCs w:val="11"/>
                <w:color w:val="auto"/>
              </w:rPr>
            </w:pPr>
          </w:p>
        </w:tc>
        <w:tc>
          <w:tcPr>
            <w:tcW w:w="9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w w:val="85"/>
              </w:rPr>
              <w:t>interest (1)</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84"/>
              </w:rPr>
              <w:t>(shares)</w:t>
            </w:r>
          </w:p>
        </w:tc>
        <w:tc>
          <w:tcPr>
            <w:tcW w:w="180" w:type="dxa"/>
            <w:vAlign w:val="bottom"/>
            <w:tcBorders>
              <w:bottom w:val="single" w:sz="8" w:color="CFF0FC"/>
            </w:tcBorders>
          </w:tcPr>
          <w:p>
            <w:pPr>
              <w:spacing w:after="0"/>
              <w:rPr>
                <w:sz w:val="11"/>
                <w:szCs w:val="11"/>
                <w:color w:val="auto"/>
              </w:rPr>
            </w:pPr>
          </w:p>
        </w:tc>
        <w:tc>
          <w:tcPr>
            <w:tcW w:w="440" w:type="dxa"/>
            <w:vAlign w:val="bottom"/>
            <w:tcBorders>
              <w:bottom w:val="single" w:sz="8" w:color="auto"/>
            </w:tcBorders>
            <w:gridSpan w:val="2"/>
          </w:tcPr>
          <w:p>
            <w:pPr>
              <w:jc w:val="center"/>
              <w:ind w:right="26"/>
              <w:spacing w:after="0"/>
              <w:rPr>
                <w:sz w:val="20"/>
                <w:szCs w:val="20"/>
                <w:color w:val="auto"/>
              </w:rPr>
            </w:pPr>
            <w:r>
              <w:rPr>
                <w:rFonts w:ascii="Arial" w:cs="Arial" w:eastAsia="Arial" w:hAnsi="Arial"/>
                <w:sz w:val="11"/>
                <w:szCs w:val="11"/>
                <w:b w:val="1"/>
                <w:bCs w:val="1"/>
                <w:color w:val="auto"/>
                <w:w w:val="84"/>
              </w:rPr>
              <w:t>(shares)</w:t>
            </w:r>
          </w:p>
        </w:tc>
        <w:tc>
          <w:tcPr>
            <w:tcW w:w="140" w:type="dxa"/>
            <w:vAlign w:val="bottom"/>
            <w:tcBorders>
              <w:bottom w:val="single" w:sz="8" w:color="CFF0FC"/>
            </w:tcBorders>
          </w:tcPr>
          <w:p>
            <w:pPr>
              <w:spacing w:after="0"/>
              <w:rPr>
                <w:sz w:val="11"/>
                <w:szCs w:val="11"/>
                <w:color w:val="auto"/>
              </w:rPr>
            </w:pPr>
          </w:p>
        </w:tc>
        <w:tc>
          <w:tcPr>
            <w:tcW w:w="4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4"/>
              </w:rPr>
              <w:t>(shares)</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1"/>
              </w:rPr>
              <w:t>capital</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1"/>
                <w:szCs w:val="11"/>
                <w:b w:val="1"/>
                <w:bCs w:val="1"/>
                <w:color w:val="auto"/>
                <w:w w:val="93"/>
              </w:rPr>
              <w:t>deficit (1)</w:t>
            </w:r>
          </w:p>
        </w:tc>
        <w:tc>
          <w:tcPr>
            <w:tcW w:w="200" w:type="dxa"/>
            <w:vAlign w:val="bottom"/>
            <w:tcBorders>
              <w:bottom w:val="single" w:sz="8" w:color="CFF0FC"/>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72"/>
              </w:rPr>
              <w:t>loss</w:t>
            </w:r>
          </w:p>
        </w:tc>
        <w:tc>
          <w:tcPr>
            <w:tcW w:w="160" w:type="dxa"/>
            <w:vAlign w:val="bottom"/>
            <w:tcBorders>
              <w:bottom w:val="single" w:sz="8" w:color="CFF0FC"/>
            </w:tcBorders>
            <w:gridSpan w:val="2"/>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2"/>
              </w:rPr>
              <w:t>equity</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0"/>
              </w:rPr>
              <w:t>interest</w:t>
            </w:r>
          </w:p>
        </w:tc>
        <w:tc>
          <w:tcPr>
            <w:tcW w:w="1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w w:val="92"/>
              </w:rPr>
              <w:t>equity</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February 1, 2020</w:t>
            </w:r>
          </w:p>
        </w:tc>
        <w:tc>
          <w:tcPr>
            <w:tcW w:w="920" w:type="dxa"/>
            <w:vAlign w:val="bottom"/>
            <w:tcBorders>
              <w:right w:val="single" w:sz="8" w:color="CFF0FC"/>
            </w:tcBorders>
            <w:shd w:val="clear" w:color="auto" w:fill="CFF0FC"/>
          </w:tcPr>
          <w:p>
            <w:pPr>
              <w:ind w:left="880"/>
              <w:spacing w:after="0"/>
              <w:rPr>
                <w:sz w:val="20"/>
                <w:szCs w:val="20"/>
                <w:color w:val="auto"/>
              </w:rPr>
            </w:pPr>
            <w:r>
              <w:rPr>
                <w:rFonts w:ascii="Arial" w:cs="Arial" w:eastAsia="Arial" w:hAnsi="Arial"/>
                <w:sz w:val="1"/>
                <w:szCs w:val="1"/>
                <w:color w:val="auto"/>
                <w:w w:val="4294967288"/>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1,358,130</w:t>
            </w:r>
          </w:p>
        </w:tc>
        <w:tc>
          <w:tcPr>
            <w:tcW w:w="200" w:type="dxa"/>
            <w:vAlign w:val="bottom"/>
            <w:tcBorders>
              <w:right w:val="single" w:sz="8" w:color="CFF0FC"/>
            </w:tcBorders>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(780,466)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(8,273)</w:t>
            </w:r>
          </w:p>
        </w:tc>
        <w:tc>
          <w:tcPr>
            <w:tcW w:w="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569,391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(8,330)</w:t>
            </w:r>
          </w:p>
        </w:tc>
        <w:tc>
          <w:tcPr>
            <w:tcW w:w="16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561,061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w w:val="95"/>
              </w:rPr>
              <w:t>Equity-based compensation expense</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(Note 7)</w:t>
            </w:r>
          </w:p>
        </w:tc>
        <w:tc>
          <w:tcPr>
            <w:tcW w:w="92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2,305</w:t>
            </w: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2,305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FF0FC"/>
          </w:tcPr>
          <w:p>
            <w:pPr>
              <w:spacing w:after="0"/>
              <w:rPr>
                <w:sz w:val="20"/>
                <w:szCs w:val="20"/>
                <w:color w:val="auto"/>
              </w:rPr>
            </w:pPr>
            <w:r>
              <w:rPr>
                <w:rFonts w:ascii="Arial" w:cs="Arial" w:eastAsia="Arial" w:hAnsi="Arial"/>
                <w:sz w:val="11"/>
                <w:szCs w:val="11"/>
                <w:color w:val="auto"/>
              </w:rPr>
              <w:t>Net loss</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(31,168)</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(31,168)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(2,204)</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(33,372)</w:t>
            </w: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92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(4,970)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(4,970)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(4,970)</w:t>
            </w: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920" w:type="dxa"/>
            <w:vAlign w:val="bottom"/>
            <w:tcBorders>
              <w:right w:val="single" w:sz="8" w:color="CFF0FC"/>
            </w:tcBorders>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of tax</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(52)</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(52)</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(52)</w:t>
            </w: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w w:val="97"/>
              </w:rPr>
              <w:t>Losses on derivatives reclassified to</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income, net of tax</w:t>
            </w:r>
          </w:p>
        </w:tc>
        <w:tc>
          <w:tcPr>
            <w:tcW w:w="9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1,728</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1,728</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May 2, 2020</w:t>
            </w:r>
          </w:p>
        </w:tc>
        <w:tc>
          <w:tcPr>
            <w:tcW w:w="920" w:type="dxa"/>
            <w:vAlign w:val="bottom"/>
            <w:tcBorders>
              <w:right w:val="single" w:sz="8" w:color="CFF0FC"/>
            </w:tcBorders>
            <w:shd w:val="clear" w:color="auto" w:fill="CFF0FC"/>
          </w:tcPr>
          <w:p>
            <w:pPr>
              <w:ind w:left="880"/>
              <w:spacing w:after="0"/>
              <w:rPr>
                <w:sz w:val="20"/>
                <w:szCs w:val="20"/>
                <w:color w:val="auto"/>
              </w:rPr>
            </w:pPr>
            <w:r>
              <w:rPr>
                <w:rFonts w:ascii="Arial" w:cs="Arial" w:eastAsia="Arial" w:hAnsi="Arial"/>
                <w:sz w:val="1"/>
                <w:szCs w:val="1"/>
                <w:color w:val="auto"/>
                <w:w w:val="4294967288"/>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1,360,435</w:t>
            </w:r>
          </w:p>
        </w:tc>
        <w:tc>
          <w:tcPr>
            <w:tcW w:w="200" w:type="dxa"/>
            <w:vAlign w:val="bottom"/>
            <w:tcBorders>
              <w:right w:val="single" w:sz="8" w:color="CFF0FC"/>
            </w:tcBorders>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99"/>
              </w:rPr>
              <w:t>(811,634 )</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(11,567)</w:t>
            </w:r>
          </w:p>
        </w:tc>
        <w:tc>
          <w:tcPr>
            <w:tcW w:w="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537,234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(10,534)</w:t>
            </w:r>
          </w:p>
        </w:tc>
        <w:tc>
          <w:tcPr>
            <w:tcW w:w="16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526,700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1"/>
                <w:szCs w:val="11"/>
                <w:color w:val="auto"/>
                <w:w w:val="95"/>
              </w:rPr>
              <w:t>Equity-based compensation expense</w:t>
            </w:r>
          </w:p>
        </w:tc>
        <w:tc>
          <w:tcPr>
            <w:tcW w:w="9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74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(Note 7)</w:t>
            </w:r>
          </w:p>
        </w:tc>
        <w:tc>
          <w:tcPr>
            <w:tcW w:w="920" w:type="dxa"/>
            <w:vAlign w:val="bottom"/>
          </w:tcPr>
          <w:p>
            <w:pPr>
              <w:spacing w:after="0"/>
              <w:rPr>
                <w:sz w:val="11"/>
                <w:szCs w:val="1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2,312</w:t>
            </w:r>
          </w:p>
        </w:tc>
        <w:tc>
          <w:tcPr>
            <w:tcW w:w="2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2,312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shd w:val="clear" w:color="auto" w:fill="CFF0FC"/>
          </w:tcPr>
          <w:p>
            <w:pPr>
              <w:spacing w:after="0"/>
              <w:rPr>
                <w:sz w:val="20"/>
                <w:szCs w:val="20"/>
                <w:color w:val="auto"/>
              </w:rPr>
            </w:pPr>
            <w:r>
              <w:rPr>
                <w:rFonts w:ascii="Arial" w:cs="Arial" w:eastAsia="Arial" w:hAnsi="Arial"/>
                <w:sz w:val="11"/>
                <w:szCs w:val="11"/>
                <w:color w:val="auto"/>
              </w:rPr>
              <w:t>Repurchase of equity</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1"/>
                <w:szCs w:val="11"/>
                <w:color w:val="auto"/>
              </w:rPr>
              <w:t>(104)</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(104)</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(104)</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20"/>
                <w:szCs w:val="20"/>
                <w:color w:val="auto"/>
              </w:rPr>
            </w:pPr>
            <w:r>
              <w:rPr>
                <w:rFonts w:ascii="Arial" w:cs="Arial" w:eastAsia="Arial" w:hAnsi="Arial"/>
                <w:sz w:val="11"/>
                <w:szCs w:val="11"/>
                <w:color w:val="auto"/>
              </w:rPr>
              <w:t>Net income</w:t>
            </w:r>
          </w:p>
        </w:tc>
        <w:tc>
          <w:tcPr>
            <w:tcW w:w="92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7,441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7,441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(1,001)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6,440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920" w:type="dxa"/>
            <w:vAlign w:val="bottom"/>
            <w:tcBorders>
              <w:right w:val="single" w:sz="8" w:color="CFF0FC"/>
            </w:tcBorders>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adjustment, net of tax</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281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281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net of tax</w:t>
            </w:r>
          </w:p>
        </w:tc>
        <w:tc>
          <w:tcPr>
            <w:tcW w:w="92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w w:val="97"/>
              </w:rPr>
              <w:t>Losses on derivatives reclassified to</w:t>
            </w:r>
          </w:p>
        </w:tc>
        <w:tc>
          <w:tcPr>
            <w:tcW w:w="920" w:type="dxa"/>
            <w:vAlign w:val="bottom"/>
            <w:tcBorders>
              <w:right w:val="single" w:sz="8" w:color="CFF0FC"/>
            </w:tcBorders>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income, net of tax</w:t>
            </w:r>
          </w:p>
        </w:tc>
        <w:tc>
          <w:tcPr>
            <w:tcW w:w="920" w:type="dxa"/>
            <w:vAlign w:val="bottom"/>
            <w:tcBorders>
              <w:right w:val="single" w:sz="8" w:color="CFF0FC"/>
            </w:tcBorders>
            <w:shd w:val="clear" w:color="auto" w:fill="CFF0FC"/>
          </w:tcPr>
          <w:p>
            <w:pPr>
              <w:spacing w:after="0"/>
              <w:rPr>
                <w:sz w:val="11"/>
                <w:szCs w:val="11"/>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CFF0FC"/>
            </w:tcBorders>
            <w:shd w:val="clear" w:color="auto" w:fill="CFF0FC"/>
          </w:tcPr>
          <w:p>
            <w:pPr>
              <w:spacing w:after="0"/>
              <w:rPr>
                <w:sz w:val="11"/>
                <w:szCs w:val="11"/>
                <w:color w:val="auto"/>
              </w:rPr>
            </w:pPr>
          </w:p>
        </w:tc>
        <w:tc>
          <w:tcPr>
            <w:tcW w:w="4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tcBorders>
              <w:bottom w:val="single" w:sz="8" w:color="auto"/>
            </w:tcBorders>
            <w:shd w:val="clear" w:color="auto" w:fill="CFF0FC"/>
          </w:tcPr>
          <w:p>
            <w:pPr>
              <w:spacing w:after="0"/>
              <w:rPr>
                <w:sz w:val="11"/>
                <w:szCs w:val="11"/>
                <w:color w:val="auto"/>
              </w:rPr>
            </w:pPr>
          </w:p>
        </w:tc>
        <w:tc>
          <w:tcPr>
            <w:tcW w:w="420" w:type="dxa"/>
            <w:vAlign w:val="bottom"/>
            <w:tcBorders>
              <w:bottom w:val="single" w:sz="8" w:color="auto"/>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bottom w:val="single" w:sz="8" w:color="auto"/>
              <w:right w:val="single" w:sz="8" w:color="CFF0FC"/>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4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2,021</w:t>
            </w: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right w:val="single" w:sz="8" w:color="CFF0FC"/>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2,021</w:t>
            </w:r>
          </w:p>
        </w:tc>
        <w:tc>
          <w:tcPr>
            <w:tcW w:w="140" w:type="dxa"/>
            <w:vAlign w:val="bottom"/>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spacing w:after="0"/>
              <w:rPr>
                <w:sz w:val="11"/>
                <w:szCs w:val="11"/>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2,021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40" w:type="dxa"/>
            <w:vAlign w:val="bottom"/>
          </w:tcPr>
          <w:p>
            <w:pPr>
              <w:spacing w:after="0"/>
              <w:rPr>
                <w:sz w:val="20"/>
                <w:szCs w:val="20"/>
                <w:color w:val="auto"/>
              </w:rPr>
            </w:pPr>
            <w:r>
              <w:rPr>
                <w:rFonts w:ascii="Arial" w:cs="Arial" w:eastAsia="Arial" w:hAnsi="Arial"/>
                <w:sz w:val="11"/>
                <w:szCs w:val="11"/>
                <w:b w:val="1"/>
                <w:bCs w:val="1"/>
                <w:color w:val="auto"/>
              </w:rPr>
              <w:t>Balance at August 1, 2020</w:t>
            </w:r>
          </w:p>
        </w:tc>
        <w:tc>
          <w:tcPr>
            <w:tcW w:w="920" w:type="dxa"/>
            <w:vAlign w:val="bottom"/>
          </w:tcPr>
          <w:p>
            <w:pPr>
              <w:ind w:left="880"/>
              <w:spacing w:after="0"/>
              <w:rPr>
                <w:sz w:val="20"/>
                <w:szCs w:val="20"/>
                <w:color w:val="auto"/>
              </w:rPr>
            </w:pPr>
            <w:r>
              <w:rPr>
                <w:rFonts w:ascii="Arial" w:cs="Arial" w:eastAsia="Arial" w:hAnsi="Arial"/>
                <w:sz w:val="1"/>
                <w:szCs w:val="1"/>
                <w:color w:val="auto"/>
                <w:w w:val="4294967288"/>
              </w:rPr>
              <w:t>$</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1,362,643</w:t>
            </w:r>
          </w:p>
        </w:tc>
        <w:tc>
          <w:tcPr>
            <w:tcW w:w="2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4"/>
                <w:szCs w:val="14"/>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gridSpan w:val="2"/>
          </w:tcPr>
          <w:p>
            <w:pPr>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w w:val="99"/>
              </w:rPr>
              <w:t>(804,193 )</w:t>
            </w:r>
          </w:p>
        </w:tc>
        <w:tc>
          <w:tcPr>
            <w:tcW w:w="120" w:type="dxa"/>
            <w:vAlign w:val="bottom"/>
          </w:tcPr>
          <w:p>
            <w:pPr>
              <w:spacing w:after="0"/>
              <w:rPr>
                <w:sz w:val="14"/>
                <w:szCs w:val="1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(9,274)</w:t>
            </w:r>
          </w:p>
        </w:tc>
        <w:tc>
          <w:tcPr>
            <w:tcW w:w="8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4"/>
                <w:szCs w:val="14"/>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549,176</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(11,535)</w:t>
            </w:r>
          </w:p>
        </w:tc>
        <w:tc>
          <w:tcPr>
            <w:tcW w:w="160" w:type="dxa"/>
            <w:vAlign w:val="bottom"/>
          </w:tcPr>
          <w:p>
            <w:pPr>
              <w:spacing w:after="0"/>
              <w:rPr>
                <w:sz w:val="14"/>
                <w:szCs w:val="14"/>
                <w:color w:val="auto"/>
              </w:rPr>
            </w:pPr>
          </w:p>
        </w:tc>
        <w:tc>
          <w:tcPr>
            <w:tcW w:w="160" w:type="dxa"/>
            <w:vAlign w:val="bottom"/>
            <w:gridSpan w:val="2"/>
          </w:tcPr>
          <w:p>
            <w:pPr>
              <w:jc w:val="right"/>
              <w:ind w:right="10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537,641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740" w:type="dxa"/>
            <w:vAlign w:val="bottom"/>
            <w:tcBorders>
              <w:top w:val="single" w:sz="8" w:color="CFF0FC"/>
            </w:tcBorders>
            <w:shd w:val="clear" w:color="auto" w:fill="CFF0FC"/>
          </w:tcPr>
          <w:p>
            <w:pPr>
              <w:spacing w:after="0" w:line="106" w:lineRule="exact"/>
              <w:rPr>
                <w:sz w:val="20"/>
                <w:szCs w:val="20"/>
                <w:color w:val="auto"/>
              </w:rPr>
            </w:pPr>
            <w:r>
              <w:rPr>
                <w:rFonts w:ascii="Arial" w:cs="Arial" w:eastAsia="Arial" w:hAnsi="Arial"/>
                <w:sz w:val="11"/>
                <w:szCs w:val="11"/>
                <w:color w:val="auto"/>
                <w:w w:val="95"/>
              </w:rPr>
              <w:t>Equity-based compensation expense</w:t>
            </w:r>
          </w:p>
        </w:tc>
        <w:tc>
          <w:tcPr>
            <w:tcW w:w="920" w:type="dxa"/>
            <w:vAlign w:val="bottom"/>
            <w:tcBorders>
              <w:top w:val="single" w:sz="8" w:color="CFF0FC"/>
              <w:right w:val="single" w:sz="8" w:color="CFF0FC"/>
            </w:tcBorders>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200" w:type="dxa"/>
            <w:vAlign w:val="bottom"/>
            <w:tcBorders>
              <w:top w:val="single" w:sz="8" w:color="CFF0FC"/>
              <w:right w:val="single" w:sz="8" w:color="CFF0FC"/>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180" w:type="dxa"/>
            <w:vAlign w:val="bottom"/>
            <w:tcBorders>
              <w:top w:val="single" w:sz="8" w:color="CFF0FC"/>
            </w:tcBorders>
            <w:shd w:val="clear" w:color="auto" w:fill="CFF0FC"/>
          </w:tcPr>
          <w:p>
            <w:pPr>
              <w:spacing w:after="0"/>
              <w:rPr>
                <w:sz w:val="9"/>
                <w:szCs w:val="9"/>
                <w:color w:val="auto"/>
              </w:rPr>
            </w:pPr>
          </w:p>
        </w:tc>
        <w:tc>
          <w:tcPr>
            <w:tcW w:w="20" w:type="dxa"/>
            <w:vAlign w:val="bottom"/>
            <w:tcBorders>
              <w:top w:val="single" w:sz="8" w:color="auto"/>
            </w:tcBorders>
            <w:shd w:val="clear" w:color="auto" w:fill="CFF0FC"/>
          </w:tcPr>
          <w:p>
            <w:pPr>
              <w:spacing w:after="0"/>
              <w:rPr>
                <w:sz w:val="9"/>
                <w:szCs w:val="9"/>
                <w:color w:val="auto"/>
              </w:rPr>
            </w:pPr>
          </w:p>
        </w:tc>
        <w:tc>
          <w:tcPr>
            <w:tcW w:w="420" w:type="dxa"/>
            <w:vAlign w:val="bottom"/>
            <w:tcBorders>
              <w:top w:val="single" w:sz="8" w:color="auto"/>
              <w:right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3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right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auto"/>
              <w:right w:val="single" w:sz="8" w:color="CFF0FC"/>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54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CFF0FC"/>
            </w:tcBorders>
            <w:shd w:val="clear" w:color="auto" w:fill="CFF0FC"/>
          </w:tcPr>
          <w:p>
            <w:pPr>
              <w:spacing w:after="0"/>
              <w:rPr>
                <w:sz w:val="9"/>
                <w:szCs w:val="9"/>
                <w:color w:val="auto"/>
              </w:rPr>
            </w:pPr>
          </w:p>
        </w:tc>
        <w:tc>
          <w:tcPr>
            <w:tcW w:w="4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right w:val="single" w:sz="8" w:color="CFF0FC"/>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right w:val="single" w:sz="8" w:color="CFF0FC"/>
            </w:tcBorders>
            <w:shd w:val="clear" w:color="auto" w:fill="CFF0FC"/>
          </w:tcPr>
          <w:p>
            <w:pPr>
              <w:spacing w:after="0"/>
              <w:rPr>
                <w:sz w:val="9"/>
                <w:szCs w:val="9"/>
                <w:color w:val="auto"/>
              </w:rPr>
            </w:pPr>
          </w:p>
        </w:tc>
        <w:tc>
          <w:tcPr>
            <w:tcW w:w="160" w:type="dxa"/>
            <w:vAlign w:val="bottom"/>
            <w:tcBorders>
              <w:top w:val="single" w:sz="8" w:color="CFF0FC"/>
            </w:tcBorders>
            <w:shd w:val="clear" w:color="auto" w:fill="CFF0FC"/>
          </w:tcPr>
          <w:p>
            <w:pPr>
              <w:spacing w:after="0"/>
              <w:rPr>
                <w:sz w:val="9"/>
                <w:szCs w:val="9"/>
                <w:color w:val="auto"/>
              </w:rPr>
            </w:pPr>
          </w:p>
        </w:tc>
        <w:tc>
          <w:tcPr>
            <w:tcW w:w="60" w:type="dxa"/>
            <w:vAlign w:val="bottom"/>
            <w:tcBorders>
              <w:top w:val="single" w:sz="8" w:color="auto"/>
            </w:tcBorders>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560" w:type="dxa"/>
            <w:vAlign w:val="bottom"/>
            <w:tcBorders>
              <w:top w:val="single" w:sz="8" w:color="auto"/>
              <w:right w:val="single" w:sz="8" w:color="CFF0FC"/>
            </w:tcBorders>
            <w:shd w:val="clear" w:color="auto" w:fill="CFF0FC"/>
          </w:tcPr>
          <w:p>
            <w:pPr>
              <w:spacing w:after="0"/>
              <w:rPr>
                <w:sz w:val="9"/>
                <w:szCs w:val="9"/>
                <w:color w:val="auto"/>
              </w:rPr>
            </w:pPr>
          </w:p>
        </w:tc>
        <w:tc>
          <w:tcPr>
            <w:tcW w:w="10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(Note 7)</w:t>
            </w:r>
          </w:p>
        </w:tc>
        <w:tc>
          <w:tcPr>
            <w:tcW w:w="920" w:type="dxa"/>
            <w:vAlign w:val="bottom"/>
            <w:tcBorders>
              <w:right w:val="single" w:sz="8" w:color="CFF0FC"/>
            </w:tcBorders>
            <w:shd w:val="clear" w:color="auto" w:fill="CFF0FC"/>
          </w:tcPr>
          <w:p>
            <w:pPr>
              <w:spacing w:after="0"/>
              <w:rPr>
                <w:sz w:val="11"/>
                <w:szCs w:val="1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2,847</w:t>
            </w:r>
          </w:p>
        </w:tc>
        <w:tc>
          <w:tcPr>
            <w:tcW w:w="200" w:type="dxa"/>
            <w:vAlign w:val="bottom"/>
            <w:tcBorders>
              <w:right w:val="single" w:sz="8" w:color="CFF0FC"/>
            </w:tcBorders>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2,847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2,847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20"/>
                <w:szCs w:val="20"/>
                <w:color w:val="auto"/>
              </w:rPr>
            </w:pPr>
            <w:r>
              <w:rPr>
                <w:rFonts w:ascii="Arial" w:cs="Arial" w:eastAsia="Arial" w:hAnsi="Arial"/>
                <w:sz w:val="11"/>
                <w:szCs w:val="11"/>
                <w:color w:val="auto"/>
              </w:rPr>
              <w:t>Repurchase of equity</w:t>
            </w:r>
          </w:p>
        </w:tc>
        <w:tc>
          <w:tcPr>
            <w:tcW w:w="92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1740" w:type="dxa"/>
            <w:vAlign w:val="bottom"/>
            <w:shd w:val="clear" w:color="auto" w:fill="CFF0FC"/>
          </w:tcPr>
          <w:p>
            <w:pPr>
              <w:spacing w:after="0"/>
              <w:rPr>
                <w:sz w:val="20"/>
                <w:szCs w:val="20"/>
                <w:color w:val="auto"/>
              </w:rPr>
            </w:pPr>
            <w:r>
              <w:rPr>
                <w:rFonts w:ascii="Arial" w:cs="Arial" w:eastAsia="Arial" w:hAnsi="Arial"/>
                <w:sz w:val="11"/>
                <w:szCs w:val="11"/>
                <w:color w:val="auto"/>
              </w:rPr>
              <w:t>Net income</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3,403</w:t>
            </w: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gridSpan w:val="3"/>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3,403</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(1,297)</w:t>
            </w:r>
          </w:p>
        </w:tc>
        <w:tc>
          <w:tcPr>
            <w:tcW w:w="16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2,106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rPr>
              <w:t>Foreign currency translation</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Pr>
          <w:p>
            <w:pPr>
              <w:ind w:left="80"/>
              <w:spacing w:after="0"/>
              <w:rPr>
                <w:sz w:val="20"/>
                <w:szCs w:val="20"/>
                <w:color w:val="auto"/>
              </w:rPr>
            </w:pPr>
            <w:r>
              <w:rPr>
                <w:rFonts w:ascii="Arial" w:cs="Arial" w:eastAsia="Arial" w:hAnsi="Arial"/>
                <w:sz w:val="11"/>
                <w:szCs w:val="11"/>
                <w:color w:val="auto"/>
              </w:rPr>
              <w:t>adjustment, net of tax</w:t>
            </w:r>
          </w:p>
        </w:tc>
        <w:tc>
          <w:tcPr>
            <w:tcW w:w="920" w:type="dxa"/>
            <w:vAlign w:val="bottom"/>
          </w:tcPr>
          <w:p>
            <w:pPr>
              <w:spacing w:after="0"/>
              <w:rPr>
                <w:sz w:val="11"/>
                <w:szCs w:val="11"/>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ind w:lef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942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740" w:type="dxa"/>
            <w:vAlign w:val="bottom"/>
            <w:shd w:val="clear" w:color="auto" w:fill="CFF0FC"/>
          </w:tcPr>
          <w:p>
            <w:pPr>
              <w:spacing w:after="0" w:line="125" w:lineRule="exact"/>
              <w:rPr>
                <w:sz w:val="20"/>
                <w:szCs w:val="20"/>
                <w:color w:val="auto"/>
              </w:rPr>
            </w:pPr>
            <w:r>
              <w:rPr>
                <w:rFonts w:ascii="Arial" w:cs="Arial" w:eastAsia="Arial" w:hAnsi="Arial"/>
                <w:sz w:val="11"/>
                <w:szCs w:val="11"/>
                <w:color w:val="auto"/>
              </w:rPr>
              <w:t>Unrealized loss on derivatives,</w:t>
            </w:r>
          </w:p>
        </w:tc>
        <w:tc>
          <w:tcPr>
            <w:tcW w:w="920" w:type="dxa"/>
            <w:vAlign w:val="bottom"/>
            <w:tcBorders>
              <w:right w:val="single" w:sz="8" w:color="CFF0FC"/>
            </w:tcBorders>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0" w:type="dxa"/>
            <w:vAlign w:val="bottom"/>
            <w:tcBorders>
              <w:right w:val="single" w:sz="8" w:color="CFF0FC"/>
            </w:tcBorders>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4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tcBorders>
              <w:right w:val="single" w:sz="8" w:color="CFF0FC"/>
            </w:tcBorders>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tcBorders>
              <w:right w:val="single" w:sz="8" w:color="CFF0FC"/>
            </w:tcBorders>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60" w:type="dxa"/>
            <w:vAlign w:val="bottom"/>
            <w:tcBorders>
              <w:righ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shd w:val="clear" w:color="auto" w:fill="CFF0FC"/>
          </w:tcPr>
          <w:p>
            <w:pPr>
              <w:ind w:left="80"/>
              <w:spacing w:after="0"/>
              <w:rPr>
                <w:sz w:val="20"/>
                <w:szCs w:val="20"/>
                <w:color w:val="auto"/>
              </w:rPr>
            </w:pPr>
            <w:r>
              <w:rPr>
                <w:rFonts w:ascii="Arial" w:cs="Arial" w:eastAsia="Arial" w:hAnsi="Arial"/>
                <w:sz w:val="11"/>
                <w:szCs w:val="11"/>
                <w:color w:val="auto"/>
              </w:rPr>
              <w:t>net of tax</w:t>
            </w:r>
          </w:p>
        </w:tc>
        <w:tc>
          <w:tcPr>
            <w:tcW w:w="920" w:type="dxa"/>
            <w:vAlign w:val="bottom"/>
            <w:tcBorders>
              <w:right w:val="single" w:sz="8" w:color="CFF0FC"/>
            </w:tcBorders>
            <w:shd w:val="clear" w:color="auto" w:fill="CFF0FC"/>
          </w:tcPr>
          <w:p>
            <w:pPr>
              <w:spacing w:after="0"/>
              <w:rPr>
                <w:sz w:val="11"/>
                <w:szCs w:val="11"/>
                <w:color w:val="auto"/>
              </w:rPr>
            </w:pPr>
          </w:p>
        </w:tc>
        <w:tc>
          <w:tcPr>
            <w:tcW w:w="780" w:type="dxa"/>
            <w:vAlign w:val="bottom"/>
            <w:tcBorders>
              <w:right w:val="single" w:sz="8" w:color="CFF0FC"/>
            </w:tcBorders>
            <w:gridSpan w:val="3"/>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3"/>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(16)</w:t>
            </w: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(16)</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25"/>
        </w:trPr>
        <w:tc>
          <w:tcPr>
            <w:tcW w:w="1740" w:type="dxa"/>
            <w:vAlign w:val="bottom"/>
          </w:tcPr>
          <w:p>
            <w:pPr>
              <w:spacing w:after="0" w:line="125" w:lineRule="exact"/>
              <w:rPr>
                <w:sz w:val="20"/>
                <w:szCs w:val="20"/>
                <w:color w:val="auto"/>
              </w:rPr>
            </w:pPr>
            <w:r>
              <w:rPr>
                <w:rFonts w:ascii="Arial" w:cs="Arial" w:eastAsia="Arial" w:hAnsi="Arial"/>
                <w:sz w:val="11"/>
                <w:szCs w:val="11"/>
                <w:color w:val="auto"/>
                <w:w w:val="97"/>
              </w:rPr>
              <w:t>Losses on derivatives reclassified to</w:t>
            </w: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740" w:type="dxa"/>
            <w:vAlign w:val="bottom"/>
            <w:tcBorders>
              <w:bottom w:val="single" w:sz="8" w:color="CFF0FC"/>
            </w:tcBorders>
          </w:tcPr>
          <w:p>
            <w:pPr>
              <w:ind w:left="80"/>
              <w:spacing w:after="0"/>
              <w:rPr>
                <w:sz w:val="20"/>
                <w:szCs w:val="20"/>
                <w:color w:val="auto"/>
              </w:rPr>
            </w:pPr>
            <w:r>
              <w:rPr>
                <w:rFonts w:ascii="Arial" w:cs="Arial" w:eastAsia="Arial" w:hAnsi="Arial"/>
                <w:sz w:val="11"/>
                <w:szCs w:val="11"/>
                <w:color w:val="auto"/>
              </w:rPr>
              <w:t>income, net of tax</w:t>
            </w:r>
          </w:p>
        </w:tc>
        <w:tc>
          <w:tcPr>
            <w:tcW w:w="920" w:type="dxa"/>
            <w:vAlign w:val="bottom"/>
            <w:tcBorders>
              <w:bottom w:val="single" w:sz="8" w:color="CFF0FC"/>
            </w:tcBorders>
          </w:tcPr>
          <w:p>
            <w:pPr>
              <w:spacing w:after="0"/>
              <w:rPr>
                <w:sz w:val="11"/>
                <w:szCs w:val="11"/>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ind w:lef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FF0FC"/>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2,097</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4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2,097</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2,097</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7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Balance at October 31, 2020</w:t>
            </w:r>
          </w:p>
        </w:tc>
        <w:tc>
          <w:tcPr>
            <w:tcW w:w="920" w:type="dxa"/>
            <w:vAlign w:val="bottom"/>
            <w:tcBorders>
              <w:right w:val="single" w:sz="8" w:color="CFF0FC"/>
            </w:tcBorders>
            <w:shd w:val="clear" w:color="auto" w:fill="CFF0FC"/>
          </w:tcPr>
          <w:p>
            <w:pPr>
              <w:ind w:left="880"/>
              <w:spacing w:after="0"/>
              <w:rPr>
                <w:sz w:val="20"/>
                <w:szCs w:val="20"/>
                <w:color w:val="auto"/>
              </w:rPr>
            </w:pPr>
            <w:r>
              <w:rPr>
                <w:rFonts w:ascii="Arial" w:cs="Arial" w:eastAsia="Arial" w:hAnsi="Arial"/>
                <w:sz w:val="1"/>
                <w:szCs w:val="1"/>
                <w:color w:val="auto"/>
                <w:w w:val="4294967288"/>
              </w:rPr>
              <w:t>$</w:t>
            </w: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1,365,490</w:t>
            </w:r>
          </w:p>
        </w:tc>
        <w:tc>
          <w:tcPr>
            <w:tcW w:w="200" w:type="dxa"/>
            <w:vAlign w:val="bottom"/>
            <w:tcBorders>
              <w:right w:val="single" w:sz="8" w:color="CFF0FC"/>
            </w:tcBorders>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420" w:type="dxa"/>
            <w:vAlign w:val="bottom"/>
            <w:tcBorders>
              <w:right w:val="single" w:sz="8" w:color="CFF0FC"/>
            </w:tcBorders>
            <w:shd w:val="clear" w:color="auto" w:fill="CFF0FC"/>
          </w:tcPr>
          <w:p>
            <w:pPr>
              <w:ind w:lef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Borders>
              <w:right w:val="single" w:sz="8" w:color="CFF0FC"/>
            </w:tcBorders>
            <w:gridSpan w:val="2"/>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gridSpan w:val="2"/>
            <w:shd w:val="clear" w:color="auto" w:fill="CFF0FC"/>
          </w:tcPr>
          <w:p>
            <w:pPr>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w w:val="99"/>
              </w:rPr>
              <w:t>(800,790 )</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(6,251)</w:t>
            </w:r>
          </w:p>
        </w:tc>
        <w:tc>
          <w:tcPr>
            <w:tcW w:w="80" w:type="dxa"/>
            <w:vAlign w:val="bottom"/>
            <w:shd w:val="clear" w:color="auto" w:fill="CFF0FC"/>
          </w:tcPr>
          <w:p>
            <w:pPr>
              <w:spacing w:after="0"/>
              <w:rPr>
                <w:sz w:val="11"/>
                <w:szCs w:val="11"/>
                <w:color w:val="auto"/>
              </w:rPr>
            </w:pPr>
          </w:p>
        </w:tc>
        <w:tc>
          <w:tcPr>
            <w:tcW w:w="100" w:type="dxa"/>
            <w:vAlign w:val="bottom"/>
            <w:gridSpan w:val="2"/>
            <w:shd w:val="clear" w:color="auto" w:fill="CFF0FC"/>
          </w:tcPr>
          <w:p>
            <w:pPr>
              <w:jc w:val="right"/>
              <w:ind w:right="20"/>
              <w:spacing w:after="0"/>
              <w:rPr>
                <w:sz w:val="20"/>
                <w:szCs w:val="20"/>
                <w:color w:val="auto"/>
              </w:rPr>
            </w:pPr>
            <w:r>
              <w:rPr>
                <w:rFonts w:ascii="Arial" w:cs="Arial" w:eastAsia="Arial" w:hAnsi="Arial"/>
                <w:sz w:val="11"/>
                <w:szCs w:val="11"/>
                <w:color w:val="auto"/>
                <w:w w:val="97"/>
              </w:rPr>
              <w:t>$</w:t>
            </w:r>
          </w:p>
        </w:tc>
        <w:tc>
          <w:tcPr>
            <w:tcW w:w="80" w:type="dxa"/>
            <w:vAlign w:val="bottom"/>
            <w:tcBorders>
              <w:right w:val="single" w:sz="8" w:color="CFF0FC"/>
            </w:tcBorders>
            <w:shd w:val="clear" w:color="auto" w:fill="CFF0FC"/>
          </w:tcPr>
          <w:p>
            <w:pPr>
              <w:spacing w:after="0"/>
              <w:rPr>
                <w:sz w:val="11"/>
                <w:szCs w:val="11"/>
                <w:color w:val="auto"/>
              </w:rPr>
            </w:pPr>
          </w:p>
        </w:tc>
        <w:tc>
          <w:tcPr>
            <w:tcW w:w="560" w:type="dxa"/>
            <w:vAlign w:val="bottom"/>
            <w:tcBorders>
              <w:right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558,449</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20"/>
                <w:szCs w:val="20"/>
                <w:color w:val="auto"/>
              </w:rPr>
            </w:pPr>
            <w:r>
              <w:rPr>
                <w:rFonts w:ascii="Arial" w:cs="Arial" w:eastAsia="Arial" w:hAnsi="Arial"/>
                <w:sz w:val="11"/>
                <w:szCs w:val="11"/>
                <w:color w:val="auto"/>
                <w:w w:val="97"/>
              </w:rPr>
              <w:t>$</w:t>
            </w:r>
          </w:p>
        </w:tc>
        <w:tc>
          <w:tcPr>
            <w:tcW w:w="80" w:type="dxa"/>
            <w:vAlign w:val="bottom"/>
            <w:shd w:val="clear" w:color="auto" w:fill="CFF0FC"/>
          </w:tcPr>
          <w:p>
            <w:pPr>
              <w:spacing w:after="0"/>
              <w:rPr>
                <w:sz w:val="11"/>
                <w:szCs w:val="11"/>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(12,832)</w:t>
            </w:r>
          </w:p>
        </w:tc>
        <w:tc>
          <w:tcPr>
            <w:tcW w:w="160" w:type="dxa"/>
            <w:vAlign w:val="bottom"/>
            <w:shd w:val="clear" w:color="auto" w:fill="CFF0FC"/>
          </w:tcPr>
          <w:p>
            <w:pPr>
              <w:spacing w:after="0"/>
              <w:rPr>
                <w:sz w:val="11"/>
                <w:szCs w:val="11"/>
                <w:color w:val="auto"/>
              </w:rPr>
            </w:pPr>
          </w:p>
        </w:tc>
        <w:tc>
          <w:tcPr>
            <w:tcW w:w="160" w:type="dxa"/>
            <w:vAlign w:val="bottom"/>
            <w:gridSpan w:val="2"/>
            <w:shd w:val="clear" w:color="auto" w:fill="CFF0FC"/>
          </w:tcPr>
          <w:p>
            <w:pPr>
              <w:jc w:val="right"/>
              <w:ind w:right="100"/>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1"/>
                <w:szCs w:val="11"/>
                <w:color w:val="auto"/>
              </w:rPr>
              <w:t>545,617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7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80" w:hanging="572"/>
        <w:spacing w:after="0"/>
        <w:tabs>
          <w:tab w:leader="none" w:pos="58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Balances prior to the Company's conversion to a Delaware corporation were reclassified to additional paid-in capital to give effect to the organizational transactions described in Note 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60" w:type="dxa"/>
            <w:vAlign w:val="bottom"/>
            <w:gridSpan w:val="5"/>
          </w:tcPr>
          <w:p>
            <w:pPr>
              <w:jc w:val="right"/>
              <w:ind w:right="1160"/>
              <w:spacing w:after="0"/>
              <w:rPr>
                <w:sz w:val="20"/>
                <w:szCs w:val="20"/>
                <w:color w:val="auto"/>
              </w:rPr>
            </w:pPr>
            <w:r>
              <w:rPr>
                <w:rFonts w:ascii="Arial" w:cs="Arial" w:eastAsia="Arial" w:hAnsi="Arial"/>
                <w:sz w:val="13"/>
                <w:szCs w:val="13"/>
                <w:b w:val="1"/>
                <w:bCs w:val="1"/>
                <w:color w:val="auto"/>
              </w:rPr>
              <w:t>Thirty-nine weeks ended</w:t>
            </w:r>
          </w:p>
        </w:tc>
        <w:tc>
          <w:tcPr>
            <w:tcW w:w="0" w:type="dxa"/>
            <w:vAlign w:val="bottom"/>
          </w:tcPr>
          <w:p>
            <w:pPr>
              <w:spacing w:after="0"/>
              <w:rPr>
                <w:sz w:val="1"/>
                <w:szCs w:val="1"/>
                <w:color w:val="auto"/>
              </w:rPr>
            </w:pPr>
          </w:p>
        </w:tc>
      </w:tr>
      <w:tr>
        <w:trPr>
          <w:trHeight w:val="124"/>
        </w:trPr>
        <w:tc>
          <w:tcPr>
            <w:tcW w:w="60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760"/>
              <w:spacing w:after="0" w:line="124" w:lineRule="exact"/>
              <w:rPr>
                <w:sz w:val="20"/>
                <w:szCs w:val="20"/>
                <w:color w:val="auto"/>
              </w:rPr>
            </w:pPr>
            <w:r>
              <w:rPr>
                <w:rFonts w:ascii="Arial" w:cs="Arial" w:eastAsia="Arial" w:hAnsi="Arial"/>
                <w:sz w:val="13"/>
                <w:szCs w:val="13"/>
                <w:b w:val="1"/>
                <w:bCs w:val="1"/>
                <w:color w:val="auto"/>
              </w:rPr>
              <w:t>October 30,</w:t>
            </w: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93"/>
              <w:spacing w:after="0" w:line="124" w:lineRule="exact"/>
              <w:rPr>
                <w:sz w:val="20"/>
                <w:szCs w:val="20"/>
                <w:color w:val="auto"/>
              </w:rPr>
            </w:pPr>
            <w:r>
              <w:rPr>
                <w:rFonts w:ascii="Arial" w:cs="Arial" w:eastAsia="Arial" w:hAnsi="Arial"/>
                <w:sz w:val="13"/>
                <w:szCs w:val="13"/>
                <w:b w:val="1"/>
                <w:bCs w:val="1"/>
                <w:color w:val="auto"/>
              </w:rPr>
              <w:t>October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060" w:type="dxa"/>
            <w:vAlign w:val="bottom"/>
            <w:tcBorders>
              <w:bottom w:val="single" w:sz="8" w:color="CFF0FC"/>
            </w:tcBorders>
          </w:tcPr>
          <w:p>
            <w:pPr>
              <w:spacing w:after="0"/>
              <w:rPr>
                <w:sz w:val="13"/>
                <w:szCs w:val="13"/>
                <w:color w:val="auto"/>
              </w:rPr>
            </w:pPr>
          </w:p>
        </w:tc>
        <w:tc>
          <w:tcPr>
            <w:tcW w:w="16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3"/>
                <w:szCs w:val="13"/>
                <w:b w:val="1"/>
                <w:bCs w:val="1"/>
                <w:color w:val="auto"/>
              </w:rPr>
              <w:t>2021</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93"/>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6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Net income (loss)</w:t>
            </w:r>
          </w:p>
        </w:tc>
        <w:tc>
          <w:tcPr>
            <w:tcW w:w="1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132,517</w:t>
            </w:r>
          </w:p>
        </w:tc>
        <w:tc>
          <w:tcPr>
            <w:tcW w:w="30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(24,826)</w:t>
            </w:r>
          </w:p>
        </w:tc>
        <w:tc>
          <w:tcPr>
            <w:tcW w:w="0" w:type="dxa"/>
            <w:vAlign w:val="bottom"/>
          </w:tcPr>
          <w:p>
            <w:pPr>
              <w:spacing w:after="0"/>
              <w:rPr>
                <w:sz w:val="1"/>
                <w:szCs w:val="1"/>
                <w:color w:val="auto"/>
              </w:rPr>
            </w:pPr>
          </w:p>
        </w:tc>
      </w:tr>
      <w:tr>
        <w:trPr>
          <w:trHeight w:val="151"/>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income (loss) to net cash provided by operating</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activities:</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125,637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128,961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debt discounts and issuance costs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4,579</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18,291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Provision for deferred taxes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28,523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6,889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Equity-based compensation</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36,491</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7,464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5,918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7,651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and modification of debt</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20,838</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Income from equity method investees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(7,490)</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151"/>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Amounts reclassified out of accumulated other comprehensive income</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060" w:type="dxa"/>
            <w:vAlign w:val="bottom"/>
            <w:shd w:val="clear" w:color="auto" w:fill="CFF0FC"/>
          </w:tcPr>
          <w:p>
            <w:pPr>
              <w:ind w:left="600"/>
              <w:spacing w:after="0"/>
              <w:rPr>
                <w:sz w:val="20"/>
                <w:szCs w:val="20"/>
                <w:color w:val="auto"/>
              </w:rPr>
            </w:pPr>
            <w:r>
              <w:rPr>
                <w:rFonts w:ascii="Arial" w:cs="Arial" w:eastAsia="Arial" w:hAnsi="Arial"/>
                <w:sz w:val="13"/>
                <w:szCs w:val="13"/>
                <w:color w:val="auto"/>
              </w:rPr>
              <w:t>(Note 5)</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Change in contingent consideration obligation</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(425)</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Non-cash operating lease costs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315,930</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324,477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500"/>
              <w:spacing w:after="0"/>
              <w:rPr>
                <w:sz w:val="20"/>
                <w:szCs w:val="20"/>
                <w:color w:val="auto"/>
              </w:rPr>
            </w:pPr>
            <w:r>
              <w:rPr>
                <w:rFonts w:ascii="Arial" w:cs="Arial" w:eastAsia="Arial" w:hAnsi="Arial"/>
                <w:sz w:val="13"/>
                <w:szCs w:val="13"/>
                <w:color w:val="auto"/>
              </w:rPr>
              <w:t>Other non-operating income</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(64,934)</w:t>
            </w: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Changes in assets and liabilities: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Receivables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(3,652)</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(8,938)</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Merchandise inventories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(105,682)</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(63,313)</w:t>
            </w: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Prepaid expenses and other assets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(8,053)</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(18,651)</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 and book overdrafts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47,973</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54,523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Accrued salaries and employee benefits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27,673</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34,100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Accrued expenses and other liabilities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45,437</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740"/>
              <w:spacing w:after="0"/>
              <w:rPr>
                <w:sz w:val="20"/>
                <w:szCs w:val="20"/>
                <w:color w:val="auto"/>
              </w:rPr>
            </w:pPr>
            <w:r>
              <w:rPr>
                <w:rFonts w:ascii="Arial" w:cs="Arial" w:eastAsia="Arial" w:hAnsi="Arial"/>
                <w:sz w:val="13"/>
                <w:szCs w:val="13"/>
                <w:color w:val="auto"/>
              </w:rPr>
              <w:t>Operating lease liabilities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(314,620)</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(304,426)</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long-term liabilities</w:t>
            </w:r>
          </w:p>
        </w:tc>
        <w:tc>
          <w:tcPr>
            <w:tcW w:w="166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1,359</w:t>
            </w:r>
          </w:p>
        </w:tc>
        <w:tc>
          <w:tcPr>
            <w:tcW w:w="30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27,103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60" w:type="dxa"/>
            <w:vAlign w:val="bottom"/>
            <w:tcBorders>
              <w:bottom w:val="single" w:sz="8" w:color="CFF0FC"/>
            </w:tcBorders>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16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288,444</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201,480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6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investing activities:</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Cash paid for fixed assets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(164,330)</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(96,289)</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acquisitions, net of cash acquired</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(3,545)</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Cash paid for investments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Distributions from equity investees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Proceeds from sale of assets</w:t>
            </w:r>
          </w:p>
        </w:tc>
        <w:tc>
          <w:tcPr>
            <w:tcW w:w="16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1,296</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60" w:type="dxa"/>
            <w:vAlign w:val="bottom"/>
            <w:shd w:val="clear" w:color="auto" w:fill="CFF0FC"/>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16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(167,770)</w:t>
            </w:r>
          </w:p>
        </w:tc>
        <w:tc>
          <w:tcPr>
            <w:tcW w:w="26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(95,920)</w:t>
            </w:r>
          </w:p>
        </w:tc>
        <w:tc>
          <w:tcPr>
            <w:tcW w:w="0" w:type="dxa"/>
            <w:vAlign w:val="bottom"/>
          </w:tcPr>
          <w:p>
            <w:pPr>
              <w:spacing w:after="0"/>
              <w:rPr>
                <w:sz w:val="1"/>
                <w:szCs w:val="1"/>
                <w:color w:val="auto"/>
              </w:rPr>
            </w:pPr>
          </w:p>
        </w:tc>
      </w:tr>
      <w:tr>
        <w:trPr>
          <w:trHeight w:val="156"/>
        </w:trPr>
        <w:tc>
          <w:tcPr>
            <w:tcW w:w="606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6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Borrowings under long-term debt agreements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1,700,000</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Repayments of long-term debt</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(1,686,611)</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(487,938)</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refinancing costs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(24,665)</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Payments for finance lease liabilities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(2,650)</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(2,831)</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employee stock purchase plan</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2,920</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Tax withholdings on stock-based awards</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(13)</w:t>
            </w:r>
          </w:p>
        </w:tc>
        <w:tc>
          <w:tcPr>
            <w:tcW w:w="26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Repurchase of equity</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Payment of contingent consideration</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 of offering costs</w:t>
            </w:r>
          </w:p>
        </w:tc>
        <w:tc>
          <w:tcPr>
            <w:tcW w:w="1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(3,844)</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000"/>
              <w:spacing w:after="0"/>
              <w:rPr>
                <w:sz w:val="20"/>
                <w:szCs w:val="20"/>
                <w:color w:val="auto"/>
              </w:rPr>
            </w:pPr>
            <w:r>
              <w:rPr>
                <w:rFonts w:ascii="Arial" w:cs="Arial" w:eastAsia="Arial" w:hAnsi="Arial"/>
                <w:sz w:val="13"/>
                <w:szCs w:val="13"/>
                <w:color w:val="auto"/>
              </w:rPr>
              <w:t>Net cash used in financing activities</w:t>
            </w:r>
          </w:p>
        </w:tc>
        <w:tc>
          <w:tcPr>
            <w:tcW w:w="16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6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3"/>
                <w:szCs w:val="13"/>
                <w:color w:val="auto"/>
              </w:rPr>
              <w:t>(14,863)</w:t>
            </w:r>
          </w:p>
        </w:tc>
        <w:tc>
          <w:tcPr>
            <w:tcW w:w="260" w:type="dxa"/>
            <w:vAlign w:val="bottom"/>
          </w:tcPr>
          <w:p>
            <w:pPr>
              <w:spacing w:after="0"/>
              <w:rPr>
                <w:sz w:val="13"/>
                <w:szCs w:val="13"/>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3"/>
                <w:szCs w:val="13"/>
                <w:color w:val="auto"/>
              </w:rPr>
              <w:t>(51,124)</w:t>
            </w:r>
          </w:p>
        </w:tc>
        <w:tc>
          <w:tcPr>
            <w:tcW w:w="0" w:type="dxa"/>
            <w:vAlign w:val="bottom"/>
          </w:tcPr>
          <w:p>
            <w:pPr>
              <w:spacing w:after="0"/>
              <w:rPr>
                <w:sz w:val="1"/>
                <w:szCs w:val="1"/>
                <w:color w:val="auto"/>
              </w:rPr>
            </w:pPr>
          </w:p>
        </w:tc>
      </w:tr>
      <w:tr>
        <w:trPr>
          <w:trHeight w:val="155"/>
        </w:trPr>
        <w:tc>
          <w:tcPr>
            <w:tcW w:w="6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Net increase in cash, cash equivalents and restricted cash</w:t>
            </w:r>
          </w:p>
        </w:tc>
        <w:tc>
          <w:tcPr>
            <w:tcW w:w="166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105,811</w:t>
            </w:r>
          </w:p>
        </w:tc>
        <w:tc>
          <w:tcPr>
            <w:tcW w:w="300" w:type="dxa"/>
            <w:vAlign w:val="bottom"/>
            <w:tcBorders>
              <w:top w:val="single" w:sz="8" w:color="CFF0FC"/>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54,436</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year</w:t>
            </w:r>
          </w:p>
        </w:tc>
        <w:tc>
          <w:tcPr>
            <w:tcW w:w="16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119,540</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154,718</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06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year</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225,351</w:t>
            </w:r>
          </w:p>
        </w:tc>
        <w:tc>
          <w:tcPr>
            <w:tcW w:w="30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209,154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Supplemental cash flow disclosures:</w:t>
            </w:r>
          </w:p>
        </w:tc>
        <w:tc>
          <w:tcPr>
            <w:tcW w:w="1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6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Interest paid, net</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47,006</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121,516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ind w:left="260"/>
              <w:spacing w:after="0"/>
              <w:rPr>
                <w:sz w:val="20"/>
                <w:szCs w:val="20"/>
                <w:color w:val="auto"/>
              </w:rPr>
            </w:pPr>
            <w:r>
              <w:rPr>
                <w:rFonts w:ascii="Arial" w:cs="Arial" w:eastAsia="Arial" w:hAnsi="Arial"/>
                <w:sz w:val="13"/>
                <w:szCs w:val="13"/>
                <w:color w:val="auto"/>
              </w:rPr>
              <w:t>Capitalized interest</w:t>
            </w:r>
          </w:p>
        </w:tc>
        <w:tc>
          <w:tcPr>
            <w:tcW w:w="1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80" w:type="dxa"/>
            <w:vAlign w:val="bottom"/>
          </w:tcPr>
          <w:p>
            <w:pPr>
              <w:jc w:val="right"/>
              <w:spacing w:after="0"/>
              <w:rPr>
                <w:sz w:val="20"/>
                <w:szCs w:val="20"/>
                <w:color w:val="auto"/>
              </w:rPr>
            </w:pPr>
            <w:r>
              <w:rPr>
                <w:rFonts w:ascii="Arial" w:cs="Arial" w:eastAsia="Arial" w:hAnsi="Arial"/>
                <w:sz w:val="13"/>
                <w:szCs w:val="13"/>
                <w:color w:val="auto"/>
              </w:rPr>
              <w:t>642</w:t>
            </w:r>
          </w:p>
        </w:tc>
        <w:tc>
          <w:tcPr>
            <w:tcW w:w="30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330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Income taxes paid</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13,718</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tcPr>
          <w:p>
            <w:pPr>
              <w:spacing w:after="0"/>
              <w:rPr>
                <w:sz w:val="20"/>
                <w:szCs w:val="20"/>
                <w:color w:val="auto"/>
              </w:rPr>
            </w:pPr>
            <w:r>
              <w:rPr>
                <w:rFonts w:ascii="Arial" w:cs="Arial" w:eastAsia="Arial" w:hAnsi="Arial"/>
                <w:sz w:val="13"/>
                <w:szCs w:val="13"/>
                <w:color w:val="auto"/>
              </w:rPr>
              <w:t>Supplemental non-cash investing and financing activities disclosure:</w:t>
            </w: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 for capital expenditures</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36,623</w:t>
            </w: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3"/>
              <w:spacing w:after="0"/>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24,227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589"/>
        <w:spacing w:after="0" w:line="342" w:lineRule="auto"/>
        <w:rPr>
          <w:sz w:val="20"/>
          <w:szCs w:val="20"/>
          <w:color w:val="auto"/>
        </w:rPr>
      </w:pPr>
      <w:r>
        <w:rPr>
          <w:rFonts w:ascii="Arial" w:cs="Arial" w:eastAsia="Arial" w:hAnsi="Arial"/>
          <w:sz w:val="16"/>
          <w:szCs w:val="16"/>
          <w:color w:val="auto"/>
        </w:rPr>
        <w:t>Petco Health and Wellness Company, Inc. (together with its consolidated subsidiaries, the “Company”) is a category-defining health and wellness company focused on improving the lives of pets, pet parents, and its own partners. The Company manages its business as one reportable operating segment.</w:t>
      </w:r>
    </w:p>
    <w:p>
      <w:pPr>
        <w:spacing w:after="0" w:line="124"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In the opinion of management, the accompanying consolidated financial statements contain all adjustments necessary for a fair presentation as prescribed by accounting principles generally accepted in the United States (“GAAP”). All adjustments were comprised of normal recurring adjustments, except as noted in these Notes to Consolidated Financial Statements.</w:t>
      </w:r>
    </w:p>
    <w:p>
      <w:pPr>
        <w:spacing w:after="0" w:line="184" w:lineRule="exact"/>
        <w:rPr>
          <w:sz w:val="20"/>
          <w:szCs w:val="20"/>
          <w:color w:val="auto"/>
        </w:rPr>
      </w:pPr>
    </w:p>
    <w:p>
      <w:pPr>
        <w:ind w:right="640" w:firstLine="589"/>
        <w:spacing w:after="0" w:line="308" w:lineRule="auto"/>
        <w:rPr>
          <w:sz w:val="20"/>
          <w:szCs w:val="20"/>
          <w:color w:val="auto"/>
        </w:rPr>
      </w:pPr>
      <w:r>
        <w:rPr>
          <w:rFonts w:ascii="Arial" w:cs="Arial" w:eastAsia="Arial" w:hAnsi="Arial"/>
          <w:sz w:val="17"/>
          <w:szCs w:val="17"/>
          <w:color w:val="auto"/>
        </w:rPr>
        <w:t>There have been no significant changes from the significant accounting policies disclosed in Note 1 of the Notes to Consolidated Financial Statements included in the Company’s Annual Report on Form 10-K for the fiscal year ended January 30, 2021.</w:t>
      </w:r>
    </w:p>
    <w:p>
      <w:pPr>
        <w:spacing w:after="0" w:line="146" w:lineRule="exact"/>
        <w:rPr>
          <w:sz w:val="20"/>
          <w:szCs w:val="20"/>
          <w:color w:val="auto"/>
        </w:rPr>
      </w:pPr>
    </w:p>
    <w:p>
      <w:pPr>
        <w:ind w:right="20" w:firstLine="589"/>
        <w:spacing w:after="0" w:line="273" w:lineRule="auto"/>
        <w:rPr>
          <w:sz w:val="20"/>
          <w:szCs w:val="20"/>
          <w:color w:val="auto"/>
        </w:rPr>
      </w:pPr>
      <w:r>
        <w:rPr>
          <w:rFonts w:ascii="Arial" w:cs="Arial" w:eastAsia="Arial" w:hAnsi="Arial"/>
          <w:sz w:val="17"/>
          <w:szCs w:val="17"/>
          <w:color w:val="auto"/>
        </w:rPr>
        <w:t>The accompanying consolidated financial statements have been prepared in accordance with GAAP for interim financial information and the instructions to Form 10-Q and Article 10 of Regulation S-X. Accordingly, they do not include all of the information and footnotes required by GAAP for complete financial statements. Interim financial results are not necessarily indicative of results anticipated for the full year. The accompanying consolidated financial statements and these Notes to Consolidated Financial Statements should be read in conjunction with the audited consolidated financial statements and Notes to Consolidated Financial Statements included in the Company’s Annual Report on Form 10-K for the fiscal year ended January 30, 2021, from which the prior year balance sheet information herein was derived.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Public Offerings</w:t>
      </w:r>
    </w:p>
    <w:p>
      <w:pPr>
        <w:spacing w:after="0" w:line="117" w:lineRule="exact"/>
        <w:rPr>
          <w:sz w:val="20"/>
          <w:szCs w:val="20"/>
          <w:color w:val="auto"/>
        </w:rPr>
      </w:pPr>
    </w:p>
    <w:p>
      <w:pPr>
        <w:ind w:right="140" w:firstLine="589"/>
        <w:spacing w:after="0" w:line="259" w:lineRule="auto"/>
        <w:rPr>
          <w:sz w:val="20"/>
          <w:szCs w:val="20"/>
          <w:color w:val="auto"/>
        </w:rPr>
      </w:pPr>
      <w:r>
        <w:rPr>
          <w:rFonts w:ascii="Arial" w:cs="Arial" w:eastAsia="Arial" w:hAnsi="Arial"/>
          <w:sz w:val="18"/>
          <w:szCs w:val="18"/>
          <w:color w:val="auto"/>
        </w:rPr>
        <w:t>The Company previously operated as a Delaware limited liability company under the name PET Acquisition LLC. In January 2021, the Company converted to a Delaware corporation pursuant to a statutory conversion and changed its name to Petco Health and Wellness Company, Inc. The existing balances of members’ interest and accumulated deficit prior to this conversion were reclassified to additional paid-in capital in the consolidated balance sheets. This reclassification had no effect on the Company’s results of operations.</w:t>
      </w:r>
    </w:p>
    <w:p>
      <w:pPr>
        <w:spacing w:after="0" w:line="187" w:lineRule="exact"/>
        <w:rPr>
          <w:sz w:val="20"/>
          <w:szCs w:val="20"/>
          <w:color w:val="auto"/>
        </w:rPr>
      </w:pPr>
    </w:p>
    <w:p>
      <w:pPr>
        <w:ind w:right="380" w:firstLine="589"/>
        <w:spacing w:after="0" w:line="259" w:lineRule="auto"/>
        <w:rPr>
          <w:sz w:val="20"/>
          <w:szCs w:val="20"/>
          <w:color w:val="auto"/>
        </w:rPr>
      </w:pPr>
      <w:r>
        <w:rPr>
          <w:rFonts w:ascii="Arial" w:cs="Arial" w:eastAsia="Arial" w:hAnsi="Arial"/>
          <w:sz w:val="18"/>
          <w:szCs w:val="18"/>
          <w:color w:val="auto"/>
        </w:rPr>
        <w:t>On January 19, 2021, the Company completed its initial public offering of 55.2 million newly-issued shares of its Class A common stock. The offering price was $18.00 per share. The net proceeds from the initial public offering were used to pay a portion of the principal amount and accrued interest on the Company’s debt obligations. Refer to Note 3 and Note 4 for further discussion on the Company’s use of proceeds from the initial public offering.</w:t>
      </w:r>
    </w:p>
    <w:p>
      <w:pPr>
        <w:spacing w:after="0" w:line="295" w:lineRule="exact"/>
        <w:rPr>
          <w:sz w:val="20"/>
          <w:szCs w:val="20"/>
          <w:color w:val="auto"/>
        </w:rPr>
      </w:pPr>
    </w:p>
    <w:p>
      <w:pPr>
        <w:ind w:left="20" w:right="60" w:firstLine="588"/>
        <w:spacing w:after="0" w:line="263" w:lineRule="auto"/>
        <w:rPr>
          <w:sz w:val="20"/>
          <w:szCs w:val="20"/>
          <w:color w:val="auto"/>
        </w:rPr>
      </w:pPr>
      <w:r>
        <w:rPr>
          <w:rFonts w:ascii="Arial" w:cs="Arial" w:eastAsia="Arial" w:hAnsi="Arial"/>
          <w:sz w:val="18"/>
          <w:szCs w:val="18"/>
          <w:color w:val="auto"/>
        </w:rPr>
        <w:t>In June 2021, Scooby Aggregator, LP, the Company’s principal stockholder, completed the sale of 25.3 million existing shares of Class A common stock in connection with a secondary offering. The offering price was $24.00 per share. The Company received no proceeds from the secondary offering. Expenses incurred by the Company related to the secondary offering were not material.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589"/>
        <w:spacing w:after="0" w:line="257" w:lineRule="auto"/>
        <w:rPr>
          <w:sz w:val="20"/>
          <w:szCs w:val="20"/>
          <w:color w:val="auto"/>
        </w:rPr>
      </w:pPr>
      <w:r>
        <w:rPr>
          <w:rFonts w:ascii="Arial" w:cs="Arial" w:eastAsia="Arial" w:hAnsi="Arial"/>
          <w:sz w:val="18"/>
          <w:szCs w:val="18"/>
          <w:color w:val="auto"/>
        </w:rPr>
        <w:t>The preparation of these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0" w:firstLine="589"/>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in the consolidated balance sheets to the total amounts reported in the consolidated statements of cash flows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197"/>
              <w:spacing w:after="0"/>
              <w:rPr>
                <w:sz w:val="20"/>
                <w:szCs w:val="20"/>
                <w:color w:val="auto"/>
              </w:rPr>
            </w:pPr>
            <w:r>
              <w:rPr>
                <w:rFonts w:ascii="Arial" w:cs="Arial" w:eastAsia="Arial" w:hAnsi="Arial"/>
                <w:sz w:val="14"/>
                <w:szCs w:val="14"/>
                <w:b w:val="1"/>
                <w:bCs w:val="1"/>
                <w:color w:val="auto"/>
              </w:rPr>
              <w:t>October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30,</w:t>
            </w:r>
          </w:p>
        </w:tc>
      </w:tr>
      <w:tr>
        <w:trPr>
          <w:trHeight w:val="171"/>
        </w:trPr>
        <w:tc>
          <w:tcPr>
            <w:tcW w:w="4860" w:type="dxa"/>
            <w:vAlign w:val="bottom"/>
            <w:tcBorders>
              <w:bottom w:val="single" w:sz="8" w:color="CFF0FC"/>
            </w:tcBorders>
          </w:tcPr>
          <w:p>
            <w:pPr>
              <w:spacing w:after="0"/>
              <w:rPr>
                <w:sz w:val="14"/>
                <w:szCs w:val="14"/>
                <w:color w:val="auto"/>
              </w:rPr>
            </w:pPr>
          </w:p>
        </w:tc>
        <w:tc>
          <w:tcPr>
            <w:tcW w:w="13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221,484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111,402</w:t>
            </w:r>
          </w:p>
        </w:tc>
        <w:tc>
          <w:tcPr>
            <w:tcW w:w="100" w:type="dxa"/>
            <w:vAlign w:val="bottom"/>
            <w:shd w:val="clear" w:color="auto" w:fill="CFF0FC"/>
          </w:tcPr>
          <w:p>
            <w:pPr>
              <w:spacing w:after="0"/>
              <w:rPr>
                <w:sz w:val="19"/>
                <w:szCs w:val="19"/>
                <w:color w:val="auto"/>
              </w:rPr>
            </w:pPr>
          </w:p>
        </w:tc>
      </w:tr>
      <w:tr>
        <w:trPr>
          <w:trHeight w:val="229"/>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included in other current assets</w:t>
            </w:r>
          </w:p>
        </w:tc>
        <w:tc>
          <w:tcPr>
            <w:tcW w:w="13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100" w:type="dxa"/>
            <w:vAlign w:val="bottom"/>
            <w:tcBorders>
              <w:bottom w:val="single" w:sz="8" w:color="CFF0FC"/>
            </w:tcBorders>
          </w:tcPr>
          <w:p>
            <w:pPr>
              <w:spacing w:after="0"/>
              <w:rPr>
                <w:sz w:val="19"/>
                <w:szCs w:val="19"/>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the statement of cash flows</w:t>
            </w:r>
          </w:p>
        </w:tc>
        <w:tc>
          <w:tcPr>
            <w:tcW w:w="14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225,351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119,540</w:t>
            </w:r>
          </w:p>
        </w:tc>
        <w:tc>
          <w:tcPr>
            <w:tcW w:w="100" w:type="dxa"/>
            <w:vAlign w:val="bottom"/>
            <w:shd w:val="clear" w:color="auto" w:fill="CFF0FC"/>
          </w:tcPr>
          <w:p>
            <w:pPr>
              <w:spacing w:after="0"/>
              <w:rPr>
                <w:sz w:val="20"/>
                <w:szCs w:val="20"/>
                <w:color w:val="auto"/>
              </w:rPr>
            </w:pPr>
          </w:p>
        </w:tc>
      </w:tr>
      <w:tr>
        <w:trPr>
          <w:trHeight w:val="20"/>
        </w:trPr>
        <w:tc>
          <w:tcPr>
            <w:tcW w:w="486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June 2016, the Financial Accounting Standards Board (“FASB”) issued Accounting Standards Update No. 2016-13 – Financial Instruments – Credit Losses (Topic 326): Measurement of Credit Losses on Financial Instruments, which amends the accounting for recognizing impairments of financial assets. Under the new accounting guidance, credit losses for financial assets held at amortized cost will be estimated based on expected losses rather than the current incurred loss impairment model. The new accounting guidance also modifies the impairment model for available-for-sale debt securities. The Company adopted this accounting policy on February 2, 2020. The adoption did not have a material impact on the Company’s consolidated financial statements and related disclosures.</w:t>
      </w:r>
    </w:p>
    <w:p>
      <w:pPr>
        <w:spacing w:after="0" w:line="192" w:lineRule="exact"/>
        <w:rPr>
          <w:sz w:val="20"/>
          <w:szCs w:val="20"/>
          <w:color w:val="auto"/>
        </w:rPr>
      </w:pPr>
    </w:p>
    <w:p>
      <w:pPr>
        <w:ind w:right="180" w:firstLine="589"/>
        <w:spacing w:after="0" w:line="259" w:lineRule="auto"/>
        <w:rPr>
          <w:sz w:val="20"/>
          <w:szCs w:val="20"/>
          <w:color w:val="auto"/>
        </w:rPr>
      </w:pPr>
      <w:r>
        <w:rPr>
          <w:rFonts w:ascii="Arial" w:cs="Arial" w:eastAsia="Arial" w:hAnsi="Arial"/>
          <w:sz w:val="18"/>
          <w:szCs w:val="18"/>
          <w:color w:val="auto"/>
        </w:rPr>
        <w:t>In August 2018, FASB issued Accounting Standards Update No. 2018-15 – Intangibles – Goodwill and Other – Internal-Use Software (Subtopic 350-40), which amends ASC 350-40 to address a customer’s accounting for implementation costs incurred in a cloud computing arrangement that is a service contract. The Company adopted this accounting policy on February 2, 2020. The adoption did not have a material impact on the Company’s consolidated financial statements and related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5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October 30,</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76"/>
              <w:spacing w:after="0" w:line="133" w:lineRule="exact"/>
              <w:rPr>
                <w:sz w:val="20"/>
                <w:szCs w:val="20"/>
                <w:color w:val="auto"/>
              </w:rPr>
            </w:pPr>
            <w:r>
              <w:rPr>
                <w:rFonts w:ascii="Arial" w:cs="Arial" w:eastAsia="Arial" w:hAnsi="Arial"/>
                <w:sz w:val="14"/>
                <w:szCs w:val="14"/>
                <w:b w:val="1"/>
                <w:bCs w:val="1"/>
                <w:color w:val="auto"/>
                <w:w w:val="96"/>
              </w:rPr>
              <w:t>October 31,</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October 30,</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96"/>
              <w:spacing w:after="0" w:line="133" w:lineRule="exact"/>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11"/>
                <w:szCs w:val="11"/>
                <w:color w:val="auto"/>
              </w:rPr>
            </w:pPr>
          </w:p>
        </w:tc>
      </w:tr>
      <w:tr>
        <w:trPr>
          <w:trHeight w:val="171"/>
        </w:trPr>
        <w:tc>
          <w:tcPr>
            <w:tcW w:w="5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643,125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529,989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1,850,203</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1,548,015</w:t>
            </w:r>
          </w:p>
        </w:tc>
        <w:tc>
          <w:tcPr>
            <w:tcW w:w="100" w:type="dxa"/>
            <w:vAlign w:val="bottom"/>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1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635,278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601,520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1,957,022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1,707,884</w:t>
            </w:r>
          </w:p>
        </w:tc>
        <w:tc>
          <w:tcPr>
            <w:tcW w:w="10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164,861</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128,488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485,567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326,590</w:t>
            </w:r>
          </w:p>
        </w:tc>
        <w:tc>
          <w:tcPr>
            <w:tcW w:w="100" w:type="dxa"/>
            <w:vAlign w:val="bottom"/>
            <w:shd w:val="clear" w:color="auto" w:fill="CFF0FC"/>
          </w:tcPr>
          <w:p>
            <w:pPr>
              <w:spacing w:after="0"/>
              <w:rPr>
                <w:sz w:val="19"/>
                <w:szCs w:val="19"/>
                <w:color w:val="auto"/>
              </w:rPr>
            </w:pPr>
          </w:p>
        </w:tc>
      </w:tr>
      <w:tr>
        <w:trPr>
          <w:trHeight w:val="223"/>
        </w:trPr>
        <w:tc>
          <w:tcPr>
            <w:tcW w:w="516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1,443,264</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4,292,792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3,582,489</w:t>
            </w:r>
          </w:p>
        </w:tc>
        <w:tc>
          <w:tcPr>
            <w:tcW w:w="10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Senior Secured Credit Facilities</w:t>
      </w:r>
    </w:p>
    <w:p>
      <w:pPr>
        <w:spacing w:after="0" w:line="121" w:lineRule="exact"/>
        <w:rPr>
          <w:sz w:val="20"/>
          <w:szCs w:val="20"/>
          <w:color w:val="auto"/>
        </w:rPr>
      </w:pPr>
    </w:p>
    <w:p>
      <w:pPr>
        <w:ind w:right="80" w:firstLine="594"/>
        <w:spacing w:after="0" w:line="257" w:lineRule="auto"/>
        <w:rPr>
          <w:sz w:val="20"/>
          <w:szCs w:val="20"/>
          <w:color w:val="auto"/>
        </w:rPr>
      </w:pPr>
      <w:r>
        <w:rPr>
          <w:rFonts w:ascii="Arial" w:cs="Arial" w:eastAsia="Arial" w:hAnsi="Arial"/>
          <w:sz w:val="18"/>
          <w:szCs w:val="18"/>
          <w:color w:val="auto"/>
        </w:rPr>
        <w:t>As of January 30, 2021, the Company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As of October 30, 2021, the Company was in compliance with its covenants under the First Lien Term Loan and the ABL Revolving Credit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Facility.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20" w:firstLine="594"/>
        <w:spacing w:after="0" w:line="257" w:lineRule="auto"/>
        <w:rPr>
          <w:sz w:val="20"/>
          <w:szCs w:val="20"/>
          <w:color w:val="auto"/>
        </w:rPr>
      </w:pPr>
      <w:r>
        <w:rPr>
          <w:rFonts w:ascii="Arial" w:cs="Arial" w:eastAsia="Arial" w:hAnsi="Arial"/>
          <w:sz w:val="18"/>
          <w:szCs w:val="18"/>
          <w:color w:val="auto"/>
        </w:rPr>
        <w:t>On January 19, 2021, the Company repaid $727.0 million of the Amended Term Loan Facility using a portion of the proceeds from its initial public offering, in addition to existing cash on hand. The repayment was applied to the remaining principal payments in order of scheduled payment date and, as a result, no quarterly principal payments remained under the Amended Term Loan Facility, other than the remaining principal balance due at maturity. As such, the entire remaining balance was included in senior secured credit facilities, net, excluding current portion in the consolidated balance sheets as of January 30, 2021.</w:t>
      </w:r>
    </w:p>
    <w:p>
      <w:pPr>
        <w:spacing w:after="0" w:line="188" w:lineRule="exact"/>
        <w:rPr>
          <w:sz w:val="20"/>
          <w:szCs w:val="20"/>
          <w:color w:val="auto"/>
        </w:rPr>
      </w:pPr>
    </w:p>
    <w:p>
      <w:pPr>
        <w:ind w:firstLine="589"/>
        <w:spacing w:after="0" w:line="296" w:lineRule="auto"/>
        <w:rPr>
          <w:sz w:val="20"/>
          <w:szCs w:val="20"/>
          <w:color w:val="auto"/>
        </w:rPr>
      </w:pPr>
      <w:r>
        <w:rPr>
          <w:rFonts w:ascii="Arial" w:cs="Arial" w:eastAsia="Arial" w:hAnsi="Arial"/>
          <w:sz w:val="16"/>
          <w:szCs w:val="16"/>
          <w:color w:val="auto"/>
        </w:rPr>
        <w:t>On March 4, 2021, the Company entered into the $1,700.0 million First Lien Term Loan and repaid all outstanding principal and interest on the Amended Term Loan Facility. Interest on the First Lien Term Loan is based on, at the Company’s option, either a base rate or Adjusted LIBOR, subject to a 0.75% floor, payable upon maturity of the LIBOR contract, in either case plus the applicable rate. The base rate is the greater of the bank prime rate, federal funds effective rate plus 0.5% or Adjusted LIBOR plus 1.0%. The applicable rate is 2.25% per annum for a base rate loan or 3.25% per annum for an Adjusted LIBOR loan. Principal and interest payments commenced on June 30, 2021. Principal payments are $4.25 million quarterly.</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connection with the March 4, 2021 transaction described above, the Company recognized a loss on debt extinguishment and modification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$19.6 million on the term loan facilities, which consisted of a $6.5 million write-off of unamortized debt discount and issuance costs on the Amended 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 Facility and $13.1 million of third-party expenses.</w:t>
      </w:r>
    </w:p>
    <w:p>
      <w:pPr>
        <w:spacing w:after="0" w:line="211" w:lineRule="exact"/>
        <w:rPr>
          <w:sz w:val="20"/>
          <w:szCs w:val="20"/>
          <w:color w:val="auto"/>
        </w:rPr>
      </w:pPr>
    </w:p>
    <w:p>
      <w:pPr>
        <w:ind w:right="40" w:firstLine="589"/>
        <w:spacing w:after="0" w:line="301" w:lineRule="auto"/>
        <w:rPr>
          <w:sz w:val="20"/>
          <w:szCs w:val="20"/>
          <w:color w:val="auto"/>
        </w:rPr>
      </w:pPr>
      <w:r>
        <w:rPr>
          <w:rFonts w:ascii="Arial" w:cs="Arial" w:eastAsia="Arial" w:hAnsi="Arial"/>
          <w:sz w:val="16"/>
          <w:szCs w:val="16"/>
          <w:color w:val="auto"/>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spacing w:after="0" w:line="157" w:lineRule="exact"/>
        <w:rPr>
          <w:sz w:val="20"/>
          <w:szCs w:val="20"/>
          <w:color w:val="auto"/>
        </w:rPr>
      </w:pPr>
    </w:p>
    <w:p>
      <w:pPr>
        <w:ind w:right="20" w:firstLine="594"/>
        <w:spacing w:after="0" w:line="272" w:lineRule="auto"/>
        <w:rPr>
          <w:sz w:val="20"/>
          <w:szCs w:val="20"/>
          <w:color w:val="auto"/>
        </w:rPr>
      </w:pPr>
      <w:r>
        <w:rPr>
          <w:rFonts w:ascii="Arial" w:cs="Arial" w:eastAsia="Arial" w:hAnsi="Arial"/>
          <w:sz w:val="17"/>
          <w:szCs w:val="17"/>
          <w:color w:val="auto"/>
        </w:rPr>
        <w:t>As of October 30, 2021, the outstanding principal balance of the First Lien Term Loan was $1,691.5 million ($1,665.5 million, net of the unamortized discount and debt issuance costs). As of January 30, 2021, the outstanding principal balance of the Amended Term Loan Facility was $1,678.1 million ($1,649.4 million, net of the unamortized discount and debt issuance costs). The weighted average interest rate on the borrowings outstanding was 4.1% and 4.3% as of October 30, 2021 and January 30, 2021, respectively. Debt issuance costs are being amortized over the contractual term to interest expense using the effective interest rate in effect at issuance. As of October 30, 2021, the estimated fair value of the First Lien Term Loan was approximately $1,689.4 million, based upon Level 2 fair value hierarchy inputs. As of January 30, 2021, the estimated fair value of the Amended Term Loan Facility was approximately $1,673.9 million, based upon Level 2 fair value hierarchy inputs.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right="780" w:firstLine="589"/>
        <w:spacing w:after="0" w:line="308" w:lineRule="auto"/>
        <w:rPr>
          <w:sz w:val="20"/>
          <w:szCs w:val="20"/>
          <w:color w:val="auto"/>
        </w:rPr>
      </w:pPr>
      <w:r>
        <w:rPr>
          <w:rFonts w:ascii="Arial" w:cs="Arial" w:eastAsia="Arial" w:hAnsi="Arial"/>
          <w:sz w:val="17"/>
          <w:szCs w:val="17"/>
          <w:color w:val="auto"/>
        </w:rPr>
        <w:t>On March 4, 2021, the Company entered into an agreement establishing the ABL Revolving Credit Facility and terminated the Amended Revolving Credit Facility. The ABL Revolving Credit Facility has availability up to $500.0 million, subject to a borrowing base.</w:t>
      </w:r>
    </w:p>
    <w:p>
      <w:pPr>
        <w:spacing w:after="0" w:line="146"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88" w:lineRule="exact"/>
        <w:rPr>
          <w:sz w:val="20"/>
          <w:szCs w:val="20"/>
          <w:color w:val="auto"/>
        </w:rPr>
      </w:pPr>
    </w:p>
    <w:p>
      <w:pPr>
        <w:ind w:right="280" w:firstLine="594"/>
        <w:spacing w:after="0" w:line="263" w:lineRule="auto"/>
        <w:rPr>
          <w:sz w:val="20"/>
          <w:szCs w:val="20"/>
          <w:color w:val="auto"/>
        </w:rPr>
      </w:pPr>
      <w:r>
        <w:rPr>
          <w:rFonts w:ascii="Arial" w:cs="Arial" w:eastAsia="Arial" w:hAnsi="Arial"/>
          <w:sz w:val="18"/>
          <w:szCs w:val="18"/>
          <w:color w:val="auto"/>
        </w:rPr>
        <w:t>As of October 30, 2021, no amounts were outstanding under the ABL Revolving Credit Facility. As of January 30, 2021, no amounts were outstanding under the Amended Revolving Credit Facility. At October 30, 2021, $441.1 million was available under the ABL Revolving Credit Facility, which is net of $58.9 million of outstanding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360"/>
        <w:spacing w:after="0" w:line="301" w:lineRule="auto"/>
        <w:rPr>
          <w:sz w:val="20"/>
          <w:szCs w:val="20"/>
          <w:color w:val="auto"/>
        </w:rPr>
      </w:pPr>
      <w:r>
        <w:rPr>
          <w:rFonts w:ascii="Arial" w:cs="Arial" w:eastAsia="Arial" w:hAnsi="Arial"/>
          <w:sz w:val="16"/>
          <w:szCs w:val="16"/>
          <w:color w:val="auto"/>
        </w:rPr>
        <w:t>letters of credit issued in the normal course of business and no borrowing base reduction for a shortfall in qualifying assets. Unamortized debt issuance costs of $5.0 million relating to the ABL Revolving Credit Facility were outstanding and were being amortized using the straight-line method over the remaining term of the agreement as of October 30, 2021. Unamortized debt issuance costs of $3.1 million relating to the Amended Revolving Credit Facility were outstanding and were being amortized using the straight-line method over the remaining term of the agreement as of January 30, 2021.</w:t>
      </w:r>
    </w:p>
    <w:p>
      <w:pPr>
        <w:spacing w:after="0" w:line="157" w:lineRule="exact"/>
        <w:rPr>
          <w:sz w:val="20"/>
          <w:szCs w:val="20"/>
          <w:color w:val="auto"/>
        </w:rPr>
      </w:pPr>
    </w:p>
    <w:p>
      <w:pPr>
        <w:ind w:right="20" w:firstLine="589"/>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7"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Interest on the ABL Revolving Credit Facility is based on, at the Company’s option, either the base rate or Adjusted LIBOR subject to a floor of 0%, in either case, plus an applicable margin. The applicable margin is currently equal to 25 basis points in the case of base rate loans and 125 basis points in the case of Adjusted LIBOR loans.</w:t>
      </w:r>
    </w:p>
    <w:p>
      <w:pPr>
        <w:spacing w:after="0" w:line="184" w:lineRule="exact"/>
        <w:rPr>
          <w:sz w:val="20"/>
          <w:szCs w:val="20"/>
          <w:color w:val="auto"/>
        </w:rPr>
      </w:pPr>
    </w:p>
    <w:p>
      <w:pPr>
        <w:ind w:firstLine="589"/>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Applicable</w:t>
            </w: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Adjusted</w:t>
            </w: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9"/>
        </w:trPr>
        <w:tc>
          <w:tcPr>
            <w:tcW w:w="5900" w:type="dxa"/>
            <w:vAlign w:val="bottom"/>
            <w:vMerge w:val="restart"/>
          </w:tcPr>
          <w:p>
            <w:pPr>
              <w:spacing w:after="0"/>
              <w:rPr>
                <w:sz w:val="20"/>
                <w:szCs w:val="20"/>
                <w:color w:val="auto"/>
              </w:rPr>
            </w:pPr>
            <w:r>
              <w:rPr>
                <w:rFonts w:ascii="Arial" w:cs="Arial" w:eastAsia="Arial" w:hAnsi="Arial"/>
                <w:sz w:val="14"/>
                <w:szCs w:val="14"/>
                <w:b w:val="1"/>
                <w:bCs w:val="1"/>
                <w:color w:val="auto"/>
              </w:rPr>
              <w:t>Average Historical Excess Availability</w:t>
            </w:r>
          </w:p>
        </w:tc>
        <w:tc>
          <w:tcPr>
            <w:tcW w:w="140" w:type="dxa"/>
            <w:vAlign w:val="bottom"/>
            <w:vMerge w:val="restart"/>
          </w:tcPr>
          <w:p>
            <w:pPr>
              <w:spacing w:after="0"/>
              <w:rPr>
                <w:sz w:val="12"/>
                <w:szCs w:val="12"/>
                <w:color w:val="auto"/>
              </w:rPr>
            </w:pPr>
          </w:p>
        </w:tc>
        <w:tc>
          <w:tcPr>
            <w:tcW w:w="15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LIBOR</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71"/>
        </w:trPr>
        <w:tc>
          <w:tcPr>
            <w:tcW w:w="59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320" w:type="dxa"/>
            <w:vAlign w:val="bottom"/>
            <w:tcBorders>
              <w:bottom w:val="single" w:sz="8" w:color="CFF0FC"/>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Loans</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Less than 33.3% of the Line Cap</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5"/>
        </w:trPr>
        <w:tc>
          <w:tcPr>
            <w:tcW w:w="6040" w:type="dxa"/>
            <w:vAlign w:val="bottom"/>
            <w:gridSpan w:val="2"/>
          </w:tcPr>
          <w:p>
            <w:pPr>
              <w:spacing w:after="0"/>
              <w:rPr>
                <w:sz w:val="20"/>
                <w:szCs w:val="20"/>
                <w:color w:val="auto"/>
              </w:rPr>
            </w:pPr>
            <w:r>
              <w:rPr>
                <w:rFonts w:ascii="Arial" w:cs="Arial" w:eastAsia="Arial" w:hAnsi="Arial"/>
                <w:sz w:val="18"/>
                <w:szCs w:val="18"/>
                <w:color w:val="auto"/>
              </w:rPr>
              <w:t>Less than 66.7% but greater than or equal to 33.3%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ind w:left="140"/>
              <w:spacing w:after="0"/>
              <w:rPr>
                <w:sz w:val="20"/>
                <w:szCs w:val="20"/>
                <w:color w:val="auto"/>
              </w:rPr>
            </w:pPr>
            <w:r>
              <w:rPr>
                <w:rFonts w:ascii="Arial" w:cs="Arial" w:eastAsia="Arial" w:hAnsi="Arial"/>
                <w:sz w:val="18"/>
                <w:szCs w:val="18"/>
                <w:color w:val="auto"/>
              </w:rPr>
              <w:t>the Line Cap</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29"/>
        </w:trPr>
        <w:tc>
          <w:tcPr>
            <w:tcW w:w="6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Greater than or equal to 66.7% of the Line Cap</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20" w:firstLine="589"/>
        <w:spacing w:after="0" w:line="308"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Senior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Notes</w:t>
      </w:r>
    </w:p>
    <w:p>
      <w:pPr>
        <w:spacing w:after="0" w:line="117" w:lineRule="exact"/>
        <w:rPr>
          <w:sz w:val="20"/>
          <w:szCs w:val="20"/>
          <w:color w:val="auto"/>
        </w:rPr>
      </w:pPr>
    </w:p>
    <w:p>
      <w:pPr>
        <w:ind w:right="180" w:firstLine="589"/>
        <w:spacing w:after="0" w:line="279" w:lineRule="auto"/>
        <w:rPr>
          <w:sz w:val="20"/>
          <w:szCs w:val="20"/>
          <w:color w:val="auto"/>
        </w:rPr>
      </w:pPr>
      <w:r>
        <w:rPr>
          <w:rFonts w:ascii="Arial" w:cs="Arial" w:eastAsia="Arial" w:hAnsi="Arial"/>
          <w:sz w:val="17"/>
          <w:szCs w:val="17"/>
          <w:color w:val="auto"/>
        </w:rPr>
        <w:t>On January 26, 2016, the Company issued $750.0 million of unsecured senior notes maturing on January 26, 2024 in a private offering (the “Floating Rate Senior Notes”). Debt issuance costs of $26.2 million related to the Floating Rate Senior Notes were being amortized over the contractual term to interest expense using the effective interest rate in effect at issuance. The Floating Rate Senior Notes bore interest at a floating rate equal to three-month LIBOR, subject to a 1.00% floor, plus 8.0% per annum payable quarterly in arrears.</w:t>
      </w:r>
    </w:p>
    <w:p>
      <w:pPr>
        <w:spacing w:after="0" w:line="171" w:lineRule="exact"/>
        <w:rPr>
          <w:sz w:val="20"/>
          <w:szCs w:val="20"/>
          <w:color w:val="auto"/>
        </w:rPr>
      </w:pPr>
    </w:p>
    <w:p>
      <w:pPr>
        <w:ind w:right="140" w:firstLine="589"/>
        <w:spacing w:after="0" w:line="275" w:lineRule="auto"/>
        <w:rPr>
          <w:sz w:val="20"/>
          <w:szCs w:val="20"/>
          <w:color w:val="auto"/>
        </w:rPr>
      </w:pPr>
      <w:r>
        <w:rPr>
          <w:rFonts w:ascii="Arial" w:cs="Arial" w:eastAsia="Arial" w:hAnsi="Arial"/>
          <w:sz w:val="17"/>
          <w:szCs w:val="17"/>
          <w:color w:val="auto"/>
        </w:rPr>
        <w:t>On January 19, 2021, in connection with the Company’s initial public offering, the holders of the outstanding Floating Rate Senior Notes exchanged $450.0 million of the aggregate principal amount of the Floating Rate Senior Notes for a new series of notes with a principal amount of $450.0 million issued by Scooby Aggregator, LP, the Company’s principal stockholder. Scooby Aggregator, LP, as the new holder of $450.0 million of Floating Rate Senior Notes, contributed the principal balance to the Company. This contribution, offset by approximately $7.4 million of unamortized deferred financing costs associated with the principal balance contributed, was recorded as an adjustment to additional paid-in capital.</w:t>
      </w:r>
    </w:p>
    <w:p>
      <w:pPr>
        <w:spacing w:after="0" w:line="176" w:lineRule="exact"/>
        <w:rPr>
          <w:sz w:val="20"/>
          <w:szCs w:val="20"/>
          <w:color w:val="auto"/>
        </w:rPr>
      </w:pPr>
    </w:p>
    <w:p>
      <w:pPr>
        <w:ind w:right="120" w:firstLine="589"/>
        <w:spacing w:after="0" w:line="277" w:lineRule="auto"/>
        <w:rPr>
          <w:sz w:val="20"/>
          <w:szCs w:val="20"/>
          <w:color w:val="auto"/>
        </w:rPr>
      </w:pPr>
      <w:r>
        <w:rPr>
          <w:rFonts w:ascii="Arial" w:cs="Arial" w:eastAsia="Arial" w:hAnsi="Arial"/>
          <w:sz w:val="18"/>
          <w:szCs w:val="18"/>
          <w:color w:val="auto"/>
        </w:rPr>
        <w:t>On January 19, 2021, the Company repaid the remaining $300.0 million principal balance of the Floating Rate Senior Notes using a portion of the proceeds from its initial public offering, in addition to existing cash on hand.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On January 26, 2016, the Company issued unsecured senior notes maturing on January 25, 2019 in a private offering to its members. Interest on the notes was originally 0.75% per annum, payable semi-annually either in cash or by means of capitalizing such interest and adding it to the then outstanding principal amount of the notes.</w:t>
      </w:r>
    </w:p>
    <w:p>
      <w:pPr>
        <w:spacing w:after="0" w:line="184" w:lineRule="exact"/>
        <w:rPr>
          <w:sz w:val="20"/>
          <w:szCs w:val="20"/>
          <w:color w:val="auto"/>
        </w:rPr>
      </w:pPr>
    </w:p>
    <w:p>
      <w:pPr>
        <w:ind w:right="80" w:firstLine="589"/>
        <w:spacing w:after="0" w:line="263" w:lineRule="auto"/>
        <w:rPr>
          <w:sz w:val="20"/>
          <w:szCs w:val="20"/>
          <w:color w:val="auto"/>
        </w:rPr>
      </w:pPr>
      <w:r>
        <w:rPr>
          <w:rFonts w:ascii="Arial" w:cs="Arial" w:eastAsia="Arial" w:hAnsi="Arial"/>
          <w:sz w:val="18"/>
          <w:szCs w:val="18"/>
          <w:color w:val="auto"/>
        </w:rPr>
        <w:t>On April 6, 2019, the Company amended the notes to extend their maturity to July 25, 2019. Interest under these notes (the “3.00% Senior Notes”) was 3.00% per annum, payable upon maturity. On July 25, 2019, February 3, 2020, and September 28, 2020, the Company further amended the notes to extend their maturity to January 25, 2020, January 25, 2021, and January 25, 2023, respectively.</w:t>
      </w:r>
    </w:p>
    <w:p>
      <w:pPr>
        <w:spacing w:after="0" w:line="184" w:lineRule="exact"/>
        <w:rPr>
          <w:sz w:val="20"/>
          <w:szCs w:val="20"/>
          <w:color w:val="auto"/>
        </w:rPr>
      </w:pPr>
    </w:p>
    <w:p>
      <w:pPr>
        <w:ind w:right="220" w:firstLine="589"/>
        <w:spacing w:after="0" w:line="277" w:lineRule="auto"/>
        <w:rPr>
          <w:sz w:val="20"/>
          <w:szCs w:val="20"/>
          <w:color w:val="auto"/>
        </w:rPr>
      </w:pPr>
      <w:r>
        <w:rPr>
          <w:rFonts w:ascii="Arial" w:cs="Arial" w:eastAsia="Arial" w:hAnsi="Arial"/>
          <w:sz w:val="18"/>
          <w:szCs w:val="18"/>
          <w:color w:val="auto"/>
        </w:rPr>
        <w:t>On January 19, 2021, in connection with its initial public offering, the Company repaid $4.0 million of the principal balance of the 3.00% Senior Notes. The remaining $127.7 million of principal and $3.6 million of accrued interest was then contributed to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March 2016, the Company entered into a series of five interest rate cap agreements with four counterparties with a total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$1,950.0 million to limit the maximum interest rate on a portion of the Company’s variable-rate debt and limit its exposure to interest rate variability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three-month LIBOR exceeds 2.25%.</w:t>
      </w:r>
    </w:p>
    <w:p>
      <w:pPr>
        <w:spacing w:after="0" w:line="211" w:lineRule="exact"/>
        <w:rPr>
          <w:sz w:val="20"/>
          <w:szCs w:val="20"/>
          <w:color w:val="auto"/>
        </w:rPr>
      </w:pPr>
    </w:p>
    <w:p>
      <w:pPr>
        <w:jc w:val="both"/>
        <w:ind w:right="520" w:firstLine="589"/>
        <w:spacing w:after="0" w:line="286" w:lineRule="auto"/>
        <w:rPr>
          <w:sz w:val="20"/>
          <w:szCs w:val="20"/>
          <w:color w:val="auto"/>
        </w:rPr>
      </w:pPr>
      <w:r>
        <w:rPr>
          <w:rFonts w:ascii="Arial" w:cs="Arial" w:eastAsia="Arial" w:hAnsi="Arial"/>
          <w:sz w:val="17"/>
          <w:szCs w:val="17"/>
          <w:color w:val="auto"/>
        </w:rPr>
        <w:t>The interest rate caps were accounted for as cash flow hedges because the interest rate caps were expected to be highly effective in hedging variable rate interest payments. Changes in the fair value of the interest rate caps were reported as a component of accumulated other comprehensive income. The interest rate caps expired and were settled in accordance with their contractual terms on January 29, 2021.</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180" w:firstLine="589"/>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October 30, 2021</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5"/>
        </w:trPr>
        <w:tc>
          <w:tcPr>
            <w:tcW w:w="6620" w:type="dxa"/>
            <w:vAlign w:val="bottom"/>
            <w:tcBorders>
              <w:bottom w:val="single" w:sz="8" w:color="CFF0FC"/>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Level 3</w:t>
            </w: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Money market mutual funds</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169,184</w:t>
            </w:r>
          </w:p>
        </w:tc>
        <w:tc>
          <w:tcPr>
            <w:tcW w:w="60" w:type="dxa"/>
            <w:vAlign w:val="bottom"/>
          </w:tcPr>
          <w:p>
            <w:pPr>
              <w:spacing w:after="0"/>
              <w:rPr>
                <w:sz w:val="19"/>
                <w:szCs w:val="19"/>
                <w:color w:val="auto"/>
              </w:rPr>
            </w:pP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of officers' life insurance</w:t>
            </w: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16,219</w:t>
            </w: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w:t>
            </w: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(18,645)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 Rover Group, Inc.</w:t>
            </w:r>
          </w:p>
        </w:tc>
        <w:tc>
          <w:tcPr>
            <w:tcW w:w="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69,390</w:t>
            </w:r>
          </w:p>
        </w:tc>
        <w:tc>
          <w:tcPr>
            <w:tcW w:w="6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860"/>
              <w:spacing w:after="0"/>
              <w:rPr>
                <w:sz w:val="20"/>
                <w:szCs w:val="20"/>
                <w:color w:val="auto"/>
              </w:rPr>
            </w:pPr>
            <w:r>
              <w:rPr>
                <w:rFonts w:ascii="Arial" w:cs="Arial" w:eastAsia="Arial" w:hAnsi="Arial"/>
                <w:sz w:val="18"/>
                <w:szCs w:val="18"/>
                <w:color w:val="auto"/>
              </w:rPr>
              <w:t>—</w:t>
            </w:r>
          </w:p>
        </w:tc>
      </w:tr>
      <w:tr>
        <w:trPr>
          <w:trHeight w:val="473"/>
        </w:trPr>
        <w:tc>
          <w:tcPr>
            <w:tcW w:w="6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4"/>
              </w:rPr>
              <w:t>January 30, 2021</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6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ind w:left="18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20" w:type="dxa"/>
            <w:vAlign w:val="bottom"/>
          </w:tcPr>
          <w:p>
            <w:pPr>
              <w:ind w:left="260"/>
              <w:spacing w:after="0"/>
              <w:rPr>
                <w:sz w:val="20"/>
                <w:szCs w:val="20"/>
                <w:color w:val="auto"/>
              </w:rPr>
            </w:pPr>
            <w:r>
              <w:rPr>
                <w:rFonts w:ascii="Arial" w:cs="Arial" w:eastAsia="Arial" w:hAnsi="Arial"/>
                <w:sz w:val="18"/>
                <w:szCs w:val="18"/>
                <w:color w:val="auto"/>
              </w:rPr>
              <w:t>Money market mutual funds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63,798</w:t>
            </w:r>
          </w:p>
        </w:tc>
        <w:tc>
          <w:tcPr>
            <w:tcW w:w="60" w:type="dxa"/>
            <w:vAlign w:val="bottom"/>
          </w:tcPr>
          <w:p>
            <w:pPr>
              <w:spacing w:after="0"/>
              <w:rPr>
                <w:sz w:val="19"/>
                <w:szCs w:val="19"/>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Investments of officers' life insurance</w:t>
            </w:r>
          </w:p>
        </w:tc>
        <w:tc>
          <w:tcPr>
            <w:tcW w:w="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14,140</w:t>
            </w:r>
          </w:p>
        </w:tc>
        <w:tc>
          <w:tcPr>
            <w:tcW w:w="8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Non-qualified deferred compensation plan</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(15,526)</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r>
    </w:tbl>
    <w:p>
      <w:pPr>
        <w:spacing w:after="0" w:line="241"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$167.0 million and $56.0 million as of October 30, 2021 and January 30, 2021, respectively. Also included in the Company’s money market mutual funds balances were $2.2 million and $7.8 million as of October 30, 2021 and January 30, 2021, respectively, which relate to the Company’s restricted cash, and are included in other current assets in the consolidated balance sheets.</w:t>
      </w:r>
    </w:p>
    <w:p>
      <w:pPr>
        <w:spacing w:after="0" w:line="188"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3" w:name="page14"/>
    <w:bookmarkEnd w:id="13"/>
    <w:p>
      <w:pPr>
        <w:ind w:right="60" w:firstLine="589"/>
        <w:spacing w:after="0" w:line="270" w:lineRule="auto"/>
        <w:rPr>
          <w:sz w:val="20"/>
          <w:szCs w:val="20"/>
          <w:color w:val="auto"/>
        </w:rPr>
      </w:pPr>
      <w:r>
        <w:rPr>
          <w:rFonts w:ascii="Arial" w:cs="Arial" w:eastAsia="Arial" w:hAnsi="Arial"/>
          <w:sz w:val="17"/>
          <w:szCs w:val="17"/>
          <w:color w:val="auto"/>
        </w:rPr>
        <w:t>The Company previously held an equity investment, in the form of multiple series of preferred stock, in A Place for Rover, Inc., an online marketplace for pet care, which was historically accounted for as an equity security without a readily determinable fair value. In July 2021, A Place for Rover, Inc. completed a business combination with Nebula Caravel Acquisition Corp., a publicly-traded special purpose acquisition company. The combined entity was renamed to Rover Group, Inc. (“Rover”), and the Company’s equity investment was converted into shares of Rover Class A common stock. In September 2021, the Company received additional shares of Rover Class A common stock in accordance with certain earnout provisions from the July 2021 business combination. The Company now remeasures the fair value of its investment on a quarterly basis, and the resulting gains or losses are included in other non-operating income in the consolidated statements of operations. On November 23, 2021, the Company completed the sale of approximately 11% of its Rover Class A common stock for net proceeds of $6.1 million in cash as part of its participation in an underwritten secondary offering by certain Rover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20" w:firstLine="589"/>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6" w:lineRule="exact"/>
        <w:rPr>
          <w:sz w:val="20"/>
          <w:szCs w:val="20"/>
          <w:color w:val="auto"/>
        </w:rPr>
      </w:pPr>
    </w:p>
    <w:p>
      <w:pPr>
        <w:ind w:right="20" w:firstLine="589"/>
        <w:spacing w:after="0" w:line="257" w:lineRule="auto"/>
        <w:rPr>
          <w:sz w:val="20"/>
          <w:szCs w:val="20"/>
          <w:color w:val="auto"/>
        </w:rPr>
      </w:pPr>
      <w:r>
        <w:rPr>
          <w:rFonts w:ascii="Arial" w:cs="Arial" w:eastAsia="Arial" w:hAnsi="Arial"/>
          <w:sz w:val="18"/>
          <w:szCs w:val="18"/>
          <w:color w:val="auto"/>
        </w:rPr>
        <w:t>There were no triggering events identified and no indication of impairment of the Company’s goodwill, indefinite-lived trade name, other intangible assets or equity and other investments during the thirteen or thirty-nine week periods ended October 30, 2021 and October 31, 2020. During the thirteen and thirty-nine week periods ended October 30, 2021, the Company recorded fixed asset and right-of-use asset impairment charges of $2.9 million and $5.4 million, respectively. During the thirteen and thirty-nine week periods ended October 31, 2020, the Company recorded fixed asset and right-of-use asset impairment charges of $1.2 million and $7.0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Equity-based compensation awards under the Company’s current incentive plan (the “2021 Equity Incentive Plan”) include restricted stock units (“RSUs,” which include performance-based stock units), restricted stock awards (“RSAs”), stock options, and other equity compensation awards. The Company also has an employee stock purchase plan (“ESPP”).</w:t>
      </w:r>
    </w:p>
    <w:p>
      <w:pPr>
        <w:spacing w:after="0" w:line="184"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Scooby LP, the direct owner of Scooby Aggregator, LP, also maintains an incentive plan (the “2016 Incentive Plan”) under which it has awarded partnership unit awards to employees, consultants, and non-employee directors of the Company that are restricted profit interests in Scooby LP subject to a distribution threshold (“Series C Units”).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6"/>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44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October 30,</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w w:val="98"/>
              </w:rPr>
              <w:t>October 31,</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7"/>
              <w:spacing w:after="0" w:line="133" w:lineRule="exact"/>
              <w:rPr>
                <w:sz w:val="20"/>
                <w:szCs w:val="20"/>
                <w:color w:val="auto"/>
              </w:rPr>
            </w:pPr>
            <w:r>
              <w:rPr>
                <w:rFonts w:ascii="Arial" w:cs="Arial" w:eastAsia="Arial" w:hAnsi="Arial"/>
                <w:sz w:val="14"/>
                <w:szCs w:val="14"/>
                <w:b w:val="1"/>
                <w:bCs w:val="1"/>
                <w:color w:val="auto"/>
                <w:w w:val="98"/>
              </w:rPr>
              <w:t>October 30,</w:t>
            </w: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w w:val="98"/>
              </w:rPr>
              <w:t>October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00" w:type="dxa"/>
            <w:vAlign w:val="bottom"/>
            <w:tcBorders>
              <w:bottom w:val="single" w:sz="8" w:color="CFF0FC"/>
            </w:tcBorders>
          </w:tcPr>
          <w:p>
            <w:pPr>
              <w:spacing w:after="0"/>
              <w:rPr>
                <w:sz w:val="14"/>
                <w:szCs w:val="14"/>
                <w:color w:val="auto"/>
              </w:rPr>
            </w:pPr>
          </w:p>
        </w:tc>
        <w:tc>
          <w:tcPr>
            <w:tcW w:w="14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RSUs and RSAs</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Options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4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related to the 2016 Incentive Plan</w:t>
            </w:r>
          </w:p>
        </w:tc>
        <w:tc>
          <w:tcPr>
            <w:tcW w:w="14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equity-based compensation expense</w:t>
            </w:r>
          </w:p>
        </w:tc>
        <w:tc>
          <w:tcPr>
            <w:tcW w:w="14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13,381</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36,491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44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left="600"/>
        <w:spacing w:after="0"/>
        <w:rPr>
          <w:sz w:val="20"/>
          <w:szCs w:val="20"/>
          <w:color w:val="auto"/>
        </w:rPr>
      </w:pPr>
      <w:r>
        <w:rPr>
          <w:rFonts w:ascii="Arial" w:cs="Arial" w:eastAsia="Arial" w:hAnsi="Arial"/>
          <w:sz w:val="18"/>
          <w:szCs w:val="18"/>
          <w:color w:val="auto"/>
        </w:rPr>
        <w:t>Activity under the 2021 Equity Incentive Plan was as follows (shares and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8"/>
              </w:rPr>
              <w:t>RSUs and RSAs</w:t>
            </w:r>
          </w:p>
        </w:tc>
        <w:tc>
          <w:tcPr>
            <w:tcW w:w="32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and RSAs/options outstanding, January 30, 2021</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RSUs and RSAs vested/options exercised</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Forfeited/expired</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3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and RSAs/options outstanding, October 30, 2021</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Unrecognized compensation expense as of October 30, 2021</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43,409</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expense period as of October 30, 2021</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2.2 Years</w:t>
            </w:r>
          </w:p>
        </w:tc>
        <w:tc>
          <w:tcPr>
            <w:tcW w:w="3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 Years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firstLine="589"/>
        <w:spacing w:after="0" w:line="263"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becomes vested on each of the first two anniversaries of the grant date. Unvested RSAs are not considered participating securities for earnings per share purposes, as any related dividends are forfeitable.</w:t>
      </w:r>
    </w:p>
    <w:p>
      <w:pPr>
        <w:spacing w:after="0" w:line="184" w:lineRule="exact"/>
        <w:rPr>
          <w:sz w:val="20"/>
          <w:szCs w:val="20"/>
          <w:color w:val="auto"/>
        </w:rPr>
      </w:pPr>
    </w:p>
    <w:p>
      <w:pPr>
        <w:jc w:val="both"/>
        <w:ind w:right="380" w:firstLine="589"/>
        <w:spacing w:after="0" w:line="263" w:lineRule="auto"/>
        <w:rPr>
          <w:sz w:val="20"/>
          <w:szCs w:val="20"/>
          <w:color w:val="auto"/>
        </w:rPr>
      </w:pPr>
      <w:r>
        <w:rPr>
          <w:rFonts w:ascii="Arial" w:cs="Arial" w:eastAsia="Arial" w:hAnsi="Arial"/>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Units</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30,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214,006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(6,468)</w:t>
            </w:r>
          </w:p>
        </w:tc>
      </w:tr>
      <w:tr>
        <w:trPr>
          <w:trHeight w:val="263"/>
        </w:trPr>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October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207,538</w:t>
            </w:r>
          </w:p>
        </w:tc>
        <w:tc>
          <w:tcPr>
            <w:tcW w:w="80" w:type="dxa"/>
            <w:vAlign w:val="bottom"/>
            <w:tcBorders>
              <w:bottom w:val="single" w:sz="8" w:color="CFF0FC"/>
            </w:tcBorders>
          </w:tcPr>
          <w:p>
            <w:pPr>
              <w:spacing w:after="0"/>
              <w:rPr>
                <w:sz w:val="22"/>
                <w:szCs w:val="22"/>
                <w:color w:val="auto"/>
              </w:rPr>
            </w:pPr>
          </w:p>
        </w:tc>
      </w:tr>
      <w:tr>
        <w:trPr>
          <w:trHeight w:val="210"/>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October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113,778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589"/>
        <w:spacing w:after="0" w:line="275" w:lineRule="auto"/>
        <w:rPr>
          <w:sz w:val="20"/>
          <w:szCs w:val="20"/>
          <w:color w:val="auto"/>
        </w:rPr>
      </w:pPr>
      <w:r>
        <w:rPr>
          <w:rFonts w:ascii="Arial" w:cs="Arial" w:eastAsia="Arial" w:hAnsi="Arial"/>
          <w:sz w:val="17"/>
          <w:szCs w:val="17"/>
          <w:color w:val="auto"/>
        </w:rPr>
        <w:t>No additional Series C Units have been or will be awarded following the Company’s initial public offering. As of October 30, 2021, unrecognized compensation expense related to the unvested portion of Scooby LP’s Series C Units was $19.7 million, which is expected to be recognized over a weighted average period of 2.4 years.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ind w:right="160" w:firstLine="589"/>
        <w:spacing w:after="0" w:line="279" w:lineRule="auto"/>
        <w:rPr>
          <w:sz w:val="20"/>
          <w:szCs w:val="20"/>
          <w:color w:val="auto"/>
        </w:rPr>
      </w:pPr>
      <w:r>
        <w:rPr>
          <w:rFonts w:ascii="Arial" w:cs="Arial" w:eastAsia="Arial" w:hAnsi="Arial"/>
          <w:sz w:val="17"/>
          <w:szCs w:val="17"/>
          <w:color w:val="auto"/>
        </w:rPr>
        <w:t>Potentially dilutive securities include potential Class A common shares related to outstanding stock options, unvested RSUs and RSAs, and the ESPP, calculated using the treasury stock method. The calculation of diluted shares outstanding excludes securities where the combination of the exercise or purchase price (in the case of options and the ESPP) and the associated unrecognized compensation expense is greater than the average market price of Class A common shares because the inclusion of these securities would be anti-dilutive.</w:t>
      </w:r>
    </w:p>
    <w:p>
      <w:pPr>
        <w:spacing w:after="0" w:line="17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There were approximately 3.5 million potential shares that were anti-dilutive and excluded from the computation of diluted shares outstanding during the thirty-nine weeks ended October 30, 2021. There were no potentially dilutive securities outstanding during the thirty-nine weeks ended October 31, 2020.</w:t>
      </w:r>
    </w:p>
    <w:p>
      <w:pPr>
        <w:spacing w:after="0" w:line="18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For periods prior to the Company’s conversion to a Delaware corporation in January 2021, the Company has retrospectively presented net loss per share as if the conversion had occurred at the beginning of the earliest period presented. The weighted average shares used in computing net loss per Class A and B-1 common share in these periods are based on the number of Common Series A and Common Series B Units of PET Acquisition LLC held by members. For periods prior to the conversion, these calculations do not include the 55.2 million shares of Class A common stock issued in the Company’s initial public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firstLine="539"/>
        <w:spacing w:after="0" w:line="255" w:lineRule="auto"/>
        <w:rPr>
          <w:sz w:val="20"/>
          <w:szCs w:val="20"/>
          <w:color w:val="auto"/>
        </w:rPr>
      </w:pPr>
      <w:r>
        <w:rPr>
          <w:rFonts w:ascii="Arial" w:cs="Arial" w:eastAsia="Arial" w:hAnsi="Arial"/>
          <w:sz w:val="18"/>
          <w:szCs w:val="18"/>
          <w:color w:val="auto"/>
        </w:rPr>
        <w:t>The COVID-19 pandemic has been a highly disruptive economic and societal event that has affected the Company’s business and has had a significant impact on consumer shopping behavior, among other things. To serve pet parents while also providing for the safety of employees, the Company has adapted certain aspects of the business. Throughout the pandemic, the Company has monitored the continually evolving situation and will continue to adapt its operations to (i) address federal, state and local standards, (ii) meet the needs of pets and pet parents, and (iii) implement standards that the Company believes to be in the best interests of the safety and well-being of its employees and customers. The duration and ultimate severity of the pandemic remains uncertain.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20" w:firstLine="589"/>
        <w:spacing w:after="0" w:line="291" w:lineRule="auto"/>
        <w:rPr>
          <w:sz w:val="20"/>
          <w:szCs w:val="20"/>
          <w:color w:val="auto"/>
        </w:rPr>
      </w:pPr>
      <w:r>
        <w:rPr>
          <w:rFonts w:ascii="Arial" w:cs="Arial" w:eastAsia="Arial" w:hAnsi="Arial"/>
          <w:sz w:val="16"/>
          <w:szCs w:val="16"/>
          <w:color w:val="auto"/>
        </w:rPr>
        <w:t>The Company is involved in litigation and other claims and proceedings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a particular litigation matter is appropriate, the Company may be subject to liability that could have a material adverse effect on its consolidated financial statements.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89"/>
        <w:spacing w:after="0" w:line="253"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consolidated financial statements and the accompanying notes included elsewhere in this Quarterly Report on Form 10-Q (this “Form 10-Q”), as well as the corresponding Management’s Discussion and Analysis of Financial Condition and Results of Operations contained in our Annual Report on Form 10-K for the fiscal year ended January 30, 2021 (the “2020 Form 10-K”). The discussion and analysis below contains certain forward-looking statements about our business and operations that are subject to the risks, uncertainties, and other factors referred to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10-Q. These risks, uncertainties, and other factors could cause our actual results to differ materially from those expressed in, or implied by, the forward-looking statements. The risks described in this Form 10-Q and in other documents we file from time to time with the U.S. Securities and Exchange Commission (the “SEC”), including the section entitled “Forward-Looking Statements” in this Form 10-Q, should be carefully reviewed. All amounts herein are unaudited.</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89"/>
        <w:spacing w:after="0" w:line="272" w:lineRule="auto"/>
        <w:rPr>
          <w:sz w:val="20"/>
          <w:szCs w:val="20"/>
          <w:color w:val="auto"/>
        </w:rPr>
      </w:pPr>
      <w:r>
        <w:rPr>
          <w:rFonts w:ascii="Arial" w:cs="Arial" w:eastAsia="Arial" w:hAnsi="Arial"/>
          <w:sz w:val="17"/>
          <w:szCs w:val="17"/>
          <w:color w:val="auto"/>
        </w:rPr>
        <w:t>Petco Health and Wellness Company, Inc. (“Petco”, the “Company”, “we”, “our” and “us”) is a category-defining health and wellness company focused on improving the lives of pets, pet parents, and our own partners. Since our founding in 1965, we have been striving to set new standards in pet care, delivering comprehensive wellness solutions through our products and services, and creating communities that deepen the pet-pet parent bond. Over the last three years, our world-class leadership team and our dedicated and passionate partners have transformed our business from a successful yet traditional retailer to a disruptive, fully integrated, digital-focused provider of premium nutrition, products, services and veterinary care. We operate more than 1,500 Petco locations across the U.S., Mexico, and Puerto Rico, including a growing network of more than 150 in-store veterinary hospitals, and offer a complete online resource for pet health and wellness at petco.com and on the Petco app.</w:t>
      </w:r>
    </w:p>
    <w:p>
      <w:pPr>
        <w:spacing w:after="0" w:line="69" w:lineRule="exact"/>
        <w:rPr>
          <w:sz w:val="20"/>
          <w:szCs w:val="20"/>
          <w:color w:val="auto"/>
        </w:rPr>
      </w:pPr>
    </w:p>
    <w:p>
      <w:pPr>
        <w:ind w:right="40" w:firstLine="589"/>
        <w:spacing w:after="0" w:line="279" w:lineRule="auto"/>
        <w:rPr>
          <w:sz w:val="20"/>
          <w:szCs w:val="20"/>
          <w:color w:val="auto"/>
        </w:rPr>
      </w:pPr>
      <w:r>
        <w:rPr>
          <w:rFonts w:ascii="Arial" w:cs="Arial" w:eastAsia="Arial" w:hAnsi="Arial"/>
          <w:sz w:val="17"/>
          <w:szCs w:val="17"/>
          <w:color w:val="auto"/>
        </w:rPr>
        <w:t>Our go-to-market strategy is powered by a multi-channel platform that integrates our digital presence with a nationwide physical network. Our e-commerce site and personalized mobile app serve as hubs for pet parents to manage their pets’ health, wellness, and merchandise needs, while enabling them to shop wherever, whenever, and however they want. By leveraging an extensive physical network, we are able to offer a comprehensive product and service offering in a localized manner with a meaningful last-mile delivery advantage over the competition.</w:t>
      </w:r>
    </w:p>
    <w:p>
      <w:pPr>
        <w:spacing w:after="0" w:line="63" w:lineRule="exact"/>
        <w:rPr>
          <w:sz w:val="20"/>
          <w:szCs w:val="20"/>
          <w:color w:val="auto"/>
        </w:rPr>
      </w:pPr>
    </w:p>
    <w:p>
      <w:pPr>
        <w:jc w:val="both"/>
        <w:ind w:right="100" w:firstLine="589"/>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more than 6.5 million animals.</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Impact of the COVID-19 Pandemic on Our Business</w:t>
      </w:r>
    </w:p>
    <w:p>
      <w:pPr>
        <w:spacing w:after="0" w:line="121" w:lineRule="exact"/>
        <w:rPr>
          <w:sz w:val="20"/>
          <w:szCs w:val="20"/>
          <w:color w:val="auto"/>
        </w:rPr>
      </w:pPr>
    </w:p>
    <w:p>
      <w:pPr>
        <w:ind w:right="20" w:firstLine="589"/>
        <w:spacing w:after="0" w:line="254" w:lineRule="auto"/>
        <w:rPr>
          <w:sz w:val="20"/>
          <w:szCs w:val="20"/>
          <w:color w:val="auto"/>
        </w:rPr>
      </w:pPr>
      <w:r>
        <w:rPr>
          <w:rFonts w:ascii="Arial" w:cs="Arial" w:eastAsia="Arial" w:hAnsi="Arial"/>
          <w:sz w:val="18"/>
          <w:szCs w:val="18"/>
          <w:color w:val="auto"/>
        </w:rPr>
        <w:t>The COVID-19 pandemic has impacted every aspect of the economy. As an essential retailer, all of our pet care centers have remained open, some with limited or suspended services, as we are the grocery store, pharmacy, and doctor’s office for many of our nation’s pets. Market data indicates that with more of the working population staying home, there has been an increase in pet ownership and the percentage of disposable income spent on home-related goods and services, including pet care, relative to pre-pandemic levels. Overall, this macroeconomic trend has continued to favorably impact our business results to date with millions of additional new pets that need to be fed, groomed and vaccinated for years to come, but the possible continued spread of COVID-19, and any government response thereto, increases the uncertainty regarding potential economic conditions that could impact our business in the future.</w:t>
      </w:r>
    </w:p>
    <w:p>
      <w:pPr>
        <w:spacing w:after="0" w:line="19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cannot predict the duration or ultimate severity of COVID-19 or its ultimate impact on the broader economy or our operations and liquidity.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risk factors referred to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Form 10-Q.</w:t>
      </w:r>
    </w:p>
    <w:p>
      <w:pPr>
        <w:spacing w:after="0" w:line="31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95"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60" w:firstLine="589"/>
        <w:spacing w:after="0" w:line="279" w:lineRule="auto"/>
        <w:rPr>
          <w:sz w:val="20"/>
          <w:szCs w:val="20"/>
          <w:color w:val="auto"/>
        </w:rPr>
      </w:pPr>
      <w:r>
        <w:rPr>
          <w:rFonts w:ascii="Arial" w:cs="Arial" w:eastAsia="Arial" w:hAnsi="Arial"/>
          <w:sz w:val="17"/>
          <w:szCs w:val="17"/>
          <w:color w:val="auto"/>
        </w:rPr>
        <w:t>Management and our board of directors review, in addition to GAAP (as defined herein) measures, certain non-GAAP financial measures, including Adjusted EBITDA, Free Cash Flow and Net Debt,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240" w:firstLine="589"/>
        <w:spacing w:after="0" w:line="263" w:lineRule="auto"/>
        <w:rPr>
          <w:sz w:val="20"/>
          <w:szCs w:val="20"/>
          <w:color w:val="auto"/>
        </w:rPr>
      </w:pPr>
      <w:r>
        <w:rPr>
          <w:rFonts w:ascii="Arial" w:cs="Arial" w:eastAsia="Arial" w:hAnsi="Arial"/>
          <w:sz w:val="18"/>
          <w:szCs w:val="18"/>
          <w:color w:val="auto"/>
        </w:rPr>
        <w:t>Our business transformation initiatives, accelerated by an increase in pet ownership and a shift in customer discretionary spend toward the pet category, have driven strong top and bottom-line growth in our business. Comparing the thirteen weeks ended October 30, 2021 with the thirteen weeks ended October 31, 2020 (unless otherwise noted), we achieved the following results:</w:t>
      </w:r>
    </w:p>
    <w:p>
      <w:pPr>
        <w:spacing w:after="0" w:line="76" w:lineRule="exact"/>
        <w:rPr>
          <w:sz w:val="20"/>
          <w:szCs w:val="20"/>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sales from $1.26 billion to $1.44 billion, representing period-over-period growth of 14.5%;</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sales growth of 15.5%;</w:t>
      </w:r>
    </w:p>
    <w:p>
      <w:pPr>
        <w:spacing w:after="0" w:line="144"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operating income from $46.0 million to $61.9 million, representing period-over-period growth of 34.6%;</w:t>
      </w:r>
    </w:p>
    <w:p>
      <w:pPr>
        <w:spacing w:after="0" w:line="144" w:lineRule="exact"/>
        <w:rPr>
          <w:rFonts w:ascii="Arial" w:cs="Arial" w:eastAsia="Arial" w:hAnsi="Arial"/>
          <w:sz w:val="18"/>
          <w:szCs w:val="18"/>
          <w:color w:val="auto"/>
        </w:rPr>
      </w:pPr>
    </w:p>
    <w:p>
      <w:pPr>
        <w:ind w:left="1160" w:right="8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net income attributable to Class A and B-1 common stockholders from $3.4 million to $52.8 million, representing a period-over-period improvement of 1,450.2%;</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increase in Adjusted EBITDA from $118.1 million to $138.5 million, representing period-over-period growth of 17.3%; and</w:t>
      </w:r>
    </w:p>
    <w:p>
      <w:pPr>
        <w:spacing w:after="0" w:line="144"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improvement in net cash flows provided by operating activities from $201.5 million during the thirty-nine weeks ended October 31, 2020 to $288.4 million during the thirty-nine weeks ended October 30, 2021.</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13"/>
          </w:tcPr>
          <w:p>
            <w:pPr>
              <w:jc w:val="center"/>
              <w:ind w:right="240"/>
              <w:spacing w:after="0"/>
              <w:rPr>
                <w:sz w:val="20"/>
                <w:szCs w:val="20"/>
                <w:color w:val="auto"/>
              </w:rPr>
            </w:pPr>
            <w:r>
              <w:rPr>
                <w:rFonts w:ascii="Arial" w:cs="Arial" w:eastAsia="Arial" w:hAnsi="Arial"/>
                <w:sz w:val="14"/>
                <w:szCs w:val="14"/>
                <w:b w:val="1"/>
                <w:bCs w:val="1"/>
                <w:color w:val="auto"/>
                <w:w w:val="91"/>
              </w:rPr>
              <w:t>Thirteen weeks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11"/>
          </w:tcPr>
          <w:p>
            <w:pPr>
              <w:jc w:val="right"/>
              <w:ind w:right="6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4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tcPr>
          <w:p>
            <w:pPr>
              <w:jc w:val="right"/>
              <w:ind w:right="280"/>
              <w:spacing w:after="0" w:line="133" w:lineRule="exact"/>
              <w:rPr>
                <w:sz w:val="20"/>
                <w:szCs w:val="20"/>
                <w:color w:val="auto"/>
              </w:rPr>
            </w:pPr>
            <w:r>
              <w:rPr>
                <w:rFonts w:ascii="Arial" w:cs="Arial" w:eastAsia="Arial" w:hAnsi="Arial"/>
                <w:sz w:val="14"/>
                <w:szCs w:val="14"/>
                <w:b w:val="1"/>
                <w:bCs w:val="1"/>
                <w:color w:val="auto"/>
                <w:w w:val="98"/>
              </w:rPr>
              <w:t>October 30,</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4"/>
          </w:tcPr>
          <w:p>
            <w:pPr>
              <w:jc w:val="right"/>
              <w:ind w:right="220"/>
              <w:spacing w:after="0" w:line="133" w:lineRule="exact"/>
              <w:rPr>
                <w:sz w:val="20"/>
                <w:szCs w:val="20"/>
                <w:color w:val="auto"/>
              </w:rPr>
            </w:pPr>
            <w:r>
              <w:rPr>
                <w:rFonts w:ascii="Arial" w:cs="Arial" w:eastAsia="Arial" w:hAnsi="Arial"/>
                <w:sz w:val="14"/>
                <w:szCs w:val="14"/>
                <w:b w:val="1"/>
                <w:bCs w:val="1"/>
                <w:color w:val="auto"/>
                <w:w w:val="98"/>
              </w:rPr>
              <w:t>October 31,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jc w:val="right"/>
              <w:ind w:right="360"/>
              <w:spacing w:after="0" w:line="133" w:lineRule="exact"/>
              <w:rPr>
                <w:sz w:val="20"/>
                <w:szCs w:val="20"/>
                <w:color w:val="auto"/>
              </w:rPr>
            </w:pPr>
            <w:r>
              <w:rPr>
                <w:rFonts w:ascii="Arial" w:cs="Arial" w:eastAsia="Arial" w:hAnsi="Arial"/>
                <w:sz w:val="14"/>
                <w:szCs w:val="14"/>
                <w:b w:val="1"/>
                <w:bCs w:val="1"/>
                <w:color w:val="auto"/>
              </w:rPr>
              <w:t>October 30,</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3"/>
          </w:tcPr>
          <w:p>
            <w:pPr>
              <w:jc w:val="right"/>
              <w:ind w:right="220"/>
              <w:spacing w:after="0" w:line="133" w:lineRule="exact"/>
              <w:rPr>
                <w:sz w:val="20"/>
                <w:szCs w:val="20"/>
                <w:color w:val="auto"/>
              </w:rPr>
            </w:pPr>
            <w:r>
              <w:rPr>
                <w:rFonts w:ascii="Arial" w:cs="Arial" w:eastAsia="Arial" w:hAnsi="Arial"/>
                <w:sz w:val="14"/>
                <w:szCs w:val="14"/>
                <w:b w:val="1"/>
                <w:bCs w:val="1"/>
                <w:color w:val="auto"/>
              </w:rPr>
              <w:t>October 31,</w:t>
            </w:r>
          </w:p>
        </w:tc>
        <w:tc>
          <w:tcPr>
            <w:tcW w:w="100" w:type="dxa"/>
            <w:vAlign w:val="bottom"/>
          </w:tcPr>
          <w:p>
            <w:pPr>
              <w:spacing w:after="0"/>
              <w:rPr>
                <w:sz w:val="11"/>
                <w:szCs w:val="1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1,443,264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1,259,997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4,292,792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3,582,489</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848,555</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718,559</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2,501,688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2,045,016</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594,709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541,438</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1,791,104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1,537,473</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532,760</w:t>
            </w: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495,401</w:t>
            </w: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1,607,938</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1,410,024</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61,949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46,037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183,166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127,449</w:t>
            </w:r>
          </w:p>
        </w:tc>
        <w:tc>
          <w:tcPr>
            <w:tcW w:w="100" w:type="dxa"/>
            <w:vAlign w:val="bottom"/>
            <w:shd w:val="clear" w:color="auto" w:fill="CFF0FC"/>
          </w:tcPr>
          <w:p>
            <w:pPr>
              <w:spacing w:after="0"/>
              <w:rPr>
                <w:sz w:val="19"/>
                <w:szCs w:val="19"/>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(332)</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18,769</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53,795</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58,504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169,096</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gridSpan w:val="4"/>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20,838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(19,773)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(64,934)</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98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80" w:type="dxa"/>
            <w:vAlign w:val="bottom"/>
          </w:tcPr>
          <w:p>
            <w:pPr>
              <w:ind w:left="640"/>
              <w:spacing w:after="0"/>
              <w:rPr>
                <w:sz w:val="20"/>
                <w:szCs w:val="20"/>
                <w:color w:val="auto"/>
              </w:rPr>
            </w:pPr>
            <w:r>
              <w:rPr>
                <w:rFonts w:ascii="Arial" w:cs="Arial" w:eastAsia="Arial" w:hAnsi="Arial"/>
                <w:sz w:val="18"/>
                <w:szCs w:val="18"/>
                <w:color w:val="auto"/>
              </w:rPr>
              <w:t>from equity method investees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62,971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(7,709)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168,811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(41,315)</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(7,940)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43,784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(13,537)</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(2,637)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(1,875)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(7,490)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(2,952)</w:t>
            </w:r>
          </w:p>
        </w:tc>
      </w:tr>
      <w:tr>
        <w:trPr>
          <w:trHeight w:val="223"/>
        </w:trPr>
        <w:tc>
          <w:tcPr>
            <w:tcW w:w="4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51,513</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2,106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132,517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(24,826)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5"/>
          </w:tcPr>
          <w:p>
            <w:pPr>
              <w:jc w:val="right"/>
              <w:ind w:right="40"/>
              <w:spacing w:after="0"/>
              <w:rPr>
                <w:sz w:val="20"/>
                <w:szCs w:val="20"/>
                <w:color w:val="auto"/>
              </w:rPr>
            </w:pPr>
            <w:r>
              <w:rPr>
                <w:rFonts w:ascii="Arial" w:cs="Arial" w:eastAsia="Arial" w:hAnsi="Arial"/>
                <w:sz w:val="18"/>
                <w:szCs w:val="18"/>
                <w:color w:val="auto"/>
              </w:rPr>
              <w:t>(1,297)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80"/>
              <w:spacing w:after="0"/>
              <w:rPr>
                <w:sz w:val="20"/>
                <w:szCs w:val="20"/>
                <w:color w:val="auto"/>
              </w:rPr>
            </w:pPr>
            <w:r>
              <w:rPr>
                <w:rFonts w:ascii="Arial" w:cs="Arial" w:eastAsia="Arial" w:hAnsi="Arial"/>
                <w:sz w:val="18"/>
                <w:szCs w:val="18"/>
                <w:color w:val="auto"/>
              </w:rPr>
              <w:t>(2,906)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40"/>
              <w:spacing w:after="0"/>
              <w:rPr>
                <w:sz w:val="20"/>
                <w:szCs w:val="20"/>
                <w:color w:val="auto"/>
              </w:rPr>
            </w:pPr>
            <w:r>
              <w:rPr>
                <w:rFonts w:ascii="Arial" w:cs="Arial" w:eastAsia="Arial" w:hAnsi="Arial"/>
                <w:sz w:val="18"/>
                <w:szCs w:val="18"/>
                <w:color w:val="auto"/>
              </w:rPr>
              <w:t>(4,502)</w:t>
            </w:r>
          </w:p>
        </w:tc>
      </w:tr>
      <w:tr>
        <w:trPr>
          <w:trHeight w:val="209"/>
        </w:trPr>
        <w:tc>
          <w:tcPr>
            <w:tcW w:w="4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 attributable to Class A and B-1</w:t>
            </w: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stockholders</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52,752</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FF0FC"/>
          </w:tcPr>
          <w:p>
            <w:pPr>
              <w:spacing w:after="0"/>
              <w:rPr>
                <w:sz w:val="20"/>
                <w:szCs w:val="20"/>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135,423</w:t>
            </w:r>
          </w:p>
        </w:tc>
        <w:tc>
          <w:tcPr>
            <w:tcW w:w="140" w:type="dxa"/>
            <w:vAlign w:val="bottom"/>
            <w:shd w:val="clear" w:color="auto" w:fill="CFF0FC"/>
          </w:tcPr>
          <w:p>
            <w:pPr>
              <w:spacing w:after="0"/>
              <w:rPr>
                <w:sz w:val="20"/>
                <w:szCs w:val="20"/>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(20,324)</w:t>
            </w:r>
          </w:p>
        </w:tc>
      </w:tr>
      <w:tr>
        <w:trPr>
          <w:trHeight w:val="473"/>
        </w:trPr>
        <w:tc>
          <w:tcPr>
            <w:tcW w:w="4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13"/>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1"/>
          </w:tcPr>
          <w:p>
            <w:pPr>
              <w:jc w:val="right"/>
              <w:ind w:right="76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4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Borders>
              <w:top w:val="single" w:sz="8" w:color="auto"/>
            </w:tcBorders>
            <w:gridSpan w:val="6"/>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October 30,</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October 31,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gridSpan w:val="2"/>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5"/>
          </w:tcPr>
          <w:p>
            <w:pPr>
              <w:jc w:val="right"/>
              <w:ind w:right="500"/>
              <w:spacing w:after="0" w:line="133" w:lineRule="exact"/>
              <w:rPr>
                <w:sz w:val="20"/>
                <w:szCs w:val="20"/>
                <w:color w:val="auto"/>
              </w:rPr>
            </w:pPr>
            <w:r>
              <w:rPr>
                <w:rFonts w:ascii="Arial" w:cs="Arial" w:eastAsia="Arial" w:hAnsi="Arial"/>
                <w:sz w:val="14"/>
                <w:szCs w:val="14"/>
                <w:b w:val="1"/>
                <w:bCs w:val="1"/>
                <w:color w:val="auto"/>
                <w:w w:val="98"/>
              </w:rPr>
              <w:t>October 30,</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133"/>
              <w:spacing w:after="0" w:line="133" w:lineRule="exact"/>
              <w:rPr>
                <w:sz w:val="20"/>
                <w:szCs w:val="20"/>
                <w:color w:val="auto"/>
              </w:rPr>
            </w:pPr>
            <w:r>
              <w:rPr>
                <w:rFonts w:ascii="Arial" w:cs="Arial" w:eastAsia="Arial" w:hAnsi="Arial"/>
                <w:sz w:val="14"/>
                <w:szCs w:val="14"/>
                <w:b w:val="1"/>
                <w:bCs w:val="1"/>
                <w:color w:val="auto"/>
                <w:w w:val="90"/>
              </w:rPr>
              <w:t>October 31,</w:t>
            </w:r>
          </w:p>
        </w:tc>
        <w:tc>
          <w:tcPr>
            <w:tcW w:w="4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93"/>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profit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income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90"/>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Loss on extinguishment and modification of debt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Other non-operating income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9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5"/>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r>
      <w:tr>
        <w:trPr>
          <w:trHeight w:val="209"/>
        </w:trPr>
        <w:tc>
          <w:tcPr>
            <w:tcW w:w="4980" w:type="dxa"/>
            <w:vAlign w:val="bottom"/>
          </w:tcPr>
          <w:p>
            <w:pPr>
              <w:ind w:left="500"/>
              <w:spacing w:after="0"/>
              <w:rPr>
                <w:sz w:val="20"/>
                <w:szCs w:val="20"/>
                <w:color w:val="auto"/>
              </w:rPr>
            </w:pPr>
            <w:r>
              <w:rPr>
                <w:rFonts w:ascii="Arial" w:cs="Arial" w:eastAsia="Arial" w:hAnsi="Arial"/>
                <w:sz w:val="18"/>
                <w:szCs w:val="18"/>
                <w:color w:val="auto"/>
              </w:rPr>
              <w:t>Income (loss) before income taxes and income</w:t>
            </w:r>
          </w:p>
        </w:tc>
        <w:tc>
          <w:tcPr>
            <w:tcW w:w="6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80" w:type="dxa"/>
            <w:vAlign w:val="bottom"/>
          </w:tcPr>
          <w:p>
            <w:pPr>
              <w:ind w:left="640"/>
              <w:spacing w:after="0"/>
              <w:rPr>
                <w:sz w:val="20"/>
                <w:szCs w:val="20"/>
                <w:color w:val="auto"/>
              </w:rPr>
            </w:pPr>
            <w:r>
              <w:rPr>
                <w:rFonts w:ascii="Arial" w:cs="Arial" w:eastAsia="Arial" w:hAnsi="Arial"/>
                <w:sz w:val="18"/>
                <w:szCs w:val="18"/>
                <w:color w:val="auto"/>
              </w:rPr>
              <w:t>from equity method investees</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(0.7)</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from equity method investees</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9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23"/>
        </w:trPr>
        <w:tc>
          <w:tcPr>
            <w:tcW w:w="4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6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ind w:left="500"/>
              <w:spacing w:after="0"/>
              <w:rPr>
                <w:sz w:val="20"/>
                <w:szCs w:val="20"/>
                <w:color w:val="auto"/>
              </w:rPr>
            </w:pPr>
            <w:r>
              <w:rPr>
                <w:rFonts w:ascii="Arial" w:cs="Arial" w:eastAsia="Arial" w:hAnsi="Arial"/>
                <w:sz w:val="18"/>
                <w:szCs w:val="18"/>
                <w:color w:val="auto"/>
              </w:rPr>
              <w:t>Net loss attributable to noncontrolling interest</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ind w:right="9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r>
      <w:tr>
        <w:trPr>
          <w:trHeight w:val="209"/>
        </w:trPr>
        <w:tc>
          <w:tcPr>
            <w:tcW w:w="49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income (loss) attributable to Class A and B-1</w:t>
            </w:r>
          </w:p>
        </w:tc>
        <w:tc>
          <w:tcPr>
            <w:tcW w:w="6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common stockholders</w:t>
            </w: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0.3%</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r>
      <w:tr>
        <w:trPr>
          <w:trHeight w:val="473"/>
        </w:trPr>
        <w:tc>
          <w:tcPr>
            <w:tcW w:w="4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00" w:type="dxa"/>
            <w:vAlign w:val="bottom"/>
            <w:gridSpan w:val="13"/>
          </w:tcPr>
          <w:p>
            <w:pPr>
              <w:jc w:val="right"/>
              <w:ind w:right="900"/>
              <w:spacing w:after="0"/>
              <w:rPr>
                <w:sz w:val="20"/>
                <w:szCs w:val="20"/>
                <w:color w:val="auto"/>
              </w:rPr>
            </w:pPr>
            <w:r>
              <w:rPr>
                <w:rFonts w:ascii="Arial" w:cs="Arial" w:eastAsia="Arial" w:hAnsi="Arial"/>
                <w:sz w:val="14"/>
                <w:szCs w:val="14"/>
                <w:b w:val="1"/>
                <w:bCs w:val="1"/>
                <w:color w:val="auto"/>
              </w:rPr>
              <w:t>Thirteen weeks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1"/>
          </w:tcPr>
          <w:p>
            <w:pPr>
              <w:jc w:val="right"/>
              <w:ind w:right="720"/>
              <w:spacing w:after="0"/>
              <w:rPr>
                <w:sz w:val="20"/>
                <w:szCs w:val="20"/>
                <w:color w:val="auto"/>
              </w:rPr>
            </w:pPr>
            <w:r>
              <w:rPr>
                <w:rFonts w:ascii="Arial" w:cs="Arial" w:eastAsia="Arial" w:hAnsi="Arial"/>
                <w:sz w:val="14"/>
                <w:szCs w:val="14"/>
                <w:b w:val="1"/>
                <w:bCs w:val="1"/>
                <w:color w:val="auto"/>
              </w:rPr>
              <w:t>Thirty-nine weeks ended</w:t>
            </w:r>
          </w:p>
        </w:tc>
      </w:tr>
      <w:tr>
        <w:trPr>
          <w:trHeight w:val="133"/>
        </w:trPr>
        <w:tc>
          <w:tcPr>
            <w:tcW w:w="4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20" w:type="dxa"/>
            <w:vAlign w:val="bottom"/>
            <w:tcBorders>
              <w:top w:val="single" w:sz="8" w:color="auto"/>
            </w:tcBorders>
            <w:gridSpan w:val="6"/>
          </w:tcPr>
          <w:p>
            <w:pPr>
              <w:jc w:val="center"/>
              <w:ind w:right="300"/>
              <w:spacing w:after="0" w:line="133" w:lineRule="exact"/>
              <w:rPr>
                <w:sz w:val="20"/>
                <w:szCs w:val="20"/>
                <w:color w:val="auto"/>
              </w:rPr>
            </w:pPr>
            <w:r>
              <w:rPr>
                <w:rFonts w:ascii="Arial" w:cs="Arial" w:eastAsia="Arial" w:hAnsi="Arial"/>
                <w:sz w:val="14"/>
                <w:szCs w:val="14"/>
                <w:b w:val="1"/>
                <w:bCs w:val="1"/>
                <w:color w:val="auto"/>
                <w:w w:val="93"/>
              </w:rPr>
              <w:t>October 30,</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rPr>
              <w:t>October 31,</w:t>
            </w:r>
          </w:p>
        </w:tc>
        <w:tc>
          <w:tcPr>
            <w:tcW w:w="2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4"/>
          </w:tcPr>
          <w:p>
            <w:pPr>
              <w:jc w:val="right"/>
              <w:ind w:right="480"/>
              <w:spacing w:after="0" w:line="133" w:lineRule="exact"/>
              <w:rPr>
                <w:sz w:val="20"/>
                <w:szCs w:val="20"/>
                <w:color w:val="auto"/>
              </w:rPr>
            </w:pPr>
            <w:r>
              <w:rPr>
                <w:rFonts w:ascii="Arial" w:cs="Arial" w:eastAsia="Arial" w:hAnsi="Arial"/>
                <w:sz w:val="14"/>
                <w:szCs w:val="14"/>
                <w:b w:val="1"/>
                <w:bCs w:val="1"/>
                <w:color w:val="auto"/>
                <w:w w:val="90"/>
              </w:rPr>
              <w:t>October 30,</w:t>
            </w: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right"/>
              <w:ind w:right="200"/>
              <w:spacing w:after="0" w:line="133" w:lineRule="exact"/>
              <w:rPr>
                <w:sz w:val="20"/>
                <w:szCs w:val="20"/>
                <w:color w:val="auto"/>
              </w:rPr>
            </w:pPr>
            <w:r>
              <w:rPr>
                <w:rFonts w:ascii="Arial" w:cs="Arial" w:eastAsia="Arial" w:hAnsi="Arial"/>
                <w:sz w:val="14"/>
                <w:szCs w:val="14"/>
                <w:b w:val="1"/>
                <w:bCs w:val="1"/>
                <w:color w:val="auto"/>
                <w:w w:val="98"/>
              </w:rPr>
              <w:t>October 31,</w:t>
            </w:r>
          </w:p>
        </w:tc>
        <w:tc>
          <w:tcPr>
            <w:tcW w:w="180" w:type="dxa"/>
            <w:vAlign w:val="bottom"/>
            <w:gridSpan w:val="2"/>
          </w:tcPr>
          <w:p>
            <w:pPr>
              <w:spacing w:after="0"/>
              <w:rPr>
                <w:sz w:val="11"/>
                <w:szCs w:val="1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6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Operational Data:</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Comparable sales increase (decrease)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8"/>
                <w:szCs w:val="18"/>
                <w:color w:val="auto"/>
              </w:rPr>
              <w:t>9.6%</w:t>
            </w: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Total pet care centers (U.S. and Puerto Rico) at end of period</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Total veterinarian practices at end of period</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(in thousands)</w:t>
            </w:r>
          </w:p>
        </w:tc>
        <w:tc>
          <w:tcPr>
            <w:tcW w:w="8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138,509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118,101</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419,328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335,749</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648"/>
        </w:trPr>
        <w:tc>
          <w:tcPr>
            <w:tcW w:w="4980" w:type="dxa"/>
            <w:vAlign w:val="bottom"/>
          </w:tcPr>
          <w:p>
            <w:pPr>
              <w:spacing w:after="0"/>
              <w:rPr>
                <w:sz w:val="24"/>
                <w:szCs w:val="24"/>
                <w:color w:val="auto"/>
              </w:rPr>
            </w:pPr>
          </w:p>
        </w:tc>
        <w:tc>
          <w:tcPr>
            <w:tcW w:w="840" w:type="dxa"/>
            <w:vAlign w:val="bottom"/>
            <w:gridSpan w:val="2"/>
          </w:tcPr>
          <w:p>
            <w:pPr>
              <w:jc w:val="right"/>
              <w:ind w:right="28"/>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right="580" w:firstLine="562"/>
        <w:spacing w:after="0" w:line="407" w:lineRule="auto"/>
        <w:rPr>
          <w:sz w:val="20"/>
          <w:szCs w:val="20"/>
          <w:color w:val="auto"/>
        </w:rPr>
      </w:pPr>
      <w:r>
        <w:rPr>
          <w:rFonts w:ascii="Arial" w:cs="Arial" w:eastAsia="Arial" w:hAnsi="Arial"/>
          <w:sz w:val="18"/>
          <w:szCs w:val="18"/>
          <w:b w:val="1"/>
          <w:bCs w:val="1"/>
          <w:color w:val="auto"/>
        </w:rPr>
        <w:t xml:space="preserve">Thirteen and Thirty-Nine Weeks Ended October 30, 2021 Compared with Thirteen and Thirty-Nine Weeks Ended October 31, 2020 </w:t>
      </w:r>
      <w:r>
        <w:rPr>
          <w:rFonts w:ascii="Arial" w:cs="Arial" w:eastAsia="Arial" w:hAnsi="Arial"/>
          <w:sz w:val="18"/>
          <w:szCs w:val="18"/>
          <w:b w:val="1"/>
          <w:bCs w:val="1"/>
          <w:i w:val="1"/>
          <w:iCs w:val="1"/>
          <w:color w:val="auto"/>
        </w:rPr>
        <w:t>Net Sales and Comparable Sales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3"/>
                <w:szCs w:val="13"/>
                <w:b w:val="1"/>
                <w:bCs w:val="1"/>
                <w:color w:val="auto"/>
                <w:w w:val="85"/>
              </w:rPr>
              <w:t>Thirteen weeks ended</w:t>
            </w: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10"/>
          </w:tcPr>
          <w:p>
            <w:pPr>
              <w:ind w:left="40"/>
              <w:spacing w:after="0"/>
              <w:rPr>
                <w:sz w:val="20"/>
                <w:szCs w:val="20"/>
                <w:color w:val="auto"/>
              </w:rPr>
            </w:pPr>
            <w:r>
              <w:rPr>
                <w:rFonts w:ascii="Arial" w:cs="Arial" w:eastAsia="Arial" w:hAnsi="Arial"/>
                <w:sz w:val="14"/>
                <w:szCs w:val="14"/>
                <w:b w:val="1"/>
                <w:bCs w:val="1"/>
                <w:color w:val="auto"/>
                <w:w w:val="94"/>
              </w:rPr>
              <w:t>Thirty-nine weeks ended</w:t>
            </w: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October 30,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October 31,</w:t>
            </w:r>
          </w:p>
        </w:tc>
        <w:tc>
          <w:tcPr>
            <w:tcW w:w="200" w:type="dxa"/>
            <w:vAlign w:val="bottom"/>
          </w:tcPr>
          <w:p>
            <w:pPr>
              <w:spacing w:after="0"/>
              <w:rPr>
                <w:sz w:val="12"/>
                <w:szCs w:val="12"/>
                <w:color w:val="auto"/>
              </w:rPr>
            </w:pPr>
          </w:p>
        </w:tc>
        <w:tc>
          <w:tcPr>
            <w:tcW w:w="700" w:type="dxa"/>
            <w:vAlign w:val="bottom"/>
          </w:tcPr>
          <w:p>
            <w:pPr>
              <w:jc w:val="right"/>
              <w:ind w:right="299"/>
              <w:spacing w:after="0" w:line="142" w:lineRule="exact"/>
              <w:rPr>
                <w:sz w:val="20"/>
                <w:szCs w:val="20"/>
                <w:color w:val="auto"/>
              </w:rPr>
            </w:pPr>
            <w:r>
              <w:rPr>
                <w:rFonts w:ascii="Arial" w:cs="Arial" w:eastAsia="Arial" w:hAnsi="Arial"/>
                <w:sz w:val="13"/>
                <w:szCs w:val="13"/>
                <w:b w:val="1"/>
                <w:bCs w:val="1"/>
                <w:color w:val="auto"/>
              </w:rPr>
              <w:t>$</w:t>
            </w:r>
          </w:p>
        </w:tc>
        <w:tc>
          <w:tcPr>
            <w:tcW w:w="920" w:type="dxa"/>
            <w:vAlign w:val="bottom"/>
            <w:gridSpan w:val="3"/>
          </w:tcPr>
          <w:p>
            <w:pPr>
              <w:jc w:val="right"/>
              <w:ind w:right="324"/>
              <w:spacing w:after="0" w:line="142"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w w:val="98"/>
              </w:rPr>
              <w:t>October 30,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ind w:left="220"/>
              <w:spacing w:after="0" w:line="142" w:lineRule="exact"/>
              <w:rPr>
                <w:sz w:val="20"/>
                <w:szCs w:val="20"/>
                <w:color w:val="auto"/>
              </w:rPr>
            </w:pPr>
            <w:r>
              <w:rPr>
                <w:rFonts w:ascii="Arial" w:cs="Arial" w:eastAsia="Arial" w:hAnsi="Arial"/>
                <w:sz w:val="13"/>
                <w:szCs w:val="13"/>
                <w:b w:val="1"/>
                <w:bCs w:val="1"/>
                <w:color w:val="auto"/>
              </w:rPr>
              <w:t>$</w:t>
            </w:r>
          </w:p>
        </w:tc>
        <w:tc>
          <w:tcPr>
            <w:tcW w:w="860" w:type="dxa"/>
            <w:vAlign w:val="bottom"/>
            <w:gridSpan w:val="3"/>
          </w:tcPr>
          <w:p>
            <w:pPr>
              <w:jc w:val="right"/>
              <w:ind w:right="244"/>
              <w:spacing w:after="0" w:line="142"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Change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Change</w:t>
            </w: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Change</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660" w:type="dxa"/>
            <w:vAlign w:val="bottom"/>
            <w:tcBorders>
              <w:bottom w:val="single" w:sz="8" w:color="auto"/>
            </w:tcBorders>
          </w:tcPr>
          <w:p>
            <w:pPr>
              <w:jc w:val="right"/>
              <w:ind w:right="104"/>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223"/>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Consumables</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643,125</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529,989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113,136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FF0FC"/>
          </w:tcPr>
          <w:p>
            <w:pPr>
              <w:spacing w:after="0"/>
              <w:rPr>
                <w:sz w:val="19"/>
                <w:szCs w:val="19"/>
                <w:color w:val="auto"/>
              </w:rPr>
            </w:pPr>
          </w:p>
        </w:tc>
        <w:tc>
          <w:tcPr>
            <w:tcW w:w="140" w:type="dxa"/>
            <w:vAlign w:val="bottom"/>
            <w:gridSpan w:val="3"/>
            <w:shd w:val="clear" w:color="auto" w:fill="CFF0FC"/>
          </w:tcPr>
          <w:p>
            <w:pPr>
              <w:ind w:left="8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1,850,203</w:t>
            </w:r>
          </w:p>
        </w:tc>
        <w:tc>
          <w:tcPr>
            <w:tcW w:w="2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1,548,015</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 w:type="dxa"/>
            <w:vAlign w:val="bottom"/>
            <w:gridSpan w:val="2"/>
            <w:shd w:val="clear" w:color="auto" w:fill="CFF0FC"/>
          </w:tcPr>
          <w:p>
            <w:pPr>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ind w:left="60"/>
              <w:spacing w:after="0"/>
              <w:rPr>
                <w:sz w:val="20"/>
                <w:szCs w:val="20"/>
                <w:color w:val="auto"/>
              </w:rPr>
            </w:pPr>
            <w:r>
              <w:rPr>
                <w:rFonts w:ascii="Arial" w:cs="Arial" w:eastAsia="Arial" w:hAnsi="Arial"/>
                <w:sz w:val="18"/>
                <w:szCs w:val="18"/>
                <w:color w:val="auto"/>
                <w:w w:val="89"/>
              </w:rPr>
              <w:t>302,188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6"/>
                <w:szCs w:val="16"/>
                <w:color w:val="auto"/>
              </w:rPr>
              <w:t>Supplies and companion animals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635,278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601,520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33,758</w:t>
            </w:r>
          </w:p>
        </w:tc>
        <w:tc>
          <w:tcPr>
            <w:tcW w:w="920" w:type="dxa"/>
            <w:vAlign w:val="bottom"/>
            <w:gridSpan w:val="3"/>
          </w:tcPr>
          <w:p>
            <w:pPr>
              <w:jc w:val="right"/>
              <w:ind w:right="4"/>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1,957,022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1,707,884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ind w:left="60"/>
              <w:spacing w:after="0"/>
              <w:rPr>
                <w:sz w:val="20"/>
                <w:szCs w:val="20"/>
                <w:color w:val="auto"/>
              </w:rPr>
            </w:pPr>
            <w:r>
              <w:rPr>
                <w:rFonts w:ascii="Arial" w:cs="Arial" w:eastAsia="Arial" w:hAnsi="Arial"/>
                <w:sz w:val="18"/>
                <w:szCs w:val="18"/>
                <w:color w:val="auto"/>
                <w:w w:val="89"/>
              </w:rPr>
              <w:t>249,138</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9"/>
        </w:trPr>
        <w:tc>
          <w:tcPr>
            <w:tcW w:w="2400" w:type="dxa"/>
            <w:vAlign w:val="bottom"/>
            <w:shd w:val="clear" w:color="auto" w:fill="CFF0FC"/>
          </w:tcPr>
          <w:p>
            <w:pPr>
              <w:spacing w:after="0"/>
              <w:rPr>
                <w:sz w:val="20"/>
                <w:szCs w:val="20"/>
                <w:color w:val="auto"/>
              </w:rPr>
            </w:pPr>
            <w:r>
              <w:rPr>
                <w:rFonts w:ascii="Arial" w:cs="Arial" w:eastAsia="Arial" w:hAnsi="Arial"/>
                <w:sz w:val="16"/>
                <w:szCs w:val="16"/>
                <w:color w:val="auto"/>
              </w:rPr>
              <w:t>Services and other</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164,861</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128,488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36,373</w:t>
            </w:r>
          </w:p>
        </w:tc>
        <w:tc>
          <w:tcPr>
            <w:tcW w:w="920" w:type="dxa"/>
            <w:vAlign w:val="bottom"/>
            <w:gridSpan w:val="3"/>
            <w:shd w:val="clear" w:color="auto" w:fill="CFF0FC"/>
          </w:tcPr>
          <w:p>
            <w:pPr>
              <w:jc w:val="right"/>
              <w:ind w:right="4"/>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485,567</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326,590</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9"/>
              </w:rPr>
              <w:t>158,977</w:t>
            </w: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6"/>
                <w:szCs w:val="16"/>
                <w:color w:val="auto"/>
              </w:rPr>
              <w:t>Net sales</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1,443,264</w:t>
            </w:r>
          </w:p>
        </w:tc>
        <w:tc>
          <w:tcPr>
            <w:tcW w:w="12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1,259,997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183,267</w:t>
            </w:r>
          </w:p>
        </w:tc>
        <w:tc>
          <w:tcPr>
            <w:tcW w:w="920" w:type="dxa"/>
            <w:vAlign w:val="bottom"/>
            <w:gridSpan w:val="3"/>
          </w:tcPr>
          <w:p>
            <w:pPr>
              <w:jc w:val="right"/>
              <w:ind w:right="4"/>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4,292,792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3,582,489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9"/>
              </w:rPr>
              <w:t>710,303</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Net sales increased $183.3 million, or 14.5%, to $1.44 billion in the thirteen weeks ended October 30, 2021 compared to net sales of $1.26 billion in the thirteen weeks ended October 31, 2020, driven by a 15.5% increase in our comparable sales. Net sales increased $710.3 million, or 19.8%, to $4.29 billion in the thirty-nine weeks ended October 30, 2021 compared to net sales of $3.58 billion in the thirty-nine weeks ended October 31, 2020, driven by a 20.9% increase in our comparable sales. Our sales growth period-over-period was driven by our strong execution and differentiated model across digital and in our pet care centers, coupled with an increase in new pet ownership and a resulting increase in sales to meet the needs of these pet parents. Net sales during the thirteen and thirty-nine weeks ended October 30, 2021 were impacted by inflation, as we have taken pricing actions to offset cost increases on some vendor-supplied product. In the aggregate, we have not experienced a decrease on unit sales of impacted product as a result of these actions.</w:t>
      </w:r>
    </w:p>
    <w:p>
      <w:pPr>
        <w:spacing w:after="0" w:line="58" w:lineRule="exact"/>
        <w:rPr>
          <w:sz w:val="20"/>
          <w:szCs w:val="20"/>
          <w:color w:val="auto"/>
        </w:rPr>
      </w:pPr>
    </w:p>
    <w:p>
      <w:pPr>
        <w:ind w:right="60" w:firstLine="589"/>
        <w:spacing w:after="0" w:line="257" w:lineRule="auto"/>
        <w:rPr>
          <w:sz w:val="20"/>
          <w:szCs w:val="20"/>
          <w:color w:val="auto"/>
        </w:rPr>
      </w:pPr>
      <w:r>
        <w:rPr>
          <w:rFonts w:ascii="Arial" w:cs="Arial" w:eastAsia="Arial" w:hAnsi="Arial"/>
          <w:sz w:val="18"/>
          <w:szCs w:val="18"/>
          <w:color w:val="auto"/>
        </w:rPr>
        <w:t>The increase in consumables and supplies and companion animals sales between the periods was driven by the increase in new pets, our strategic investments in customer acquisition and retention along with continued expansion of our product assortment. The increase in services and other was due to the increase in new pets as well as growth in our veterinary hospital business with the addition of 67 new hospitals period-over-period, coupled with headwinds experienced during the thirteen and thirty-nine weeks ended October 31, 2020 while stay-at-home orders were in place and some of our services were limited or suspended temporarily.</w:t>
      </w:r>
    </w:p>
    <w:p>
      <w:pPr>
        <w:spacing w:after="0" w:line="80" w:lineRule="exact"/>
        <w:rPr>
          <w:sz w:val="20"/>
          <w:szCs w:val="20"/>
          <w:color w:val="auto"/>
        </w:rPr>
      </w:pPr>
    </w:p>
    <w:p>
      <w:pPr>
        <w:ind w:right="80" w:firstLine="589"/>
        <w:spacing w:after="0" w:line="257" w:lineRule="auto"/>
        <w:rPr>
          <w:sz w:val="20"/>
          <w:szCs w:val="20"/>
          <w:color w:val="auto"/>
        </w:rPr>
      </w:pPr>
      <w:r>
        <w:rPr>
          <w:rFonts w:ascii="Arial" w:cs="Arial" w:eastAsia="Arial" w:hAnsi="Arial"/>
          <w:sz w:val="18"/>
          <w:szCs w:val="18"/>
          <w:color w:val="auto"/>
        </w:rPr>
        <w:t>For the thirteen and thirty-nine weeks ended October 30, 2021, pet care center merchandise delivered growth of 10.6% and 17.0%, respectively, with higher retail traffic and strong growth in all major categories, including consumables, supplies and companion animals. Our e-commerce and digital sales increased 31.9% and 22.2% during the thirteen and thirty-nine weeks ended October 30, 2021, respectively, reflecting our expanded brand assortment and enhanced personalization. This digital sales growth excludes the impact associated with the closure of our Live Aquaria business during the thirteen and thirty-nine weeks ended October 31,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Gross profit increased $53.3 million, or 9.8%, to $594.7 million in the thirteen weeks ended October 30, 2021 compared to gross profit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$541.4 million for the thirteen weeks ended October 31, 2020. As a percentage of sales, our gross profit rate was 41.2% for the thirteen weeks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October 30, 2021 compared with 43.0% for the thirteen weeks ended October 31, 2020. Gross profit increased $253.6 million, or 16.5%, to $1,791.1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in the thirty-nine weeks ended October 30, 2021 compared to gross profit of $1,537.5 million for the thirty-nine weeks ended October 31, 2020.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percentage of sales, our gross profit rate was 41.7% for the thirty-nine weeks ended October 30, 2021 compared with 42.9% for the thirty-nine weeks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October 31, 2020. The decrease in gross profit rate between the periods was primarily due to the mix impact of strong consumables sales during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thirteen and thirty-nine weeks ended October 30, 2021.  While the strong consumables mix impacts the gross margin rate, the average consumables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customer has a higher lifetime value than most other categories of customer.  Sales channel impacts driven by strength in our digital, services and vet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business, and moderate increases in distribution costs also contributed to the decrease in gross profit rate during the thirteen and thirty-nine weeks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October 30, 2021 as compared to the prior year periods.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SG&amp;A expenses increased $37.4 million, or 7.5%, to $532.8 million for the thirteen weeks ended October 30, 2021 compared to $495.4 million for the thirteen weeks ended October 31, 2020. As a percentage of net sales, SG&amp;A expenses were 36.9% for the thirteen weeks ended October 30, 2021 compared with 39.3% for the thirteen weeks ended October 31, 2020, reflecting operating leverage from net sales growth. The increase in SG&amp;A expenses period-over-period was to support our growth as we continue to invest in marketing, infrastructure and people.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02" w:right="319" w:bottom="1440" w:gutter="0" w:footer="0" w:header="0"/>
        </w:sectPr>
      </w:pPr>
    </w:p>
    <w:bookmarkStart w:id="20" w:name="page21"/>
    <w:bookmarkEnd w:id="20"/>
    <w:p>
      <w:pPr>
        <w:ind w:right="220"/>
        <w:spacing w:after="0" w:line="301" w:lineRule="auto"/>
        <w:rPr>
          <w:sz w:val="20"/>
          <w:szCs w:val="20"/>
          <w:color w:val="auto"/>
        </w:rPr>
      </w:pPr>
      <w:r>
        <w:rPr>
          <w:rFonts w:ascii="Arial" w:cs="Arial" w:eastAsia="Arial" w:hAnsi="Arial"/>
          <w:sz w:val="16"/>
          <w:szCs w:val="16"/>
          <w:color w:val="auto"/>
        </w:rPr>
        <w:t>G&amp;A expenses increased $14.8 million between the periods, with the majority of the increase due to stock-based compensation expense driven by our initial public offering. The remainder of the increase in SG&amp;A expenses was predominately due to higher incentive compensation for corporate and field partners along with increased variable costs associated with our higher sales growth. In addition, advertising expense increased $8.1 million between the thirteen weeks ended October 30, 2021 compared to the thirteen weeks ended October 31, 2020 to support the acceleration of our sales growth.</w:t>
      </w:r>
    </w:p>
    <w:p>
      <w:pPr>
        <w:spacing w:after="0" w:line="49" w:lineRule="exact"/>
        <w:rPr>
          <w:sz w:val="20"/>
          <w:szCs w:val="20"/>
          <w:color w:val="auto"/>
        </w:rPr>
      </w:pPr>
    </w:p>
    <w:p>
      <w:pPr>
        <w:ind w:right="200" w:firstLine="589"/>
        <w:spacing w:after="0" w:line="254" w:lineRule="auto"/>
        <w:rPr>
          <w:sz w:val="20"/>
          <w:szCs w:val="20"/>
          <w:color w:val="auto"/>
        </w:rPr>
      </w:pPr>
      <w:r>
        <w:rPr>
          <w:rFonts w:ascii="Arial" w:cs="Arial" w:eastAsia="Arial" w:hAnsi="Arial"/>
          <w:sz w:val="18"/>
          <w:szCs w:val="18"/>
          <w:color w:val="auto"/>
        </w:rPr>
        <w:t>SG&amp;A expenses increased $197.9 million, or 14.0%, to $1,607.9 million for the thirty-nine weeks ended October 30, 2021 compared to $1,410.0 million for the thirty-nine weeks ended October 31, 2020. As a percentage of net sales, SG&amp;A expenses were 37.5% for the thirty-nine weeks ended October 30, 2021 compared with 39.4% for the thirty-nine weeks ended October 31, 2020, reflecting operating leverage from net sales growth. The increase in SG&amp;A expenses period-over-period was driven by a $53.6 million increase in advertising expenses to support the acceleration of our sales growth. The remainder of the increase was predominately due to an increase in stock-based compensation expense driven by our initial public offering, higher incentive compensation for corporate and field partners, a legal settlement accrual for class action matters, along with increased variable costs associated with our higher sales growth.</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589"/>
        <w:spacing w:after="0" w:line="270" w:lineRule="auto"/>
        <w:rPr>
          <w:sz w:val="20"/>
          <w:szCs w:val="20"/>
          <w:color w:val="auto"/>
        </w:rPr>
      </w:pPr>
      <w:r>
        <w:rPr>
          <w:rFonts w:ascii="Arial" w:cs="Arial" w:eastAsia="Arial" w:hAnsi="Arial"/>
          <w:sz w:val="17"/>
          <w:szCs w:val="17"/>
          <w:color w:val="auto"/>
        </w:rPr>
        <w:t>Interest expense decreased $35.0 million, or 65.1%, to $18.8 million in the thirteen weeks ended October 30, 2021 compared with $53.8 million in the thirteen weeks ended October 31, 2020. Interest expense decreased $110.6 million, or 65.4%, to $58.5 million in the thirty-nine weeks ended October 30, 2021 compared with $169.1 million in the thirty-nine weeks ended October 31, 2020. The decrease was primarily driven by the redemption/cancellation of the Floating Rate Senior Notes and the 3.00% Senior Notes and repayment of a portion of our then-outstanding Amended Term Loan Facility (each as defined in Note 4, “</w:t>
      </w:r>
      <w:r>
        <w:rPr>
          <w:rFonts w:ascii="Arial" w:cs="Arial" w:eastAsia="Arial" w:hAnsi="Arial"/>
          <w:sz w:val="17"/>
          <w:szCs w:val="17"/>
          <w:i w:val="1"/>
          <w:iCs w:val="1"/>
          <w:color w:val="auto"/>
        </w:rPr>
        <w:t>Senior Notes</w:t>
      </w:r>
      <w:r>
        <w:rPr>
          <w:rFonts w:ascii="Arial" w:cs="Arial" w:eastAsia="Arial" w:hAnsi="Arial"/>
          <w:sz w:val="17"/>
          <w:szCs w:val="17"/>
          <w:color w:val="auto"/>
        </w:rPr>
        <w:t>,” and Note 3, “</w:t>
      </w:r>
      <w:r>
        <w:rPr>
          <w:rFonts w:ascii="Arial" w:cs="Arial" w:eastAsia="Arial" w:hAnsi="Arial"/>
          <w:sz w:val="17"/>
          <w:szCs w:val="17"/>
          <w:i w:val="1"/>
          <w:iCs w:val="1"/>
          <w:color w:val="auto"/>
        </w:rPr>
        <w:t>Senior Secured Credit Facilities,</w:t>
      </w:r>
      <w:r>
        <w:rPr>
          <w:rFonts w:ascii="Arial" w:cs="Arial" w:eastAsia="Arial" w:hAnsi="Arial"/>
          <w:sz w:val="17"/>
          <w:szCs w:val="17"/>
          <w:color w:val="auto"/>
        </w:rPr>
        <w:t>” to the Notes to Consolidated Financial Statements included in Part I, Item 1 of this Form 10-Q) in connection with our initial public offering. In March 2020, we borrowed $250.0 million on our then-outstanding senior secured asset-based revolving credit facility (the “Amended Revolving Credit Facility”) as a precautionary measure given the uncertainty of the macroeconomic environment at the start of the COVID-19 pandemic. We subsequently repaid the amount in full in the second quarter of fiscal 2020 and had no borrowings outstanding on the Amended Revolving Credit Facility as of January 30, 2021.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and Modification of Debt</w:t>
      </w:r>
    </w:p>
    <w:p>
      <w:pPr>
        <w:spacing w:after="0" w:line="225" w:lineRule="exact"/>
        <w:rPr>
          <w:sz w:val="20"/>
          <w:szCs w:val="20"/>
          <w:color w:val="auto"/>
        </w:rPr>
      </w:pPr>
    </w:p>
    <w:p>
      <w:pPr>
        <w:ind w:right="100" w:firstLine="589"/>
        <w:spacing w:after="0" w:line="257" w:lineRule="auto"/>
        <w:rPr>
          <w:sz w:val="20"/>
          <w:szCs w:val="20"/>
          <w:color w:val="auto"/>
        </w:rPr>
      </w:pPr>
      <w:r>
        <w:rPr>
          <w:rFonts w:ascii="Arial" w:cs="Arial" w:eastAsia="Arial" w:hAnsi="Arial"/>
          <w:sz w:val="18"/>
          <w:szCs w:val="18"/>
          <w:color w:val="auto"/>
        </w:rPr>
        <w:t>Loss on extinguishment and modification of debt was $20.8 million for the thirty-nine weeks ended October 30, 2021. This loss was recognized in conjunction with the March 2021 refinancing of the Amended Term Loan Facility and Amended Revolving Credit Facility. There was no loss on debt extinguishment and modification for the thirteen weeks ended October 30, 2021 or the thirteen and thirty-nine weeks ended October 31, 2020. For more information regarding these activities,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w:t>
      </w:r>
    </w:p>
    <w:p>
      <w:pPr>
        <w:spacing w:after="0" w:line="225" w:lineRule="exact"/>
        <w:rPr>
          <w:sz w:val="20"/>
          <w:szCs w:val="20"/>
          <w:color w:val="auto"/>
        </w:rPr>
      </w:pPr>
    </w:p>
    <w:p>
      <w:pPr>
        <w:ind w:right="60" w:firstLine="589"/>
        <w:spacing w:after="0" w:line="279" w:lineRule="auto"/>
        <w:rPr>
          <w:sz w:val="20"/>
          <w:szCs w:val="20"/>
          <w:color w:val="auto"/>
        </w:rPr>
      </w:pPr>
      <w:r>
        <w:rPr>
          <w:rFonts w:ascii="Arial" w:cs="Arial" w:eastAsia="Arial" w:hAnsi="Arial"/>
          <w:sz w:val="17"/>
          <w:szCs w:val="17"/>
          <w:color w:val="auto"/>
        </w:rPr>
        <w:t xml:space="preserve">Other non-operating income was $19.8 million and $64.9 million for the thirteen and thirty-nine weeks ended October 30, 2021, respectively. This income relates to non-cash gains from the remeasurement of the fair value of our investment in Rover Group, Inc. There was no other non-operating income recognized during the thirteen or thirty-nine weeks ended October 31, 2020. For more information regarding this activity, refer to Note 6, </w:t>
      </w:r>
      <w:r>
        <w:rPr>
          <w:rFonts w:ascii="Arial" w:cs="Arial" w:eastAsia="Arial" w:hAnsi="Arial"/>
          <w:sz w:val="17"/>
          <w:szCs w:val="17"/>
          <w:i w:val="1"/>
          <w:iCs w:val="1"/>
          <w:color w:val="auto"/>
        </w:rPr>
        <w:t>“Fair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Measurements,” </w:t>
      </w:r>
      <w:r>
        <w:rPr>
          <w:rFonts w:ascii="Arial" w:cs="Arial" w:eastAsia="Arial" w:hAnsi="Arial"/>
          <w:sz w:val="17"/>
          <w:szCs w:val="17"/>
          <w:color w:val="auto"/>
        </w:rPr>
        <w:t>to the Notes to Consolidated Financial Statements included in Part I, Item 1 of this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20" w:firstLine="589"/>
        <w:spacing w:after="0" w:line="262" w:lineRule="auto"/>
        <w:rPr>
          <w:sz w:val="20"/>
          <w:szCs w:val="20"/>
          <w:color w:val="auto"/>
        </w:rPr>
      </w:pPr>
      <w:r>
        <w:rPr>
          <w:rFonts w:ascii="Arial" w:cs="Arial" w:eastAsia="Arial" w:hAnsi="Arial"/>
          <w:sz w:val="18"/>
          <w:szCs w:val="18"/>
          <w:color w:val="auto"/>
        </w:rPr>
        <w:t>Our effective tax rates were 21.1% and 24.4% resulting in income tax expense of $14.1 million and $43.8 million for the thirteen and thirty-nine weeks ended October 30, 2021, respectively, compared to effective tax rates of 174.8% and 40.2% resulting in income tax benefit of $7.9 million and $13.5 million for the thirteen and thirty-nine weeks ended October 31, 2020, respectively. The decrease in effective tax rate for the thirty-nine weeks ended October 30, 2021 is primarily driven by the inclusion of third party legal, consulting, accounting, and other transaction costs incurred by the Company in connection with our initial public offering, which resulted in a benefit of $5.2 million during the thirteen and thirty-nine weeks ended October 30, 2021. In addition, deferred tax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1" w:name="page22"/>
    <w:bookmarkEnd w:id="21"/>
    <w:p>
      <w:pPr>
        <w:ind w:right="40"/>
        <w:spacing w:after="0" w:line="277" w:lineRule="auto"/>
        <w:rPr>
          <w:sz w:val="20"/>
          <w:szCs w:val="20"/>
          <w:color w:val="auto"/>
        </w:rPr>
      </w:pPr>
      <w:r>
        <w:rPr>
          <w:rFonts w:ascii="Arial" w:cs="Arial" w:eastAsia="Arial" w:hAnsi="Arial"/>
          <w:sz w:val="18"/>
          <w:szCs w:val="18"/>
          <w:color w:val="auto"/>
        </w:rPr>
        <w:t>were remeasured in the thirty-nine weeks ended October 31, 2020 related to $67.4 million of net operating losses available under the CARES Act that were carried back to fiscal year(s) before the Tax Act was enacted, which resulted in a benefit of $8.5 million.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200" w:firstLine="589"/>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84" w:lineRule="exact"/>
        <w:rPr>
          <w:sz w:val="20"/>
          <w:szCs w:val="20"/>
          <w:color w:val="auto"/>
        </w:rPr>
      </w:pPr>
    </w:p>
    <w:p>
      <w:pPr>
        <w:ind w:right="260" w:firstLine="589"/>
        <w:spacing w:after="0" w:line="257" w:lineRule="auto"/>
        <w:rPr>
          <w:sz w:val="20"/>
          <w:szCs w:val="20"/>
          <w:color w:val="auto"/>
        </w:rPr>
      </w:pPr>
      <w:r>
        <w:rPr>
          <w:rFonts w:ascii="Arial" w:cs="Arial" w:eastAsia="Arial" w:hAnsi="Arial"/>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Refer to Part II, Item 7, “Management’s Discussion and Analysis of Financial Condition and Results of Operations—Reconciliation of Non-GAAP Financial Measures to GAAP Measures” included in the 2020 Form 10-K for more information regarding how we define Adjusted EBITDA.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ind w:left="600"/>
        <w:spacing w:after="0"/>
        <w:rPr>
          <w:sz w:val="20"/>
          <w:szCs w:val="20"/>
          <w:color w:val="auto"/>
        </w:rPr>
      </w:pPr>
      <w:r>
        <w:rPr>
          <w:rFonts w:ascii="Arial" w:cs="Arial" w:eastAsia="Arial" w:hAnsi="Arial"/>
          <w:sz w:val="18"/>
          <w:szCs w:val="18"/>
          <w:color w:val="auto"/>
        </w:rPr>
        <w:t>The table below reflects the calculation of Adjusted EBITDA and Adjusted EBITDA Margin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8"/>
              </w:rPr>
              <w:t>October 30,</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w w:val="96"/>
              </w:rPr>
              <w:t>October 31,</w:t>
            </w:r>
          </w:p>
        </w:tc>
        <w:tc>
          <w:tcPr>
            <w:tcW w:w="3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8"/>
              </w:rPr>
              <w:t>October 30,</w:t>
            </w: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2"/>
              <w:spacing w:after="0" w:line="133" w:lineRule="exact"/>
              <w:rPr>
                <w:sz w:val="20"/>
                <w:szCs w:val="20"/>
                <w:color w:val="auto"/>
              </w:rPr>
            </w:pPr>
            <w:r>
              <w:rPr>
                <w:rFonts w:ascii="Arial" w:cs="Arial" w:eastAsia="Arial" w:hAnsi="Arial"/>
                <w:sz w:val="14"/>
                <w:szCs w:val="14"/>
                <w:b w:val="1"/>
                <w:bCs w:val="1"/>
                <w:color w:val="auto"/>
                <w:w w:val="98"/>
              </w:rPr>
              <w:t>October 31,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4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 attributable to Class A and B-1</w:t>
            </w: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stockholders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52,752</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3,403</w:t>
            </w:r>
          </w:p>
        </w:tc>
        <w:tc>
          <w:tcPr>
            <w:tcW w:w="3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135,423</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(20,324)</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18,751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53,746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58,451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168,764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(7,940)</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43,784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(13,537)</w:t>
            </w: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42,792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125,637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128,961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from equity method investees</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(7,490)</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Loss on debt extinguishment and modification</w:t>
            </w: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20,838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 and write offs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7,651</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36,491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non-operating income</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(19,773)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(64,934)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540" w:type="dxa"/>
            <w:vAlign w:val="bottom"/>
          </w:tcPr>
          <w:p>
            <w:pPr>
              <w:ind w:left="260"/>
              <w:spacing w:after="0"/>
              <w:rPr>
                <w:sz w:val="20"/>
                <w:szCs w:val="20"/>
                <w:color w:val="auto"/>
              </w:rPr>
            </w:pPr>
            <w:r>
              <w:rPr>
                <w:rFonts w:ascii="Arial" w:cs="Arial" w:eastAsia="Arial" w:hAnsi="Arial"/>
                <w:sz w:val="18"/>
                <w:szCs w:val="18"/>
                <w:color w:val="auto"/>
              </w:rPr>
              <w:t>Mexico joint venture EBITDA (1)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6,661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4,917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18,523</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12,419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Store pre-opening expenses</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60"/>
              <w:spacing w:after="0"/>
              <w:rPr>
                <w:sz w:val="20"/>
                <w:szCs w:val="20"/>
                <w:color w:val="auto"/>
              </w:rPr>
            </w:pPr>
            <w:r>
              <w:rPr>
                <w:rFonts w:ascii="Arial" w:cs="Arial" w:eastAsia="Arial" w:hAnsi="Arial"/>
                <w:sz w:val="18"/>
                <w:szCs w:val="18"/>
                <w:color w:val="auto"/>
              </w:rPr>
              <w:t>Store closing expenses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2,311</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3,329</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occupancy-related costs (2)</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Non-recurring costs (3)</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8,834</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17,257</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Adjusted EBITDA</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138,509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118,101</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419,328</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335,749</w:t>
            </w:r>
          </w:p>
        </w:tc>
        <w:tc>
          <w:tcPr>
            <w:tcW w:w="2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ind w:left="260"/>
              <w:spacing w:after="0"/>
              <w:rPr>
                <w:sz w:val="20"/>
                <w:szCs w:val="20"/>
                <w:color w:val="auto"/>
              </w:rPr>
            </w:pPr>
            <w:r>
              <w:rPr>
                <w:rFonts w:ascii="Arial" w:cs="Arial" w:eastAsia="Arial" w:hAnsi="Arial"/>
                <w:sz w:val="18"/>
                <w:szCs w:val="18"/>
                <w:color w:val="auto"/>
              </w:rPr>
              <w:t>Net sales</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1,443,264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1,259,997</w:t>
            </w:r>
          </w:p>
        </w:tc>
        <w:tc>
          <w:tcPr>
            <w:tcW w:w="3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4,292,792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3,582,489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margin (4)</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540" w:type="dxa"/>
            <w:vAlign w:val="bottom"/>
          </w:tcPr>
          <w:p>
            <w:pPr>
              <w:ind w:left="500"/>
              <w:spacing w:after="0"/>
              <w:rPr>
                <w:sz w:val="20"/>
                <w:szCs w:val="20"/>
                <w:color w:val="auto"/>
              </w:rPr>
            </w:pPr>
            <w:r>
              <w:rPr>
                <w:rFonts w:ascii="Arial" w:cs="Arial" w:eastAsia="Arial" w:hAnsi="Arial"/>
                <w:sz w:val="18"/>
                <w:szCs w:val="18"/>
                <w:color w:val="auto"/>
              </w:rPr>
              <w:t>Adjusted EBITDA Margin (4)</w:t>
            </w: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0972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76" w:lineRule="exact"/>
        <w:rPr>
          <w:sz w:val="20"/>
          <w:szCs w:val="20"/>
          <w:color w:val="auto"/>
        </w:rPr>
      </w:pPr>
    </w:p>
    <w:p>
      <w:pPr>
        <w:ind w:left="580" w:right="80" w:hanging="572"/>
        <w:spacing w:after="0" w:line="233"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Mexico joint venture EBITDA represents 50% of the entity’s operating results for the periods presented, as adjusted to reflect the results on a basis comparable to our Adjusted EBITDA. In the financial statements, this joint venture is accounted for as an equity method investment and reported net of depreciation and income taxes. Because such a presentation would not reflect the adjustments made in our calculation of Adjusted EBITDA, we include our 50% interest in our Mexico joint venture on an Adjusted EBITDA basis to ensure consistency. The table below presents a reconciliation of Mexico joint venture net income to Mexico joint venture EBITDA:</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4"/>
                <w:szCs w:val="14"/>
                <w:color w:val="auto"/>
              </w:rPr>
            </w:pPr>
          </w:p>
        </w:tc>
        <w:tc>
          <w:tcPr>
            <w:tcW w:w="25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6"/>
              </w:rPr>
              <w:t>October 30,</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w w:val="98"/>
              </w:rPr>
              <w:t>October 31,</w:t>
            </w: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w w:val="98"/>
              </w:rPr>
              <w:t>October 30,</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34"/>
              <w:spacing w:after="0" w:line="133" w:lineRule="exact"/>
              <w:rPr>
                <w:sz w:val="20"/>
                <w:szCs w:val="20"/>
                <w:color w:val="auto"/>
              </w:rPr>
            </w:pPr>
            <w:r>
              <w:rPr>
                <w:rFonts w:ascii="Arial" w:cs="Arial" w:eastAsia="Arial" w:hAnsi="Arial"/>
                <w:sz w:val="14"/>
                <w:szCs w:val="14"/>
                <w:b w:val="1"/>
                <w:bCs w:val="1"/>
                <w:color w:val="auto"/>
                <w:w w:val="98"/>
              </w:rPr>
              <w:t>October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gridSpan w:val="2"/>
            <w:vMerge w:val="continue"/>
          </w:tcPr>
          <w:p>
            <w:pPr>
              <w:spacing w:after="0"/>
              <w:rPr>
                <w:sz w:val="14"/>
                <w:szCs w:val="14"/>
                <w:color w:val="auto"/>
              </w:rPr>
            </w:pPr>
          </w:p>
        </w:tc>
        <w:tc>
          <w:tcPr>
            <w:tcW w:w="17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60"/>
              <w:spacing w:after="0"/>
              <w:rPr>
                <w:sz w:val="20"/>
                <w:szCs w:val="20"/>
                <w:color w:val="auto"/>
              </w:rPr>
            </w:pPr>
            <w:r>
              <w:rPr>
                <w:rFonts w:ascii="Arial" w:cs="Arial" w:eastAsia="Arial" w:hAnsi="Arial"/>
                <w:sz w:val="18"/>
                <w:szCs w:val="18"/>
                <w:color w:val="auto"/>
              </w:rPr>
              <w:t>Depreciation</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2,915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260"/>
              <w:spacing w:after="0"/>
              <w:rPr>
                <w:sz w:val="20"/>
                <w:szCs w:val="20"/>
                <w:color w:val="auto"/>
              </w:rPr>
            </w:pPr>
            <w:r>
              <w:rPr>
                <w:rFonts w:ascii="Arial" w:cs="Arial" w:eastAsia="Arial" w:hAnsi="Arial"/>
                <w:sz w:val="18"/>
                <w:szCs w:val="18"/>
                <w:color w:val="auto"/>
              </w:rPr>
              <w:t>Foreign currency (gain) loss</w:t>
            </w:r>
          </w:p>
        </w:tc>
        <w:tc>
          <w:tcPr>
            <w:tcW w:w="1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17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EBITDA</w:t>
            </w:r>
          </w:p>
        </w:tc>
        <w:tc>
          <w:tcPr>
            <w:tcW w:w="17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9,834</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50% of EBITDA</w:t>
            </w:r>
          </w:p>
        </w:tc>
        <w:tc>
          <w:tcPr>
            <w:tcW w:w="17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4,917</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740" w:type="dxa"/>
            <w:vAlign w:val="bottom"/>
            <w:tcBorders>
              <w:bottom w:val="single" w:sz="8" w:color="auto"/>
            </w:tcBorders>
          </w:tcPr>
          <w:p>
            <w:pPr>
              <w:spacing w:after="0"/>
              <w:rPr>
                <w:sz w:val="7"/>
                <w:szCs w:val="7"/>
                <w:color w:val="auto"/>
              </w:rPr>
            </w:pPr>
          </w:p>
        </w:tc>
        <w:tc>
          <w:tcPr>
            <w:tcW w:w="23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Non-cash occupancy-related costs include the difference between cash and straight-line rent for all periods.</w:t>
      </w:r>
    </w:p>
    <w:p>
      <w:pPr>
        <w:spacing w:after="0" w:line="109" w:lineRule="exact"/>
        <w:rPr>
          <w:rFonts w:ascii="Arial" w:cs="Arial" w:eastAsia="Arial" w:hAnsi="Arial"/>
          <w:sz w:val="14"/>
          <w:szCs w:val="14"/>
          <w:color w:val="auto"/>
        </w:rPr>
      </w:pPr>
    </w:p>
    <w:p>
      <w:pPr>
        <w:ind w:left="580" w:right="100" w:hanging="572"/>
        <w:spacing w:after="0" w:line="233"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Non-recurring costs include: severance; legal reserves and related fees; one-time consulting and other costs associated with the Company’s strategic transformation initiatives; discontinuation and liquidation costs; and costs related to our initial public offering and refinancing. While we have incurred significant costs associated with the COVID-19 pandemic during fiscal 2020 and 2021, we have not classified any of these costs as non-recurring due to the uncertainty surrounding the pandemic’s length and long-term impact on the macroeconomic operating environment.</w:t>
      </w:r>
    </w:p>
    <w:p>
      <w:pPr>
        <w:spacing w:after="0" w:line="76" w:lineRule="exact"/>
        <w:rPr>
          <w:rFonts w:ascii="Arial" w:cs="Arial" w:eastAsia="Arial" w:hAnsi="Arial"/>
          <w:sz w:val="14"/>
          <w:szCs w:val="14"/>
          <w:color w:val="auto"/>
        </w:rPr>
      </w:pPr>
    </w:p>
    <w:p>
      <w:pPr>
        <w:ind w:left="580" w:right="200" w:hanging="572"/>
        <w:spacing w:after="0" w:line="253"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define net margin as net income (loss) attributable to Class A and B-1 common stockholders divided by net sales and Adjusted EBITDA margin as Adjusted EBITDA divided by net sales.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ind w:left="60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37"/>
              <w:spacing w:after="0" w:line="133"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Cash paid for fixed assets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(164,330)</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(96,289)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Free Cash Flow</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124,114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105,191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Debt</w:t>
      </w:r>
    </w:p>
    <w:p>
      <w:pPr>
        <w:spacing w:after="0" w:line="117"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Net Debt is a non-GAAP financial measure that is calculated as the sum of current and non-current debt, less cash and cash equivalents. Management considers this adjustment useful because it reduces the volatility of total debt caused by fluctuations between cash paid against the Company’s revolving credit facility and cash held on hand in cash and cash equivalents.</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table below reflects the calculation of Net Debt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October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7700" w:type="dxa"/>
            <w:vAlign w:val="bottom"/>
            <w:tcBorders>
              <w:bottom w:val="single" w:sz="8" w:color="CFF0FC"/>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Senior secured credit facilities, net, including current portion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1,660,423</w:t>
            </w:r>
          </w:p>
        </w:tc>
        <w:tc>
          <w:tcPr>
            <w:tcW w:w="180" w:type="dxa"/>
            <w:vAlign w:val="bottom"/>
          </w:tcPr>
          <w:p>
            <w:pPr>
              <w:spacing w:after="0"/>
              <w:rPr>
                <w:sz w:val="19"/>
                <w:szCs w:val="19"/>
                <w:color w:val="auto"/>
              </w:rPr>
            </w:pP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2,355,426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Senior notes, net</w:t>
            </w: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868,624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leases, including current portion</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debt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1,675,251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3,237,665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Less: cash and cash equivalents</w:t>
            </w:r>
          </w:p>
        </w:tc>
        <w:tc>
          <w:tcPr>
            <w:tcW w:w="2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(221,484)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(195,832)</w:t>
            </w:r>
          </w:p>
        </w:tc>
        <w:tc>
          <w:tcPr>
            <w:tcW w:w="0" w:type="dxa"/>
            <w:vAlign w:val="bottom"/>
          </w:tcPr>
          <w:p>
            <w:pPr>
              <w:spacing w:after="0"/>
              <w:rPr>
                <w:sz w:val="1"/>
                <w:szCs w:val="1"/>
                <w:color w:val="auto"/>
              </w:rPr>
            </w:pPr>
          </w:p>
        </w:tc>
      </w:tr>
      <w:tr>
        <w:trPr>
          <w:trHeight w:val="223"/>
        </w:trPr>
        <w:tc>
          <w:tcPr>
            <w:tcW w:w="77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Debt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1,453,767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3,041,833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60" w:firstLine="589"/>
        <w:spacing w:after="0" w:line="270" w:lineRule="auto"/>
        <w:rPr>
          <w:sz w:val="20"/>
          <w:szCs w:val="20"/>
          <w:color w:val="auto"/>
        </w:rPr>
      </w:pPr>
      <w:r>
        <w:rPr>
          <w:rFonts w:ascii="Arial" w:cs="Arial" w:eastAsia="Arial" w:hAnsi="Arial"/>
          <w:sz w:val="17"/>
          <w:szCs w:val="17"/>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October 30, 2021 was $662.6 million, inclusive of cash and cash equivalents of $221.5 million and $441.1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81" w:lineRule="exact"/>
        <w:rPr>
          <w:sz w:val="20"/>
          <w:szCs w:val="20"/>
          <w:color w:val="auto"/>
        </w:rPr>
      </w:pPr>
    </w:p>
    <w:p>
      <w:pPr>
        <w:ind w:right="80" w:firstLine="589"/>
        <w:spacing w:after="0" w:line="255" w:lineRule="auto"/>
        <w:rPr>
          <w:sz w:val="20"/>
          <w:szCs w:val="20"/>
          <w:color w:val="auto"/>
        </w:rPr>
      </w:pPr>
      <w:r>
        <w:rPr>
          <w:rFonts w:ascii="Arial" w:cs="Arial" w:eastAsia="Arial" w:hAnsi="Arial"/>
          <w:sz w:val="18"/>
          <w:szCs w:val="18"/>
          <w:color w:val="auto"/>
        </w:rPr>
        <w:t>We are a party to contractual obligations involving commitments to make payments to third parties. These obligations impact our short-term and long-term liquidity and capital resource needs. There have been no material changes to our contractual obligations as compared to those described in the 2020 Form 10-K, except for the debt refinancing transaction that occurred on March 4, 2021.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 for more information regarding our primary obligations, including amounts outstanding as of October 30, 2021 related to our debt. Also refer to further discussion on our debt refinancing transaction in “Sources of Liquidity” below.</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33"/>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October 30,</w:t>
            </w:r>
          </w:p>
        </w:tc>
        <w:tc>
          <w:tcPr>
            <w:tcW w:w="2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336"/>
              <w:spacing w:after="0" w:line="133" w:lineRule="exact"/>
              <w:rPr>
                <w:sz w:val="20"/>
                <w:szCs w:val="20"/>
                <w:color w:val="auto"/>
              </w:rPr>
            </w:pPr>
            <w:r>
              <w:rPr>
                <w:rFonts w:ascii="Arial" w:cs="Arial" w:eastAsia="Arial" w:hAnsi="Arial"/>
                <w:sz w:val="14"/>
                <w:szCs w:val="14"/>
                <w:b w:val="1"/>
                <w:bCs w:val="1"/>
                <w:color w:val="auto"/>
              </w:rPr>
              <w:t>October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720" w:type="dxa"/>
            <w:vAlign w:val="bottom"/>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cash provided by (used in):</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288,444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(167,770)</w:t>
            </w: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(95,920)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6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(14,863)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(51,124)</w:t>
            </w: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Net increase in cash, cash equivalents</w:t>
            </w: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00"/>
              <w:spacing w:after="0"/>
              <w:rPr>
                <w:sz w:val="20"/>
                <w:szCs w:val="20"/>
                <w:color w:val="auto"/>
              </w:rPr>
            </w:pPr>
            <w:r>
              <w:rPr>
                <w:rFonts w:ascii="Arial" w:cs="Arial" w:eastAsia="Arial" w:hAnsi="Arial"/>
                <w:sz w:val="18"/>
                <w:szCs w:val="18"/>
                <w:color w:val="auto"/>
              </w:rPr>
              <w:t>and restricted cash</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105,811</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60" w:firstLine="589"/>
        <w:spacing w:after="0" w:line="254" w:lineRule="auto"/>
        <w:rPr>
          <w:sz w:val="20"/>
          <w:szCs w:val="20"/>
          <w:color w:val="auto"/>
        </w:rPr>
      </w:pPr>
      <w:r>
        <w:rPr>
          <w:rFonts w:ascii="Arial" w:cs="Arial" w:eastAsia="Arial" w:hAnsi="Arial"/>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goodwill and intangible assets; other non-operating income; and the effect of changes in operating assets and liabilities.</w:t>
      </w:r>
    </w:p>
    <w:p>
      <w:pPr>
        <w:spacing w:after="0" w:line="195" w:lineRule="exact"/>
        <w:rPr>
          <w:sz w:val="20"/>
          <w:szCs w:val="20"/>
          <w:color w:val="auto"/>
        </w:rPr>
      </w:pPr>
    </w:p>
    <w:p>
      <w:pPr>
        <w:ind w:right="80" w:firstLine="589"/>
        <w:spacing w:after="0" w:line="291" w:lineRule="auto"/>
        <w:rPr>
          <w:sz w:val="20"/>
          <w:szCs w:val="20"/>
          <w:color w:val="auto"/>
        </w:rPr>
      </w:pPr>
      <w:r>
        <w:rPr>
          <w:rFonts w:ascii="Arial" w:cs="Arial" w:eastAsia="Arial" w:hAnsi="Arial"/>
          <w:sz w:val="16"/>
          <w:szCs w:val="16"/>
          <w:color w:val="auto"/>
        </w:rPr>
        <w:t>Net cash provided by operating activities was $288.4 million in the thirty-nine weeks ended October 30, 2021 compared with net cash provided by operating activities of $201.5 million in the thirty-nine weeks ended October 31, 2020. The increase in operating cash flow was due to strong operating performance and working capital benefit generated by higher sales as well as lower interest payments due to the reduction of debt balances in connection with the initial public offering and related recapitalization, and the refinancing transaction that occurred on March 4, 2021 discussed under “Sources of Liquidity” below. The increase in operating cash flows between the periods was partially offset by an increase in cash paid for inventory driven by higher inventory turns, higher payroll, bonus and fringe benefits driven by operating performance and pet care center appreciation bonuses, an increase in advertising spend, an increase in cash paid for income taxes, and an increase in cash paid on operating leases due to the timing of rent payments.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right="120" w:firstLine="540"/>
        <w:spacing w:after="0" w:line="301" w:lineRule="auto"/>
        <w:rPr>
          <w:sz w:val="20"/>
          <w:szCs w:val="20"/>
          <w:color w:val="auto"/>
        </w:rPr>
      </w:pPr>
      <w:r>
        <w:rPr>
          <w:rFonts w:ascii="Arial" w:cs="Arial" w:eastAsia="Arial" w:hAnsi="Arial"/>
          <w:sz w:val="16"/>
          <w:szCs w:val="16"/>
          <w:color w:val="auto"/>
        </w:rPr>
        <w:t>Cash used in investing activities consists of capital expenditures, which in the thirty-nine weeks ended October 30, 2021 and the thirty-nine weeks ended October 31, 2020 primarily supported our transformation initiatives. Net cash used in investing activities was $167.8 million and $95.9 million for the thirty-nine weeks ended October 30, 2021 and October 31, 2020, respectively. The increase in capital expenditures between the periods was due to our investments in digital assets, the build-out of our veterinary hospitals, innovation and enhanced supply chain capacity in response to our sales growth.</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Net cash used in financing activities was $14.9 million for the thirty-nine weeks ended October 30, 2021, compared with $51.1 million used in financing activities in the thirty-nine weeks ended October 31, 2020.</w:t>
      </w:r>
    </w:p>
    <w:p>
      <w:pPr>
        <w:spacing w:after="0" w:line="170" w:lineRule="exact"/>
        <w:rPr>
          <w:sz w:val="20"/>
          <w:szCs w:val="20"/>
          <w:color w:val="auto"/>
        </w:rPr>
      </w:pPr>
    </w:p>
    <w:p>
      <w:pPr>
        <w:ind w:right="40" w:firstLine="589"/>
        <w:spacing w:after="0" w:line="311" w:lineRule="auto"/>
        <w:rPr>
          <w:sz w:val="20"/>
          <w:szCs w:val="20"/>
          <w:color w:val="auto"/>
        </w:rPr>
      </w:pPr>
      <w:r>
        <w:rPr>
          <w:rFonts w:ascii="Arial" w:cs="Arial" w:eastAsia="Arial" w:hAnsi="Arial"/>
          <w:sz w:val="16"/>
          <w:szCs w:val="16"/>
          <w:color w:val="auto"/>
        </w:rPr>
        <w:t>Financing cash flows in the thirty-nine weeks ended October 30, 2021 primarily consisted of borrowings and repayments of debt in connection with the March 4, 2021 debt refinancing transaction discussed under “Sources of Liquidity” below. For more information regarding these activities, refer to Note 3 “</w:t>
      </w:r>
      <w:r>
        <w:rPr>
          <w:rFonts w:ascii="Arial" w:cs="Arial" w:eastAsia="Arial" w:hAnsi="Arial"/>
          <w:sz w:val="16"/>
          <w:szCs w:val="16"/>
          <w:i w:val="1"/>
          <w:iCs w:val="1"/>
          <w:color w:val="auto"/>
        </w:rPr>
        <w:t>Senior Secured Credit Facilities</w:t>
      </w:r>
      <w:r>
        <w:rPr>
          <w:rFonts w:ascii="Arial" w:cs="Arial" w:eastAsia="Arial" w:hAnsi="Arial"/>
          <w:sz w:val="16"/>
          <w:szCs w:val="16"/>
          <w:color w:val="auto"/>
        </w:rPr>
        <w:t>,” to the Notes to Consolidated Financial Statements included in Part I, Item 1 of this Form 10-Q.</w:t>
      </w:r>
    </w:p>
    <w:p>
      <w:pPr>
        <w:spacing w:after="0" w:line="149" w:lineRule="exact"/>
        <w:rPr>
          <w:sz w:val="20"/>
          <w:szCs w:val="20"/>
          <w:color w:val="auto"/>
        </w:rPr>
      </w:pPr>
    </w:p>
    <w:p>
      <w:pPr>
        <w:ind w:right="60" w:firstLine="589"/>
        <w:spacing w:after="0" w:line="277" w:lineRule="auto"/>
        <w:rPr>
          <w:sz w:val="20"/>
          <w:szCs w:val="20"/>
          <w:color w:val="auto"/>
        </w:rPr>
      </w:pPr>
      <w:r>
        <w:rPr>
          <w:rFonts w:ascii="Arial" w:cs="Arial" w:eastAsia="Arial" w:hAnsi="Arial"/>
          <w:sz w:val="18"/>
          <w:szCs w:val="18"/>
          <w:color w:val="auto"/>
        </w:rPr>
        <w:t>Financing cash flows in the thirty-nine weeks ended October 31, 2020 included a precautionary draw on the Amended Revolving Credit Facility of $250.0 million in March 2020 at the start of the COVID-19 pandemic. 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operations stabilized and financial results improved, the balance was repaid in full in the second quarter of fiscal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440" w:firstLine="589"/>
        <w:spacing w:after="0" w:line="277" w:lineRule="auto"/>
        <w:rPr>
          <w:sz w:val="20"/>
          <w:szCs w:val="20"/>
          <w:color w:val="auto"/>
        </w:rPr>
      </w:pPr>
      <w:r>
        <w:rPr>
          <w:rFonts w:ascii="Arial" w:cs="Arial" w:eastAsia="Arial" w:hAnsi="Arial"/>
          <w:sz w:val="18"/>
          <w:szCs w:val="18"/>
          <w:color w:val="auto"/>
        </w:rPr>
        <w:t>As of January 30, 2021, the Company had $1,678.1 million outstanding on the Amended Term Loan Facility and no balance on the Amended Revolving Credit Facility, which provided for senior secured financing of up to $500.0 million, subject to a borrowing base.</w:t>
      </w:r>
    </w:p>
    <w:p>
      <w:pPr>
        <w:spacing w:after="0" w:line="170" w:lineRule="exact"/>
        <w:rPr>
          <w:sz w:val="20"/>
          <w:szCs w:val="20"/>
          <w:color w:val="auto"/>
        </w:rPr>
      </w:pPr>
    </w:p>
    <w:p>
      <w:pPr>
        <w:ind w:right="120" w:firstLine="589"/>
        <w:spacing w:after="0" w:line="284" w:lineRule="auto"/>
        <w:rPr>
          <w:sz w:val="20"/>
          <w:szCs w:val="20"/>
          <w:color w:val="auto"/>
        </w:rPr>
      </w:pPr>
      <w:r>
        <w:rPr>
          <w:rFonts w:ascii="Arial" w:cs="Arial" w:eastAsia="Arial" w:hAnsi="Arial"/>
          <w:sz w:val="16"/>
          <w:szCs w:val="16"/>
          <w:color w:val="auto"/>
        </w:rPr>
        <w:t>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 The refinancing transaction, in combination with the application of the proceeds from the Company’s initial public offering and other recapitalization transactions in connection therewith, reduced the Company’s total debt by 48.3% as compared with October 31, 2020. Net Debt as a result of these transactions decreased $1,588.0 million or 52.2% to $1,453.8 million at October 30, 2021. Interest under the First Lien Term Loan is based on, at the Company’s option, either a base rate or Adjusted LIBOR, subject to a 0.75% floor, payable upon maturity of the LIBOR contract, in either case plus the applicable rate. The base rate is the greater of the bank prime rate, federal funds effective rate plus 0.5% or Adjusted LIBOR plus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1.0%. The applicable rate is 2.25% per annum for a base rate loan or 3.25% per annum for an Adjusted LIBOR loan. Principal payments are $4.25 million quarterly and commenced on June 30, 2021. The terms under the ABL Revolving Credit Facility are substantially similar to those of the Amended Revolving Credit Facility.</w:t>
      </w:r>
    </w:p>
    <w:p>
      <w:pPr>
        <w:spacing w:after="0" w:line="190" w:lineRule="exact"/>
        <w:rPr>
          <w:sz w:val="20"/>
          <w:szCs w:val="20"/>
          <w:color w:val="auto"/>
        </w:rPr>
      </w:pPr>
    </w:p>
    <w:p>
      <w:pPr>
        <w:ind w:right="500" w:firstLine="589"/>
        <w:spacing w:after="0" w:line="277" w:lineRule="auto"/>
        <w:rPr>
          <w:sz w:val="20"/>
          <w:szCs w:val="20"/>
          <w:color w:val="auto"/>
        </w:rPr>
      </w:pPr>
      <w:r>
        <w:rPr>
          <w:rFonts w:ascii="Arial" w:cs="Arial" w:eastAsia="Arial" w:hAnsi="Arial"/>
          <w:sz w:val="18"/>
          <w:szCs w:val="18"/>
          <w:color w:val="auto"/>
        </w:rPr>
        <w:t>For more information regarding this indebtedness, refer to Note 3,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to the Notes to Consolidated Financial Statements included in Part I, Item 1 of this Form 10-Q.</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89"/>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56" w:lineRule="exact"/>
        <w:rPr>
          <w:sz w:val="20"/>
          <w:szCs w:val="20"/>
          <w:color w:val="auto"/>
        </w:rPr>
      </w:pPr>
    </w:p>
    <w:p>
      <w:pPr>
        <w:ind w:right="80" w:firstLine="589"/>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the 2020 Form 10-K.</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89"/>
        <w:spacing w:after="0" w:line="277"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Consolidated Financial Statements included in Part I, Item 1 of this Form 10-Q for information regarding recently issued accounting pronouncements.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89"/>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89"/>
        <w:spacing w:after="0" w:line="279" w:lineRule="auto"/>
        <w:rPr>
          <w:sz w:val="20"/>
          <w:szCs w:val="20"/>
          <w:color w:val="auto"/>
        </w:rPr>
      </w:pPr>
      <w:r>
        <w:rPr>
          <w:rFonts w:ascii="Arial" w:cs="Arial" w:eastAsia="Arial" w:hAnsi="Arial"/>
          <w:sz w:val="17"/>
          <w:szCs w:val="17"/>
          <w:color w:val="auto"/>
        </w:rPr>
        <w:t>We are subject to interest rate risk in connection with the First Lien Term Loan and the ABL Revolving Credit Facility. As of October 30, 2021, we had $1,691.5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October 30, 2021 would have increased annual cash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ind w:right="220"/>
        <w:spacing w:after="0" w:line="277" w:lineRule="auto"/>
        <w:rPr>
          <w:sz w:val="20"/>
          <w:szCs w:val="20"/>
          <w:color w:val="auto"/>
        </w:rPr>
      </w:pPr>
      <w:r>
        <w:rPr>
          <w:rFonts w:ascii="Arial" w:cs="Arial" w:eastAsia="Arial" w:hAnsi="Arial"/>
          <w:sz w:val="18"/>
          <w:szCs w:val="18"/>
          <w:color w:val="auto"/>
        </w:rPr>
        <w:t>interest in the aggregate by approximately $17.1 million. As of October 30, 2021, the underlying interest rates on the First Lien Term Loan and the ABL Revolving Credit Facility were at the floor in the applicable agreements.</w:t>
      </w:r>
    </w:p>
    <w:p>
      <w:pPr>
        <w:spacing w:after="0" w:line="170"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589"/>
        <w:spacing w:after="0" w:line="263" w:lineRule="auto"/>
        <w:rPr>
          <w:sz w:val="20"/>
          <w:szCs w:val="20"/>
          <w:color w:val="auto"/>
        </w:rPr>
      </w:pPr>
      <w:r>
        <w:rPr>
          <w:rFonts w:ascii="Arial" w:cs="Arial" w:eastAsia="Arial" w:hAnsi="Arial"/>
          <w:sz w:val="18"/>
          <w:szCs w:val="18"/>
          <w:color w:val="auto"/>
        </w:rPr>
        <w:t>As of October 30, 2021,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 with little or no credit risk to us.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540" w:firstLine="589"/>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225" w:lineRule="exact"/>
        <w:rPr>
          <w:sz w:val="20"/>
          <w:szCs w:val="20"/>
          <w:color w:val="auto"/>
        </w:rPr>
      </w:pPr>
    </w:p>
    <w:p>
      <w:pPr>
        <w:jc w:val="both"/>
        <w:ind w:right="220" w:firstLine="54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57"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8"/>
          <w:szCs w:val="18"/>
          <w:color w:val="auto"/>
        </w:rPr>
        <w:t>As of the end of the period covered by this Form 10-Q,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October 30,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October 30, 2021, which has materially affected, or is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See Note 8, “</w:t>
      </w:r>
      <w:r>
        <w:rPr>
          <w:rFonts w:ascii="Arial" w:cs="Arial" w:eastAsia="Arial" w:hAnsi="Arial"/>
          <w:sz w:val="18"/>
          <w:szCs w:val="18"/>
          <w:i w:val="1"/>
          <w:iCs w:val="1"/>
          <w:color w:val="auto"/>
        </w:rPr>
        <w:t>Commitments and Contingencies—Litigation</w:t>
      </w:r>
      <w:r>
        <w:rPr>
          <w:rFonts w:ascii="Arial" w:cs="Arial" w:eastAsia="Arial" w:hAnsi="Arial"/>
          <w:sz w:val="18"/>
          <w:szCs w:val="18"/>
          <w:color w:val="auto"/>
        </w:rPr>
        <w:t>,” to the Notes to Consolidated Financial Statements included in Part I, Item 1 of this Form 10-Q for a description of legal proceedings,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Reference is made to Part I, Item 1A,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the 2020 Form 10-K and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included in our Quarterly Report on Form 10-Q for the quarter ended May 1, 2021 (the “Q1 Form 10-Q”) for information concerning risk factors. Except as set forth in the Q1 Form 10-Q, there have been no material changes with respect to the risk factors disclosed in our 2020 Form 10-K. You should carefully consider such factors, which could materially and adversely affect our business, financial condition and/or results of operations. The risks described in the Q1 Form 10-Q and in the 2020 Form 10-K are not the only risks we face. Additional risks and uncertainties not currently known to us or that we currently deem to be immaterial also may materially and adversely affect our business, financial condition and/or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spacing w:after="0"/>
              <w:rPr>
                <w:sz w:val="14"/>
                <w:szCs w:val="14"/>
                <w:color w:val="auto"/>
              </w:rPr>
            </w:pPr>
          </w:p>
        </w:tc>
        <w:tc>
          <w:tcPr>
            <w:tcW w:w="9300" w:type="dxa"/>
            <w:vAlign w:val="bottom"/>
            <w:gridSpan w:val="6"/>
            <w:vMerge w:val="restart"/>
          </w:tcPr>
          <w:p>
            <w:pPr>
              <w:ind w:left="38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4"/>
                <w:szCs w:val="14"/>
                <w:color w:val="auto"/>
              </w:rPr>
            </w:pPr>
          </w:p>
        </w:tc>
        <w:tc>
          <w:tcPr>
            <w:tcW w:w="93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9620" w:type="dxa"/>
            <w:vAlign w:val="bottom"/>
            <w:tcBorders>
              <w:top w:val="single" w:sz="8" w:color="auto"/>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540" w:type="dxa"/>
            <w:vAlign w:val="bottom"/>
            <w:tcBorders>
              <w:top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Certification of Principal Financial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adopted pursuant to Section 302 of the Sarbanes-Oxley Act of 2002</w:t>
              </w:r>
            </w:hyperlink>
          </w:p>
        </w:tc>
        <w:tc>
          <w:tcPr>
            <w:tcW w:w="6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20" w:type="dxa"/>
            <w:vAlign w:val="bottom"/>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4"/>
                <w:szCs w:val="24"/>
                <w:color w:val="auto"/>
              </w:rPr>
            </w:pPr>
          </w:p>
        </w:tc>
        <w:tc>
          <w:tcPr>
            <w:tcW w:w="10160" w:type="dxa"/>
            <w:vAlign w:val="bottom"/>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0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4"/>
                <w:szCs w:val="24"/>
                <w:color w:val="auto"/>
              </w:rPr>
            </w:pPr>
          </w:p>
        </w:tc>
        <w:tc>
          <w:tcPr>
            <w:tcW w:w="994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6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3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10160" w:type="dxa"/>
            <w:vAlign w:val="bottom"/>
            <w:gridSpan w:val="7"/>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160" w:type="dxa"/>
            <w:vAlign w:val="bottom"/>
            <w:gridSpan w:val="7"/>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101.SCH</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101.CAL</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101.DEF</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101.LAB</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101.PRE</w:t>
            </w:r>
          </w:p>
        </w:tc>
        <w:tc>
          <w:tcPr>
            <w:tcW w:w="101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080" w:hanging="982"/>
        <w:spacing w:after="0"/>
        <w:tabs>
          <w:tab w:leader="none" w:pos="10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33" w:lineRule="exact"/>
        <w:rPr>
          <w:rFonts w:ascii="Arial" w:cs="Arial" w:eastAsia="Arial" w:hAnsi="Arial"/>
          <w:sz w:val="18"/>
          <w:szCs w:val="18"/>
          <w:color w:val="auto"/>
        </w:rPr>
      </w:pPr>
    </w:p>
    <w:p>
      <w:pPr>
        <w:ind w:left="580" w:right="200" w:hanging="580"/>
        <w:spacing w:after="0" w:line="34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1097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232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59"/>
        </w:trPr>
        <w:tc>
          <w:tcPr>
            <w:tcW w:w="3660" w:type="dxa"/>
            <w:vAlign w:val="bottom"/>
          </w:tcPr>
          <w:p>
            <w:pPr>
              <w:spacing w:after="0"/>
              <w:rPr>
                <w:sz w:val="20"/>
                <w:szCs w:val="20"/>
                <w:color w:val="auto"/>
              </w:rPr>
            </w:pPr>
            <w:r>
              <w:rPr>
                <w:rFonts w:ascii="Arial" w:cs="Arial" w:eastAsia="Arial" w:hAnsi="Arial"/>
                <w:sz w:val="18"/>
                <w:szCs w:val="18"/>
                <w:color w:val="auto"/>
              </w:rPr>
              <w:t>Date: December 1, 2021</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Brian LaRose</w:t>
            </w:r>
          </w:p>
        </w:tc>
      </w:tr>
      <w:tr>
        <w:trPr>
          <w:trHeight w:val="222"/>
        </w:trPr>
        <w:tc>
          <w:tcPr>
            <w:tcW w:w="3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LaRose</w:t>
            </w:r>
          </w:p>
        </w:tc>
      </w:tr>
      <w:tr>
        <w:trPr>
          <w:trHeight w:val="216"/>
        </w:trPr>
        <w:tc>
          <w:tcPr>
            <w:tcW w:w="36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69"/>
        </w:trPr>
        <w:tc>
          <w:tcPr>
            <w:tcW w:w="3660" w:type="dxa"/>
            <w:vAlign w:val="bottom"/>
          </w:tcPr>
          <w:p>
            <w:pPr>
              <w:spacing w:after="0"/>
              <w:rPr>
                <w:sz w:val="24"/>
                <w:szCs w:val="24"/>
                <w:color w:val="auto"/>
              </w:rPr>
            </w:pPr>
          </w:p>
        </w:tc>
        <w:tc>
          <w:tcPr>
            <w:tcW w:w="2420" w:type="dxa"/>
            <w:vAlign w:val="bottom"/>
          </w:tcPr>
          <w:p>
            <w:pPr>
              <w:jc w:val="right"/>
              <w:ind w:right="270"/>
              <w:spacing w:after="0"/>
              <w:rPr>
                <w:sz w:val="20"/>
                <w:szCs w:val="20"/>
                <w:color w:val="auto"/>
              </w:rPr>
            </w:pPr>
            <w:r>
              <w:rPr>
                <w:rFonts w:ascii="Arial" w:cs="Arial" w:eastAsia="Arial" w:hAnsi="Arial"/>
                <w:sz w:val="18"/>
                <w:szCs w:val="18"/>
                <w:color w:val="auto"/>
              </w:rPr>
              <w:t>29</w:t>
            </w:r>
          </w:p>
        </w:tc>
        <w:tc>
          <w:tcPr>
            <w:tcW w:w="516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80" w:hanging="572"/>
        <w:spacing w:after="0" w:line="277"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LaRose, certify that:</w:t>
      </w:r>
    </w:p>
    <w:p>
      <w:pPr>
        <w:spacing w:after="0" w:line="225"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Petco Health and Wellness Company,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180" w:hanging="572"/>
        <w:spacing w:after="0" w:line="277"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hanging="572"/>
        <w:spacing w:after="0"/>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40" w:hanging="572"/>
        <w:spacing w:after="0" w:line="342"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Brian LaRose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October 30, 2021,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Ronald Coughlin, Jr.</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510"/>
        <w:spacing w:after="0" w:line="311" w:lineRule="auto"/>
        <w:rPr>
          <w:sz w:val="20"/>
          <w:szCs w:val="20"/>
          <w:color w:val="auto"/>
        </w:rPr>
      </w:pPr>
      <w:r>
        <w:rPr>
          <w:rFonts w:ascii="Arial" w:cs="Arial" w:eastAsia="Arial" w:hAnsi="Arial"/>
          <w:sz w:val="16"/>
          <w:szCs w:val="16"/>
          <w:color w:val="auto"/>
        </w:rPr>
        <w:t>In connection with the accompanying Quarterly Report on Form 10-Q of Petco Health and Wellness Company, Inc. (the “Company”) for the quarter ended October 30, 2021,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49"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00" w:right="6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December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Brian LaRose</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
      <w:numFmt w:val="bullet"/>
      <w:start w:val="1"/>
    </w:lvl>
    <w:lvl w:ilvl="1">
      <w:lvlJc w:val="left"/>
      <w:lvlText w:val="%2"/>
      <w:numFmt w:val="decimal"/>
      <w:start w:val="104"/>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2021-12-01T07:34:23Z</dcterms:created>
  <dcterms:modified xsi:type="dcterms:W3CDTF">2021-12-01T07:34:23Z</dcterms:modified>
</cp:coreProperties>
</file>