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840" w:right="1580" w:hanging="3819"/>
        <w:spacing w:after="0" w:line="299"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2,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342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064"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6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August 27, 2025 was 242,466,853.</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August 27, 2025 was 37,790,781.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August 27, 2025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885"/>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6"/>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2"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w:t>
      </w:r>
    </w:p>
    <w:p>
      <w:pPr>
        <w:spacing w:after="0" w:line="5" w:lineRule="exact"/>
        <w:rPr>
          <w:sz w:val="20"/>
          <w:szCs w:val="20"/>
          <w:color w:val="auto"/>
        </w:rPr>
      </w:pPr>
    </w:p>
    <w:p>
      <w:pPr>
        <w:ind w:right="60" w:firstLine="8"/>
        <w:spacing w:after="0" w:line="251"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8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7"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8"/>
              </w:rPr>
              <w:t>August 2,</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1,</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20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188,748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($725 and $1,594, respectively)</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608,506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60,387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47,393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939,558</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2,311,922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2,265,915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(1,624,417)</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(1,540,477)</w:t>
            </w: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687,505</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725,438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1,314,618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206,537</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187,963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5,153,282</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423,269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130,688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192,249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306,902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5,458</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1,058,566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1,580,688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1,578,091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1,047,757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220,992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106,176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4,014,179</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4,080,800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- 242.1 million and 239.1 million shares,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2,297,702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(1,146,748)</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(1,149,059)</w:t>
            </w: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(12,131)</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(18,083)</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1,139,103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5,153,282</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-3625215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1,225,605</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1,263,749</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2,467,496</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2,543,480</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514,432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1,579,825</w:t>
            </w:r>
          </w:p>
        </w:tc>
        <w:tc>
          <w:tcPr>
            <w:tcW w:w="12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313,213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1,826,641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1,893,510</w:t>
            </w: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1,155,287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1,159,385</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1,095,906</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1,173,699</w:t>
            </w:r>
          </w:p>
        </w:tc>
        <w:tc>
          <w:tcPr>
            <w:tcW w:w="120" w:type="dxa"/>
            <w:vAlign w:val="bottom"/>
            <w:tcBorders>
              <w:bottom w:val="single" w:sz="8" w:color="CFF0FC"/>
            </w:tcBorders>
          </w:tcPr>
          <w:p>
            <w:pPr>
              <w:spacing w:after="0"/>
              <w:rPr>
                <w:sz w:val="18"/>
                <w:szCs w:val="18"/>
                <w:color w:val="auto"/>
              </w:rPr>
            </w:pPr>
          </w:p>
        </w:tc>
      </w:tr>
      <w:tr>
        <w:trPr>
          <w:trHeight w:val="209"/>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66,791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8"/>
                <w:szCs w:val="18"/>
                <w:color w:val="auto"/>
              </w:rPr>
            </w:pPr>
          </w:p>
        </w:tc>
      </w:tr>
      <w:tr>
        <w:trPr>
          <w:trHeight w:val="191"/>
        </w:trPr>
        <w:tc>
          <w:tcPr>
            <w:tcW w:w="4880" w:type="dxa"/>
            <w:vAlign w:val="bottom"/>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Income (loss) before income taxes and income</w:t>
            </w:r>
          </w:p>
        </w:tc>
        <w:tc>
          <w:tcPr>
            <w:tcW w:w="9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(33,665)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(89,511)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(9,128)</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(9,077)</w:t>
            </w:r>
          </w:p>
        </w:tc>
      </w:tr>
      <w:tr>
        <w:trPr>
          <w:trHeight w:val="191"/>
        </w:trPr>
        <w:tc>
          <w:tcPr>
            <w:tcW w:w="4880" w:type="dxa"/>
            <w:vAlign w:val="bottom"/>
            <w:tcBorders>
              <w:top w:val="single" w:sz="8" w:color="CFF0FC"/>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9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34"/>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stockholders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(71,306)</w:t>
            </w: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Class A and B-1 common share: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4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per Class A and B-1 common share:</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278,303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271,421</w:t>
            </w:r>
          </w:p>
        </w:tc>
        <w:tc>
          <w:tcPr>
            <w:tcW w:w="120" w:type="dxa"/>
            <w:vAlign w:val="bottom"/>
            <w:shd w:val="clear" w:color="auto" w:fill="CFF0FC"/>
          </w:tcPr>
          <w:p>
            <w:pPr>
              <w:spacing w:after="0"/>
              <w:rPr>
                <w:sz w:val="18"/>
                <w:szCs w:val="18"/>
                <w:color w:val="auto"/>
              </w:rPr>
            </w:pPr>
          </w:p>
        </w:tc>
      </w:tr>
      <w:tr>
        <w:trPr>
          <w:trHeight w:val="234"/>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-3628390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-3628390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-3628390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-3628390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-3071495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-3071495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-3071495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-3071495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-2642870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-2642870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-2642870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-2642870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-1528445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-1528445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-1528445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-1528445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13,972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(24,823)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(71,306)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7,637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7,669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Gains on derivatives reclassified to income</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(loss) attributable to Class A and</w:t>
            </w:r>
          </w:p>
        </w:tc>
        <w:tc>
          <w:tcPr>
            <w:tcW w:w="84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22,318</w:t>
            </w:r>
          </w:p>
        </w:tc>
        <w:tc>
          <w:tcPr>
            <w:tcW w:w="3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(44,454)</w:t>
            </w:r>
          </w:p>
        </w:tc>
        <w:tc>
          <w:tcPr>
            <w:tcW w:w="3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8,263</w:t>
            </w:r>
          </w:p>
        </w:tc>
        <w:tc>
          <w:tcPr>
            <w:tcW w:w="14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(83,750)</w:t>
            </w:r>
          </w:p>
        </w:tc>
        <w:tc>
          <w:tcPr>
            <w:tcW w:w="0" w:type="dxa"/>
            <w:vAlign w:val="bottom"/>
          </w:tcPr>
          <w:p>
            <w:pPr>
              <w:spacing w:after="0"/>
              <w:rPr>
                <w:sz w:val="1"/>
                <w:szCs w:val="1"/>
                <w:color w:val="auto"/>
              </w:rPr>
            </w:pPr>
          </w:p>
        </w:tc>
      </w:tr>
      <w:tr>
        <w:trPr>
          <w:trHeight w:val="214"/>
        </w:trPr>
        <w:tc>
          <w:tcPr>
            <w:tcW w:w="49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B-1 common stockholders</w:t>
            </w:r>
          </w:p>
        </w:tc>
        <w:tc>
          <w:tcPr>
            <w:tcW w:w="84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-427990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-427990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10"/>
                <w:szCs w:val="10"/>
                <w:color w:val="auto"/>
              </w:rPr>
            </w:pPr>
          </w:p>
        </w:tc>
        <w:tc>
          <w:tcPr>
            <w:tcW w:w="9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60" w:type="dxa"/>
            <w:vAlign w:val="bottom"/>
          </w:tcPr>
          <w:p>
            <w:pPr>
              <w:spacing w:after="0"/>
              <w:rPr>
                <w:sz w:val="11"/>
                <w:szCs w:val="11"/>
                <w:color w:val="auto"/>
              </w:rPr>
            </w:pPr>
          </w:p>
        </w:tc>
        <w:tc>
          <w:tcPr>
            <w:tcW w:w="62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1, 2025</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239,066</w:t>
            </w: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400" w:type="dxa"/>
            <w:vAlign w:val="bottom"/>
            <w:tcBorders>
              <w:left w:val="single" w:sz="8" w:color="CFF0FC"/>
            </w:tcBorders>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277</w:t>
            </w:r>
          </w:p>
        </w:tc>
        <w:tc>
          <w:tcPr>
            <w:tcW w:w="360" w:type="dxa"/>
            <w:vAlign w:val="bottom"/>
            <w:gridSpan w:val="3"/>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2,280,495</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(1,149,059)</w:t>
            </w: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(18,083)</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1,113,630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right w:val="single" w:sz="8" w:color="CFF0FC"/>
            </w:tcBorders>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(11,661)</w:t>
            </w:r>
          </w:p>
        </w:tc>
        <w:tc>
          <w:tcPr>
            <w:tcW w:w="100" w:type="dxa"/>
            <w:vAlign w:val="bottom"/>
            <w:tcBorders>
              <w:left w:val="single" w:sz="8" w:color="CFF0FC"/>
            </w:tcBorders>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(11,661)</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derivatives (Note 5),</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(2,267)</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(2,267)</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1,765</w:t>
            </w: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(1,692)</w:t>
            </w:r>
          </w:p>
        </w:tc>
        <w:tc>
          <w:tcPr>
            <w:tcW w:w="10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(1,690)</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May 3, 2025</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240,831</w:t>
            </w:r>
          </w:p>
        </w:tc>
        <w:tc>
          <w:tcPr>
            <w:tcW w:w="2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6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40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279</w:t>
            </w:r>
          </w:p>
        </w:tc>
        <w:tc>
          <w:tcPr>
            <w:tcW w:w="36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2,288,248</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(1,160,720)</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(20,477)</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1,107,330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40" w:type="dxa"/>
            <w:vAlign w:val="bottom"/>
            <w:tcBorders>
              <w:right w:val="single" w:sz="8" w:color="CFF0FC"/>
            </w:tcBorders>
            <w:shd w:val="clear" w:color="auto" w:fill="CFF0FC"/>
          </w:tcPr>
          <w:p>
            <w:pPr>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260" w:type="dxa"/>
            <w:vAlign w:val="bottom"/>
            <w:tcBorders>
              <w:left w:val="single" w:sz="8" w:color="CFF0FC"/>
              <w:right w:val="single" w:sz="8" w:color="CFF0FC"/>
            </w:tcBorders>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tcBorders>
              <w:left w:val="single" w:sz="8" w:color="CFF0FC"/>
            </w:tcBorders>
            <w:shd w:val="clear" w:color="auto" w:fill="CFF0FC"/>
          </w:tcPr>
          <w:p>
            <w:pPr>
              <w:spacing w:after="0"/>
              <w:rPr>
                <w:sz w:val="7"/>
                <w:szCs w:val="7"/>
                <w:color w:val="auto"/>
              </w:rPr>
            </w:pPr>
          </w:p>
        </w:tc>
        <w:tc>
          <w:tcPr>
            <w:tcW w:w="100" w:type="dxa"/>
            <w:vAlign w:val="bottom"/>
            <w:tcBorders>
              <w:left w:val="single" w:sz="8" w:color="CFF0FC"/>
            </w:tcBorders>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tcBorders>
              <w:left w:val="single" w:sz="8" w:color="CFF0FC"/>
              <w:right w:val="single" w:sz="8" w:color="CFF0FC"/>
            </w:tcBorders>
            <w:shd w:val="clear" w:color="auto" w:fill="CFF0FC"/>
          </w:tcPr>
          <w:p>
            <w:pPr>
              <w:spacing w:after="0"/>
              <w:rPr>
                <w:sz w:val="7"/>
                <w:szCs w:val="7"/>
                <w:color w:val="auto"/>
              </w:rPr>
            </w:pPr>
          </w:p>
        </w:tc>
        <w:tc>
          <w:tcPr>
            <w:tcW w:w="100" w:type="dxa"/>
            <w:vAlign w:val="bottom"/>
            <w:tcBorders>
              <w:left w:val="single" w:sz="8" w:color="CFF0FC"/>
            </w:tcBorders>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40" w:type="dxa"/>
            <w:vAlign w:val="bottom"/>
            <w:tcBorders>
              <w:left w:val="single" w:sz="8" w:color="CFF0FC"/>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8,807</w:t>
            </w:r>
          </w:p>
        </w:tc>
        <w:tc>
          <w:tcPr>
            <w:tcW w:w="2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7,637</w:t>
            </w:r>
          </w:p>
        </w:tc>
        <w:tc>
          <w:tcPr>
            <w:tcW w:w="240" w:type="dxa"/>
            <w:vAlign w:val="bottom"/>
            <w:tcBorders>
              <w:left w:val="single" w:sz="8" w:color="CFF0FC"/>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(152)</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August 2, 2025</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242,064</w:t>
            </w:r>
          </w:p>
        </w:tc>
        <w:tc>
          <w:tcPr>
            <w:tcW w:w="240" w:type="dxa"/>
            <w:vAlign w:val="bottom"/>
            <w:tcBorders>
              <w:right w:val="single" w:sz="8" w:color="CFF0FC"/>
            </w:tcBorders>
            <w:shd w:val="clear" w:color="auto" w:fill="CFF0FC"/>
          </w:tcPr>
          <w:p>
            <w:pPr>
              <w:spacing w:after="0"/>
              <w:rPr>
                <w:sz w:val="11"/>
                <w:szCs w:val="11"/>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400" w:type="dxa"/>
            <w:vAlign w:val="bottom"/>
            <w:tcBorders>
              <w:left w:val="single" w:sz="8" w:color="CFF0FC"/>
            </w:tcBorders>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280</w:t>
            </w:r>
          </w:p>
        </w:tc>
        <w:tc>
          <w:tcPr>
            <w:tcW w:w="360" w:type="dxa"/>
            <w:vAlign w:val="bottom"/>
            <w:gridSpan w:val="3"/>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2,297,702</w:t>
            </w:r>
          </w:p>
        </w:tc>
        <w:tc>
          <w:tcPr>
            <w:tcW w:w="2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(1,146,748)</w:t>
            </w: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(12,131)</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1,139,103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8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6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8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6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10"/>
                <w:szCs w:val="10"/>
                <w:color w:val="auto"/>
              </w:rPr>
            </w:pPr>
          </w:p>
        </w:tc>
        <w:tc>
          <w:tcPr>
            <w:tcW w:w="9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6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income (loss)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40" w:type="dxa"/>
            <w:vAlign w:val="bottom"/>
            <w:tcBorders>
              <w:right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231,156</w:t>
            </w: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80" w:type="dxa"/>
            <w:vAlign w:val="bottom"/>
            <w:tcBorders>
              <w:lef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269</w:t>
            </w:r>
          </w:p>
        </w:tc>
        <w:tc>
          <w:tcPr>
            <w:tcW w:w="6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6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2,229,582</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(1,047,243)</w:t>
            </w: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1,821</w:t>
            </w:r>
          </w:p>
        </w:tc>
        <w:tc>
          <w:tcPr>
            <w:tcW w:w="24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17,451</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(46,483)</w:t>
            </w:r>
          </w:p>
        </w:tc>
        <w:tc>
          <w:tcPr>
            <w:tcW w:w="100" w:type="dxa"/>
            <w:vAlign w:val="bottom"/>
            <w:tcBorders>
              <w:left w:val="single" w:sz="8" w:color="CFF0FC"/>
            </w:tcBorders>
            <w:shd w:val="clear" w:color="auto" w:fill="CFF0FC"/>
          </w:tcPr>
          <w:p>
            <w:pPr>
              <w:spacing w:after="0"/>
              <w:rPr>
                <w:sz w:val="10"/>
                <w:szCs w:val="10"/>
                <w:color w:val="auto"/>
              </w:rPr>
            </w:pPr>
          </w:p>
        </w:tc>
        <w:tc>
          <w:tcPr>
            <w:tcW w:w="102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(46,483)</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1,665</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240" w:type="dxa"/>
            <w:vAlign w:val="bottom"/>
            <w:tcBorders>
              <w:left w:val="single" w:sz="8" w:color="CFF0FC"/>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6,372</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(850)</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9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9"/>
                <w:szCs w:val="9"/>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(275)</w:t>
            </w:r>
          </w:p>
        </w:tc>
        <w:tc>
          <w:tcPr>
            <w:tcW w:w="0" w:type="dxa"/>
            <w:vAlign w:val="bottom"/>
          </w:tcPr>
          <w:p>
            <w:pPr>
              <w:spacing w:after="0"/>
              <w:rPr>
                <w:sz w:val="1"/>
                <w:szCs w:val="1"/>
                <w:color w:val="auto"/>
              </w:rPr>
            </w:pPr>
          </w:p>
        </w:tc>
      </w:tr>
      <w:tr>
        <w:trPr>
          <w:trHeight w:val="122"/>
        </w:trPr>
        <w:tc>
          <w:tcPr>
            <w:tcW w:w="3340" w:type="dxa"/>
            <w:vAlign w:val="bottom"/>
            <w:tcBorders>
              <w:right w:val="single" w:sz="8" w:color="CFF0FC"/>
            </w:tcBorders>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continue"/>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020" w:type="dxa"/>
            <w:vAlign w:val="bottom"/>
            <w:tcBorders>
              <w:right w:val="single" w:sz="8" w:color="CFF0FC"/>
            </w:tcBorders>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May 4, 2024</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232,949</w:t>
            </w:r>
          </w:p>
        </w:tc>
        <w:tc>
          <w:tcPr>
            <w:tcW w:w="2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6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0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2,246,756</w:t>
            </w:r>
          </w:p>
        </w:tc>
        <w:tc>
          <w:tcPr>
            <w:tcW w:w="220" w:type="dxa"/>
            <w:vAlign w:val="bottom"/>
          </w:tcPr>
          <w:p>
            <w:pPr>
              <w:spacing w:after="0"/>
              <w:rPr>
                <w:sz w:val="10"/>
                <w:szCs w:val="10"/>
                <w:color w:val="auto"/>
              </w:rPr>
            </w:pP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(1,093,726)</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9,008</w:t>
            </w:r>
          </w:p>
        </w:tc>
        <w:tc>
          <w:tcPr>
            <w:tcW w:w="24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1,162,309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40" w:type="dxa"/>
            <w:vAlign w:val="bottom"/>
            <w:tcBorders>
              <w:right w:val="single" w:sz="8" w:color="CFF0FC"/>
            </w:tcBorders>
            <w:shd w:val="clear" w:color="auto" w:fill="CFF0FC"/>
          </w:tcPr>
          <w:p>
            <w:pPr>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600" w:type="dxa"/>
            <w:vAlign w:val="bottom"/>
            <w:tcBorders>
              <w:right w:val="single" w:sz="8" w:color="CFF0FC"/>
            </w:tcBorders>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260" w:type="dxa"/>
            <w:vAlign w:val="bottom"/>
            <w:tcBorders>
              <w:left w:val="single" w:sz="8" w:color="CFF0FC"/>
              <w:right w:val="single" w:sz="8" w:color="CFF0FC"/>
            </w:tcBorders>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0" w:type="dxa"/>
            <w:vAlign w:val="bottom"/>
            <w:tcBorders>
              <w:lef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tcBorders>
              <w:left w:val="single" w:sz="8" w:color="CFF0FC"/>
            </w:tcBorders>
            <w:shd w:val="clear" w:color="auto" w:fill="CFF0FC"/>
          </w:tcPr>
          <w:p>
            <w:pPr>
              <w:spacing w:after="0"/>
              <w:rPr>
                <w:sz w:val="7"/>
                <w:szCs w:val="7"/>
                <w:color w:val="auto"/>
              </w:rPr>
            </w:pPr>
          </w:p>
        </w:tc>
        <w:tc>
          <w:tcPr>
            <w:tcW w:w="100" w:type="dxa"/>
            <w:vAlign w:val="bottom"/>
            <w:tcBorders>
              <w:left w:val="single" w:sz="8" w:color="CFF0FC"/>
            </w:tcBorders>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tcBorders>
              <w:left w:val="single" w:sz="8" w:color="CFF0FC"/>
              <w:right w:val="single" w:sz="8" w:color="CFF0FC"/>
            </w:tcBorders>
            <w:shd w:val="clear" w:color="auto" w:fill="CFF0FC"/>
          </w:tcPr>
          <w:p>
            <w:pPr>
              <w:spacing w:after="0"/>
              <w:rPr>
                <w:sz w:val="7"/>
                <w:szCs w:val="7"/>
                <w:color w:val="auto"/>
              </w:rPr>
            </w:pPr>
          </w:p>
        </w:tc>
        <w:tc>
          <w:tcPr>
            <w:tcW w:w="100" w:type="dxa"/>
            <w:vAlign w:val="bottom"/>
            <w:tcBorders>
              <w:left w:val="single" w:sz="8" w:color="CFF0FC"/>
            </w:tcBorders>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40" w:type="dxa"/>
            <w:vAlign w:val="bottom"/>
            <w:tcBorders>
              <w:left w:val="single" w:sz="8" w:color="CFF0FC"/>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2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11,879</w:t>
            </w:r>
          </w:p>
        </w:tc>
        <w:tc>
          <w:tcPr>
            <w:tcW w:w="0" w:type="dxa"/>
            <w:vAlign w:val="bottom"/>
          </w:tcPr>
          <w:p>
            <w:pPr>
              <w:spacing w:after="0"/>
              <w:rPr>
                <w:sz w:val="1"/>
                <w:szCs w:val="1"/>
                <w:color w:val="auto"/>
              </w:rPr>
            </w:pPr>
          </w:p>
        </w:tc>
      </w:tr>
      <w:tr>
        <w:trPr>
          <w:trHeight w:val="122"/>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(24,823)</w:t>
            </w:r>
          </w:p>
        </w:tc>
        <w:tc>
          <w:tcPr>
            <w:tcW w:w="10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(24,823)</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(10,921)</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(10,921)</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derivatives (Note 5),</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(7,848)</w:t>
            </w:r>
          </w:p>
        </w:tc>
        <w:tc>
          <w:tcPr>
            <w:tcW w:w="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(7,848)</w:t>
            </w:r>
          </w:p>
        </w:tc>
        <w:tc>
          <w:tcPr>
            <w:tcW w:w="0" w:type="dxa"/>
            <w:vAlign w:val="bottom"/>
          </w:tcPr>
          <w:p>
            <w:pPr>
              <w:spacing w:after="0"/>
              <w:rPr>
                <w:sz w:val="1"/>
                <w:szCs w:val="1"/>
                <w:color w:val="auto"/>
              </w:rPr>
            </w:pPr>
          </w:p>
        </w:tc>
      </w:tr>
      <w:tr>
        <w:trPr>
          <w:trHeight w:val="108"/>
        </w:trPr>
        <w:tc>
          <w:tcPr>
            <w:tcW w:w="3340" w:type="dxa"/>
            <w:vAlign w:val="bottom"/>
            <w:tcBorders>
              <w:right w:val="single" w:sz="8" w:color="CFF0FC"/>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tcBorders>
              <w:left w:val="single" w:sz="8" w:color="CFF0FC"/>
              <w:right w:val="single" w:sz="8" w:color="CFF0FC"/>
            </w:tcBorders>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tcBorders>
              <w:left w:val="single" w:sz="8" w:color="CFF0FC"/>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4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(862)</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(862)</w:t>
            </w:r>
          </w:p>
        </w:tc>
        <w:tc>
          <w:tcPr>
            <w:tcW w:w="0" w:type="dxa"/>
            <w:vAlign w:val="bottom"/>
          </w:tcPr>
          <w:p>
            <w:pPr>
              <w:spacing w:after="0"/>
              <w:rPr>
                <w:sz w:val="1"/>
                <w:szCs w:val="1"/>
                <w:color w:val="auto"/>
              </w:rPr>
            </w:pPr>
          </w:p>
        </w:tc>
      </w:tr>
      <w:tr>
        <w:trPr>
          <w:trHeight w:val="108"/>
        </w:trPr>
        <w:tc>
          <w:tcPr>
            <w:tcW w:w="33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2,878</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1,749</w:t>
            </w:r>
          </w:p>
        </w:tc>
        <w:tc>
          <w:tcPr>
            <w:tcW w:w="0" w:type="dxa"/>
            <w:vAlign w:val="bottom"/>
          </w:tcPr>
          <w:p>
            <w:pPr>
              <w:spacing w:after="0"/>
              <w:rPr>
                <w:sz w:val="1"/>
                <w:szCs w:val="1"/>
                <w:color w:val="auto"/>
              </w:rPr>
            </w:pPr>
          </w:p>
        </w:tc>
      </w:tr>
      <w:tr>
        <w:trPr>
          <w:trHeight w:val="122"/>
        </w:trPr>
        <w:tc>
          <w:tcPr>
            <w:tcW w:w="33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40" w:type="dxa"/>
            <w:vAlign w:val="bottom"/>
            <w:tcBorders>
              <w:right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August 3, 2024</w:t>
            </w: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235,827</w:t>
            </w:r>
          </w:p>
        </w:tc>
        <w:tc>
          <w:tcPr>
            <w:tcW w:w="240" w:type="dxa"/>
            <w:vAlign w:val="bottom"/>
            <w:tcBorders>
              <w:right w:val="single" w:sz="8" w:color="CFF0FC"/>
            </w:tcBorders>
            <w:shd w:val="clear" w:color="auto" w:fill="CFF0FC"/>
          </w:tcPr>
          <w:p>
            <w:pPr>
              <w:spacing w:after="0"/>
              <w:rPr>
                <w:sz w:val="11"/>
                <w:szCs w:val="11"/>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274</w:t>
            </w: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2,260,381</w:t>
            </w:r>
          </w:p>
        </w:tc>
        <w:tc>
          <w:tcPr>
            <w:tcW w:w="2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(1,118,549)</w:t>
            </w:r>
          </w:p>
        </w:tc>
        <w:tc>
          <w:tcPr>
            <w:tcW w:w="10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FF0FC"/>
            </w:tcBorders>
            <w:gridSpan w:val="2"/>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(10,623)</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1,131,483</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-3599815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-3599815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-3599815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-3599815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-3599815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-3599815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-3599815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-2562225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-2545080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-2562225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-2545080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-2562225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-2545080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-2562225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-2545080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-2562225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-2545080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-2562225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-2545080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-2562225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-2545080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-1062355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-1062355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-1062355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-1062355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-1062355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-1062355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-1062355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Twenty-six weeks ended</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6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jc w:val="right"/>
              <w:ind w:right="473"/>
              <w:spacing w:after="0" w:line="109" w:lineRule="exact"/>
              <w:rPr>
                <w:sz w:val="20"/>
                <w:szCs w:val="20"/>
                <w:color w:val="auto"/>
              </w:rPr>
            </w:pPr>
            <w:r>
              <w:rPr>
                <w:rFonts w:ascii="Times New Roman" w:cs="Times New Roman" w:eastAsia="Times New Roman" w:hAnsi="Times New Roman"/>
                <w:sz w:val="12"/>
                <w:szCs w:val="12"/>
                <w:b w:val="1"/>
                <w:bCs w:val="1"/>
                <w:color w:val="auto"/>
              </w:rPr>
              <w:t>August 3,</w:t>
            </w:r>
          </w:p>
        </w:tc>
        <w:tc>
          <w:tcPr>
            <w:tcW w:w="120" w:type="dxa"/>
            <w:vAlign w:val="bottom"/>
          </w:tcPr>
          <w:p>
            <w:pPr>
              <w:spacing w:after="0"/>
              <w:rPr>
                <w:sz w:val="9"/>
                <w:szCs w:val="9"/>
                <w:color w:val="auto"/>
              </w:rPr>
            </w:pPr>
          </w:p>
        </w:tc>
      </w:tr>
      <w:tr>
        <w:trPr>
          <w:trHeight w:val="155"/>
        </w:trPr>
        <w:tc>
          <w:tcPr>
            <w:tcW w:w="6000" w:type="dxa"/>
            <w:vAlign w:val="bottom"/>
          </w:tcPr>
          <w:p>
            <w:pPr>
              <w:spacing w:after="0"/>
              <w:rPr>
                <w:sz w:val="13"/>
                <w:szCs w:val="13"/>
                <w:color w:val="auto"/>
              </w:rPr>
            </w:pPr>
          </w:p>
        </w:tc>
        <w:tc>
          <w:tcPr>
            <w:tcW w:w="276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7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2760" w:type="dxa"/>
            <w:vAlign w:val="bottom"/>
            <w:gridSpan w:val="2"/>
          </w:tcPr>
          <w:p>
            <w:pPr>
              <w:jc w:val="right"/>
              <w:ind w:right="9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260" w:type="dxa"/>
            <w:vAlign w:val="bottom"/>
          </w:tcPr>
          <w:p>
            <w:pPr>
              <w:spacing w:after="0"/>
              <w:rPr>
                <w:sz w:val="12"/>
                <w:szCs w:val="12"/>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(71,306)</w:t>
            </w:r>
          </w:p>
        </w:tc>
      </w:tr>
      <w:tr>
        <w:trPr>
          <w:trHeight w:val="136"/>
        </w:trPr>
        <w:tc>
          <w:tcPr>
            <w:tcW w:w="6000" w:type="dxa"/>
            <w:vAlign w:val="bottom"/>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w:t>
            </w:r>
          </w:p>
        </w:tc>
        <w:tc>
          <w:tcPr>
            <w:tcW w:w="17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6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activities:</w:t>
            </w:r>
          </w:p>
        </w:tc>
        <w:tc>
          <w:tcPr>
            <w:tcW w:w="17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98,649</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99,305</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2,435</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(27,782)</w:t>
            </w: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18,209</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29,348</w:t>
            </w:r>
          </w:p>
        </w:tc>
        <w:tc>
          <w:tcPr>
            <w:tcW w:w="120" w:type="dxa"/>
            <w:vAlign w:val="bottom"/>
            <w:shd w:val="clear" w:color="auto" w:fill="CFF0FC"/>
          </w:tcPr>
          <w:p>
            <w:pPr>
              <w:spacing w:after="0"/>
              <w:rPr>
                <w:sz w:val="12"/>
                <w:szCs w:val="12"/>
                <w:color w:val="auto"/>
              </w:rPr>
            </w:pPr>
          </w:p>
        </w:tc>
      </w:tr>
      <w:tr>
        <w:trPr>
          <w:trHeight w:val="149"/>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(8,694)</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(9,077)</w:t>
            </w: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loss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(413)</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(2,274)</w:t>
            </w:r>
          </w:p>
        </w:tc>
      </w:tr>
      <w:tr>
        <w:trPr>
          <w:trHeight w:val="148"/>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205,005</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207,605</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non-operating loss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Receivables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(2,083)</w:t>
            </w: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Merchandise inventories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44,823</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11,769</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(9,487)</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(7,166)</w:t>
            </w: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(69,691)</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(9,644)</w:t>
            </w: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(26,729)</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34,591</w:t>
            </w: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14,508</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(206,414)</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(209,738)</w:t>
            </w:r>
          </w:p>
        </w:tc>
      </w:tr>
      <w:tr>
        <w:trPr>
          <w:trHeight w:val="148"/>
        </w:trPr>
        <w:tc>
          <w:tcPr>
            <w:tcW w:w="60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(1,556)</w:t>
            </w: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120" w:type="dxa"/>
            <w:vAlign w:val="bottom"/>
            <w:shd w:val="clear" w:color="auto" w:fill="CFF0FC"/>
          </w:tcPr>
          <w:p>
            <w:pPr>
              <w:spacing w:after="0"/>
              <w:rPr>
                <w:sz w:val="12"/>
                <w:szCs w:val="12"/>
                <w:color w:val="auto"/>
              </w:rPr>
            </w:pPr>
          </w:p>
        </w:tc>
      </w:tr>
      <w:tr>
        <w:trPr>
          <w:trHeight w:val="142"/>
        </w:trPr>
        <w:tc>
          <w:tcPr>
            <w:tcW w:w="600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720" w:type="dxa"/>
            <w:vAlign w:val="bottom"/>
            <w:tcBorders>
              <w:top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70,438</w:t>
            </w:r>
          </w:p>
        </w:tc>
        <w:tc>
          <w:tcPr>
            <w:tcW w:w="260" w:type="dxa"/>
            <w:vAlign w:val="bottom"/>
            <w:tcBorders>
              <w:top w:val="single" w:sz="8" w:color="CFF0FC"/>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60,956</w:t>
            </w:r>
          </w:p>
        </w:tc>
        <w:tc>
          <w:tcPr>
            <w:tcW w:w="120" w:type="dxa"/>
            <w:vAlign w:val="bottom"/>
            <w:tcBorders>
              <w:top w:val="single" w:sz="8" w:color="CFF0FC"/>
            </w:tcBorders>
          </w:tcPr>
          <w:p>
            <w:pPr>
              <w:spacing w:after="0"/>
              <w:rPr>
                <w:sz w:val="12"/>
                <w:szCs w:val="12"/>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(60,516)</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(60,029)</w:t>
            </w: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(259)</w:t>
            </w: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investment</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20" w:type="dxa"/>
            <w:vAlign w:val="bottom"/>
          </w:tcPr>
          <w:p>
            <w:pPr>
              <w:spacing w:after="0"/>
              <w:rPr>
                <w:sz w:val="12"/>
                <w:szCs w:val="12"/>
                <w:color w:val="auto"/>
              </w:rPr>
            </w:pPr>
          </w:p>
        </w:tc>
      </w:tr>
      <w:tr>
        <w:trPr>
          <w:trHeight w:val="149"/>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2,425</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17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Pr>
          <w:p>
            <w:pPr>
              <w:spacing w:after="0"/>
              <w:rPr>
                <w:sz w:val="12"/>
                <w:szCs w:val="12"/>
                <w:color w:val="auto"/>
              </w:rPr>
            </w:pPr>
          </w:p>
        </w:tc>
      </w:tr>
      <w:tr>
        <w:trPr>
          <w:trHeight w:val="142"/>
        </w:trPr>
        <w:tc>
          <w:tcPr>
            <w:tcW w:w="600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(58,091)</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(58,065)</w:t>
            </w:r>
          </w:p>
        </w:tc>
      </w:tr>
      <w:tr>
        <w:trPr>
          <w:trHeight w:val="142"/>
        </w:trPr>
        <w:tc>
          <w:tcPr>
            <w:tcW w:w="60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72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20" w:type="dxa"/>
            <w:vAlign w:val="bottom"/>
            <w:shd w:val="clear" w:color="auto" w:fill="CFF0FC"/>
          </w:tcPr>
          <w:p>
            <w:pPr>
              <w:spacing w:after="0"/>
              <w:rPr>
                <w:sz w:val="12"/>
                <w:szCs w:val="12"/>
                <w:color w:val="auto"/>
              </w:rPr>
            </w:pP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(201,000)</w:t>
            </w: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Debt refinancing costs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(3,028)</w:t>
            </w: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(3,252)</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(3,528)</w:t>
            </w: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120" w:type="dxa"/>
            <w:vAlign w:val="bottom"/>
            <w:shd w:val="clear" w:color="auto" w:fill="CFF0FC"/>
          </w:tcPr>
          <w:p>
            <w:pPr>
              <w:spacing w:after="0"/>
              <w:rPr>
                <w:sz w:val="12"/>
                <w:szCs w:val="12"/>
                <w:color w:val="auto"/>
              </w:rPr>
            </w:pPr>
          </w:p>
        </w:tc>
      </w:tr>
      <w:tr>
        <w:trPr>
          <w:trHeight w:val="148"/>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(3,026)</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(3,468)</w:t>
            </w:r>
          </w:p>
        </w:tc>
      </w:tr>
      <w:tr>
        <w:trPr>
          <w:trHeight w:val="149"/>
        </w:trPr>
        <w:tc>
          <w:tcPr>
            <w:tcW w:w="6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7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0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(4,280)</w:t>
            </w:r>
          </w:p>
        </w:tc>
        <w:tc>
          <w:tcPr>
            <w:tcW w:w="520" w:type="dxa"/>
            <w:vAlign w:val="bottom"/>
          </w:tcPr>
          <w:p>
            <w:pPr>
              <w:spacing w:after="0"/>
              <w:rPr>
                <w:sz w:val="12"/>
                <w:szCs w:val="12"/>
                <w:color w:val="auto"/>
              </w:rPr>
            </w:pPr>
          </w:p>
        </w:tc>
        <w:tc>
          <w:tcPr>
            <w:tcW w:w="11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(5,894)</w:t>
            </w: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8,067</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(3,003)</w:t>
            </w:r>
          </w:p>
        </w:tc>
      </w:tr>
      <w:tr>
        <w:trPr>
          <w:trHeight w:val="149"/>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7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181,665</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120" w:type="dxa"/>
            <w:vAlign w:val="bottom"/>
          </w:tcPr>
          <w:p>
            <w:pPr>
              <w:spacing w:after="0"/>
              <w:rPr>
                <w:sz w:val="12"/>
                <w:szCs w:val="12"/>
                <w:color w:val="auto"/>
              </w:rPr>
            </w:pPr>
          </w:p>
        </w:tc>
      </w:tr>
      <w:tr>
        <w:trPr>
          <w:trHeight w:val="182"/>
        </w:trPr>
        <w:tc>
          <w:tcPr>
            <w:tcW w:w="6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760" w:type="dxa"/>
            <w:vAlign w:val="bottom"/>
            <w:gridSpan w:val="2"/>
            <w:shd w:val="clear" w:color="auto" w:fill="CFF0FC"/>
          </w:tcPr>
          <w:p>
            <w:pPr>
              <w:jc w:val="right"/>
              <w:ind w:right="922"/>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189,732</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133,646</w:t>
            </w:r>
          </w:p>
        </w:tc>
        <w:tc>
          <w:tcPr>
            <w:tcW w:w="120" w:type="dxa"/>
            <w:vAlign w:val="bottom"/>
            <w:shd w:val="clear" w:color="auto" w:fill="CFF0FC"/>
          </w:tcPr>
          <w:p>
            <w:pPr>
              <w:spacing w:after="0"/>
              <w:rPr>
                <w:sz w:val="15"/>
                <w:szCs w:val="15"/>
                <w:color w:val="auto"/>
              </w:rPr>
            </w:pPr>
          </w:p>
        </w:tc>
      </w:tr>
      <w:tr>
        <w:trPr>
          <w:trHeight w:val="129"/>
        </w:trPr>
        <w:tc>
          <w:tcPr>
            <w:tcW w:w="60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17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paid, net</w:t>
            </w:r>
          </w:p>
        </w:tc>
        <w:tc>
          <w:tcPr>
            <w:tcW w:w="2760" w:type="dxa"/>
            <w:vAlign w:val="bottom"/>
            <w:gridSpan w:val="2"/>
            <w:shd w:val="clear" w:color="auto" w:fill="CFF0FC"/>
          </w:tcPr>
          <w:p>
            <w:pPr>
              <w:jc w:val="right"/>
              <w:ind w:right="9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62,441</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69,399</w:t>
            </w:r>
          </w:p>
        </w:tc>
        <w:tc>
          <w:tcPr>
            <w:tcW w:w="120" w:type="dxa"/>
            <w:vAlign w:val="bottom"/>
            <w:shd w:val="clear" w:color="auto" w:fill="CFF0FC"/>
          </w:tcPr>
          <w:p>
            <w:pPr>
              <w:spacing w:after="0"/>
              <w:rPr>
                <w:sz w:val="12"/>
                <w:szCs w:val="12"/>
                <w:color w:val="auto"/>
              </w:rPr>
            </w:pPr>
          </w:p>
        </w:tc>
      </w:tr>
      <w:tr>
        <w:trPr>
          <w:trHeight w:val="149"/>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2760" w:type="dxa"/>
            <w:vAlign w:val="bottom"/>
            <w:gridSpan w:val="2"/>
          </w:tcPr>
          <w:p>
            <w:pPr>
              <w:jc w:val="right"/>
              <w:ind w:right="9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w:t>
            </w:r>
          </w:p>
        </w:tc>
        <w:tc>
          <w:tcPr>
            <w:tcW w:w="260" w:type="dxa"/>
            <w:vAlign w:val="bottom"/>
          </w:tcPr>
          <w:p>
            <w:pPr>
              <w:spacing w:after="0"/>
              <w:rPr>
                <w:sz w:val="12"/>
                <w:szCs w:val="12"/>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15,581</w:t>
            </w:r>
          </w:p>
        </w:tc>
        <w:tc>
          <w:tcPr>
            <w:tcW w:w="120" w:type="dxa"/>
            <w:vAlign w:val="bottom"/>
          </w:tcPr>
          <w:p>
            <w:pPr>
              <w:spacing w:after="0"/>
              <w:rPr>
                <w:sz w:val="12"/>
                <w:szCs w:val="12"/>
                <w:color w:val="auto"/>
              </w:rPr>
            </w:pPr>
          </w:p>
        </w:tc>
      </w:tr>
      <w:tr>
        <w:trPr>
          <w:trHeight w:val="148"/>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6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760" w:type="dxa"/>
            <w:vAlign w:val="bottom"/>
            <w:gridSpan w:val="2"/>
          </w:tcPr>
          <w:p>
            <w:pPr>
              <w:jc w:val="right"/>
              <w:ind w:right="922"/>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13,415</w:t>
            </w:r>
          </w:p>
        </w:tc>
        <w:tc>
          <w:tcPr>
            <w:tcW w:w="260" w:type="dxa"/>
            <w:vAlign w:val="bottom"/>
          </w:tcPr>
          <w:p>
            <w:pPr>
              <w:spacing w:after="0"/>
              <w:rPr>
                <w:sz w:val="15"/>
                <w:szCs w:val="15"/>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15,684</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-2458720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-2458720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-1678940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-1678940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-915670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-915670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-513080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-495935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-513080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-495935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specialty retailer focused on improving the lives of pets, pet parents, and its own partners. The Company manages its business as one reportable operating segment.</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1, 2025.</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1, 2025, from which the prior year balance sheet information herein was derived.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183"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interest rate collar and interest rate swap agreements to limit the maximum interest on a portion of the Company’s variable-rate debt and decrease its exposure to interest rate variability relating to three-month Term SOFR.</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interest rate collars and swap are accounted for as cash flow hedges, and changes in the fair value are reported as a component of AOCI.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188,748</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165,756</w:t>
            </w: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189,732</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80" w:type="dxa"/>
            <w:vAlign w:val="bottom"/>
            <w:shd w:val="clear" w:color="auto" w:fill="CFF0FC"/>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120" w:type="dxa"/>
            <w:vAlign w:val="bottom"/>
            <w:gridSpan w:val="5"/>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120" w:type="dxa"/>
            <w:vAlign w:val="bottom"/>
            <w:tcBorders>
              <w:right w:val="single" w:sz="8" w:color="CFF0FC"/>
            </w:tcBorders>
            <w:gridSpan w:val="3"/>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729,918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744,766</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1,477,988</w:t>
            </w:r>
          </w:p>
        </w:tc>
        <w:tc>
          <w:tcPr>
            <w:tcW w:w="2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1,508,740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514,432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right w:val="single" w:sz="8" w:color="CFF0FC"/>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509,415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2,981,928</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-1953895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-1953895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right="500" w:firstLine="515"/>
        <w:spacing w:after="0" w:line="282"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first quarter of fiscal 2024 reflected the Company's most recent cash flow projections, a discount rate of 13.2%, and a terminal growth rate of 3%. The reporting unit fair value measurement is classified as Level 3 in the fair value hierarchy because it involves significant unobservable inputs.</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during the thirteen week period ended August 3, 2024 and the thirteen and twenty-six week periods ended August 2, 2025.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121" w:lineRule="exact"/>
        <w:rPr>
          <w:sz w:val="20"/>
          <w:szCs w:val="20"/>
          <w:color w:val="auto"/>
        </w:rPr>
      </w:pPr>
    </w:p>
    <w:p>
      <w:pPr>
        <w:ind w:right="100" w:firstLine="515"/>
        <w:spacing w:after="0" w:line="266"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1" w:name="page12"/>
    <w:bookmarkEnd w:id="11"/>
    <w:p>
      <w:pPr>
        <w:ind w:right="20"/>
        <w:spacing w:after="0" w:line="266" w:lineRule="auto"/>
        <w:rPr>
          <w:sz w:val="20"/>
          <w:szCs w:val="20"/>
          <w:color w:val="auto"/>
        </w:rPr>
      </w:pPr>
      <w:r>
        <w:rPr>
          <w:rFonts w:ascii="Times New Roman" w:cs="Times New Roman" w:eastAsia="Times New Roman" w:hAnsi="Times New Roman"/>
          <w:sz w:val="18"/>
          <w:szCs w:val="18"/>
          <w:color w:val="auto"/>
        </w:rPr>
        <w:t>Facility has availability of up to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August 2, 2025, the Company was in compliance with its covenants under the First Lien Term Loan and the ABL Revolving Credit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As of August 2, 2025, the outstanding principal balance of the First Lien Term Loan was $1,595.3 million ($1,584.4 million, net of the unamortized discount and debt issuance costs). As of February 1, 2025, the outstanding principal balance of the First Lien Term Loan was $1,595.3 million ($1,582.5 million, net of the unamortized discount and debt issuance costs). The weighted average interest rate on the borrowings outstanding was 7.9% as of August 2, 2025 and February 1, 2025. Debt issuance costs are being amortized over the contractual term to interest expense using the effective interest rate in effect at issuance. As of August 2, 2025 and February 1, 2025, the estimated fair value of the First Lien Term Loan was approximately $1,479.6 million and $1,529.5 million, respectively, based upon Level 2 fair value hierarchy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20" w:firstLine="515"/>
        <w:spacing w:after="0" w:line="261"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0" w:lineRule="exact"/>
        <w:rPr>
          <w:sz w:val="20"/>
          <w:szCs w:val="20"/>
          <w:color w:val="auto"/>
        </w:rPr>
      </w:pPr>
    </w:p>
    <w:p>
      <w:pPr>
        <w:ind w:right="100" w:firstLine="515"/>
        <w:spacing w:after="0" w:line="258" w:lineRule="auto"/>
        <w:rPr>
          <w:sz w:val="20"/>
          <w:szCs w:val="20"/>
          <w:color w:val="auto"/>
        </w:rPr>
      </w:pPr>
      <w:r>
        <w:rPr>
          <w:rFonts w:ascii="Times New Roman" w:cs="Times New Roman" w:eastAsia="Times New Roman" w:hAnsi="Times New Roman"/>
          <w:sz w:val="18"/>
          <w:szCs w:val="18"/>
          <w:color w:val="auto"/>
        </w:rPr>
        <w:t>As of August 2, 2025 and February 1, 2025, no amounts were outstanding under the ABL Revolving Credit Facility. As of August 2, 2025, $495.2 million was available under the ABL Revolving Credit Facility, which is net of $58.4 million of outstanding letters of credit issued in the normal course of business and a $27.4 million borrowing base reduction based on qualifying assets. As of August 2, 2025 and February 1, 2025, unamortized debt issuance costs of $3.8 million and $4.4 million, respectively, relating to the ABL Revolving Credit Facility were outstanding and were being amortized using the straight-line method over the remaining term of the agreement.</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Derivative Instruments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interest rate swap, caps and collars are accounted for as cash flow hedges because they are expected to be highly effective in hedging variable rate interest payments. Changes in the fair value of the cash flow hedges are reported as a component of AOCI. As of August 2, 2025, AOCI included unrealized losses of $1.9 million ($1.5 million, net of tax). As of February 1, 2025, AOCI included unrealized gains of $0.4 million ($0.3 million, net of tax). Approximately $0.2 million and $0.4 million of pre-tax gains deferred in AOCI were reclassified to interest expense during the thirteen and twenty-six week periods ended August 2, 2025, respectively. Approximately $1.1 million and $2.3 million of pre-tax gains deferred in AOCI were reclassified to interest expense during the thirteen and twenty-six week periods ended August 3, 2024, respectively. The Company currently estimates that $0.5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60" w:type="dxa"/>
            <w:vAlign w:val="bottom"/>
          </w:tcPr>
          <w:p>
            <w:pPr>
              <w:spacing w:after="0"/>
              <w:rPr>
                <w:sz w:val="13"/>
                <w:szCs w:val="13"/>
                <w:color w:val="auto"/>
              </w:rPr>
            </w:pPr>
          </w:p>
        </w:tc>
        <w:tc>
          <w:tcPr>
            <w:tcW w:w="3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16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FF0FC"/>
          </w:tcPr>
          <w:p>
            <w:pPr>
              <w:spacing w:after="0"/>
              <w:rPr>
                <w:sz w:val="20"/>
                <w:szCs w:val="20"/>
                <w:color w:val="auto"/>
              </w:rPr>
            </w:pPr>
          </w:p>
        </w:tc>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FF0FC"/>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14,630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$136.0 million and $111.5 million as of August 2, 2025 and February 1, 2025, respectively. Also included in the Company’s money market mutual funds balances were $1.0 million and $15.6 million as of August 2, 2025 and February 1, 2025, respectively, which relate to the Company’s restricted cash, and are included in other current assets in the consolidated balance sheets.</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certain investments in equity securities without readily determinable fair values. When an upward or downward adjustment occurs, the resulting gains or losses are included in other non-operating income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first quarter of fiscal 2024, due to declines in the Company's share price, the Company performed an interim impairment test of its goodwill and indefinite-lived trade name. Refer to Note 3 for further discussion of the results of interim impairment testing performed on the Company’s goodwill.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using the relief from royalty valuation method, which estimates the hypothetical royalties that would have to be paid if the trade name was not owned. The fair value of the Company's trade name reflected the Company's most recent revenue projections, a discount rate of 14.2% and a terminal growth rate of 3%. The Company concluded that the fair value of its trade name exceeded its carrying value, and therefore no trade name impairment charge was recorded during the first quarter of fiscal 2024. The Company's trade name fair value measurement is classified as Level 3 in the fair value hierarchy because it involves significant unobservable inputs.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indefinite-lived trade name, other intangible assets or equity and other investments during the thirteen and twenty-six week periods ended August 2, 2025. There were no indications of impairment of the Company’s other intangible assets or equity and other investments during the thirteen and twenty-six week periods ended August 3, 2024. During the thirteen and twenty-six week periods ended August 2, 2025, the Company recorded fixed asset and right-of-use asset impairment charges of $0.3 million and $0.9 million, respectively. During the thirteen and twenty-six week periods ended August 3, 2024, the Company recorded fixed asset and right-of-use asset impairment charges of $3.4 million and $6.9 million,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and market-based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3"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36"/>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3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awards</w:t>
            </w: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r>
      <w:tr>
        <w:trPr>
          <w:trHeight w:val="250"/>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100" w:type="dxa"/>
            <w:vAlign w:val="bottom"/>
            <w:shd w:val="clear" w:color="auto" w:fill="CFF0FC"/>
          </w:tcPr>
          <w:p>
            <w:pPr>
              <w:spacing w:after="0"/>
              <w:rPr>
                <w:sz w:val="21"/>
                <w:szCs w:val="21"/>
                <w:color w:val="auto"/>
              </w:rPr>
            </w:pPr>
          </w:p>
        </w:tc>
      </w:tr>
      <w:tr>
        <w:trPr>
          <w:trHeight w:val="628"/>
        </w:trPr>
        <w:tc>
          <w:tcPr>
            <w:tcW w:w="386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-933450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-916305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-916305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and the Inducement Awards was as follows (shares and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February 1, 2025</w:t>
            </w:r>
          </w:p>
        </w:tc>
        <w:tc>
          <w:tcPr>
            <w:tcW w:w="15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24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August 2, 2025</w:t>
            </w:r>
          </w:p>
        </w:tc>
        <w:tc>
          <w:tcPr>
            <w:tcW w:w="1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Unrecognized compensation expense as of August 2, 2025</w:t>
            </w:r>
          </w:p>
        </w:tc>
        <w:tc>
          <w:tcPr>
            <w:tcW w:w="16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49,808</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expense period as of August 2, 2025</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years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192,835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August 2,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192,363</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August 2, 2025</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190,448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-334010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8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were approximately 16.5 million potential shares that were anti-dilutive and excluded from the computation of diluted shares outstanding during the twenty-six weeks ended August 2, 2025.</w:t>
      </w:r>
    </w:p>
    <w:p>
      <w:pPr>
        <w:spacing w:after="0" w:line="162" w:lineRule="exact"/>
        <w:rPr>
          <w:sz w:val="20"/>
          <w:szCs w:val="20"/>
          <w:color w:val="auto"/>
        </w:rPr>
      </w:pPr>
    </w:p>
    <w:p>
      <w:pPr>
        <w:ind w:right="140" w:firstLine="450"/>
        <w:spacing w:after="0" w:line="292"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twenty-six weeks ended August 3, 2024, as their effect would be antidilutive in a net loss period</w:t>
      </w:r>
      <w:r>
        <w:rPr>
          <w:rFonts w:ascii="Arial" w:cs="Arial" w:eastAsia="Arial" w:hAnsi="Arial"/>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right="220" w:firstLine="612"/>
        <w:spacing w:after="0" w:line="261"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ind w:right="140"/>
        <w:spacing w:after="0" w:line="258" w:lineRule="auto"/>
        <w:rPr>
          <w:sz w:val="20"/>
          <w:szCs w:val="20"/>
          <w:color w:val="auto"/>
        </w:rPr>
      </w:pPr>
      <w:r>
        <w:rPr>
          <w:rFonts w:ascii="Times New Roman" w:cs="Times New Roman" w:eastAsia="Times New Roman" w:hAnsi="Times New Roman"/>
          <w:sz w:val="18"/>
          <w:szCs w:val="18"/>
          <w:color w:val="auto"/>
        </w:rPr>
        <w:t>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Reportable Segment</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managed on a consolidated basis. The measure of segment profit or loss is consolidated net income (loss) that is reported on the consolidated statement of operations. The measure of segment assets is reported on the consolidated balance sheet as total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segment information for the Company’s single operating segment,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8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6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9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3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1,488,529</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2,981,928</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(903,210)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(943,030)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(1,826,641)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(1,893,510)</w:t>
            </w:r>
          </w:p>
        </w:tc>
      </w:tr>
      <w:tr>
        <w:trPr>
          <w:trHeight w:val="198"/>
        </w:trPr>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Advertising and marketing</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(73,367)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(79,834)</w:t>
            </w:r>
          </w:p>
        </w:tc>
      </w:tr>
      <w:tr>
        <w:trPr>
          <w:trHeight w:val="198"/>
        </w:trPr>
        <w:tc>
          <w:tcPr>
            <w:tcW w:w="39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Stock compensation - general and</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(11,914)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(17,979)</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(29,348)</w:t>
            </w:r>
          </w:p>
        </w:tc>
      </w:tr>
      <w:tr>
        <w:trPr>
          <w:trHeight w:val="198"/>
        </w:trPr>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general and</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expenses (1)</w:t>
            </w:r>
          </w:p>
        </w:tc>
        <w:tc>
          <w:tcPr>
            <w:tcW w:w="3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(495,720)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(529,116)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(1,004,560)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(1,064,517)</w:t>
            </w: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(73,622)</w:t>
            </w: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non-operating loss</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18"/>
                <w:szCs w:val="18"/>
                <w:color w:val="auto"/>
              </w:rPr>
            </w:pPr>
          </w:p>
        </w:tc>
      </w:tr>
      <w:tr>
        <w:trPr>
          <w:trHeight w:val="216"/>
        </w:trPr>
        <w:tc>
          <w:tcPr>
            <w:tcW w:w="3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(24,823)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(71,306)</w:t>
            </w:r>
          </w:p>
        </w:tc>
      </w:tr>
      <w:tr>
        <w:trPr>
          <w:trHeight w:val="20"/>
        </w:trPr>
        <w:tc>
          <w:tcPr>
            <w:tcW w:w="3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1020" w:right="3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&amp; administrative expenses include pet care center expenses, support center labor and occupancy costs, legal, accounting, information technology, and consulting costs, depreciation and amortization, as well as impairments, write-offs, and losses on the sale of fixed and other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1, 2025 (the “2024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specialty retailer focused on improving the lives of pets, pet parents, and our own partners. Through our omnichannel ecosystem, we provide our customers with a comprehensive offering of products and services to fulfill all of their pets’ needs through our more than 1,500 pet care centers in the U.S., Mexico, and Puerto Rico, our digital channel, and our flexible fulfillment options.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an independent 501(c)(3) nonprofit organization, we work with and support thousands of local animal welfare groups across the country and, through these partnerships and in-store adoption events, we have helped find homes for approximately 7 million animals.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interest rates, potential inflationary pressures, tariffs, and global economic and geopolitical developments have had varying impacts on our results of operations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Comparing the thirteen weeks ended August 2, 2025 with the thirteen weeks ended August 3, 2024 (unless otherwise noted), our results included the following:</w:t>
      </w:r>
    </w:p>
    <w:p>
      <w:pPr>
        <w:spacing w:after="0" w:line="54" w:lineRule="exact"/>
        <w:rPr>
          <w:sz w:val="20"/>
          <w:szCs w:val="20"/>
          <w:color w:val="auto"/>
        </w:rPr>
      </w:pPr>
    </w:p>
    <w:p>
      <w:pPr>
        <w:ind w:left="1020" w:right="6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$1.52 billion to $1.49 billion, representing a period-over-period decrease of 2.3% and a comparable sales decrease of 1.4%;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$43.0 million, compared to operating income of $2.5 million in the prior year period;</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Class A and B-1 common stockholders of $14.0 million, compared to net loss attributable to Class A and B-1 common stockholders of $24.8 million in the prior year period;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$83.5 million to $113.9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4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1,225,605</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1,263,749</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2,467,496</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2,543,480</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514,432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3,052,895</w:t>
            </w: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1,579,825</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313,213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sales</w:t>
            </w: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1,826,641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1,893,510</w:t>
            </w:r>
          </w:p>
        </w:tc>
        <w:tc>
          <w:tcPr>
            <w:tcW w:w="120" w:type="dxa"/>
            <w:vAlign w:val="bottom"/>
          </w:tcPr>
          <w:p>
            <w:pPr>
              <w:spacing w:after="0"/>
              <w:rPr>
                <w:sz w:val="18"/>
                <w:szCs w:val="18"/>
                <w:color w:val="auto"/>
              </w:rPr>
            </w:pPr>
          </w:p>
        </w:tc>
      </w:tr>
      <w:tr>
        <w:trPr>
          <w:trHeight w:val="209"/>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1,155,287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1,159,385</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1,095,906</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1,173,699</w:t>
            </w:r>
          </w:p>
        </w:tc>
        <w:tc>
          <w:tcPr>
            <w:tcW w:w="120" w:type="dxa"/>
            <w:vAlign w:val="bottom"/>
            <w:tcBorders>
              <w:bottom w:val="single" w:sz="8" w:color="CFF0FC"/>
            </w:tcBorders>
          </w:tcPr>
          <w:p>
            <w:pPr>
              <w:spacing w:after="0"/>
              <w:rPr>
                <w:sz w:val="18"/>
                <w:szCs w:val="18"/>
                <w:color w:val="auto"/>
              </w:rPr>
            </w:pPr>
          </w:p>
        </w:tc>
      </w:tr>
      <w:tr>
        <w:trPr>
          <w:trHeight w:val="209"/>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66,791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8"/>
                <w:szCs w:val="18"/>
                <w:color w:val="auto"/>
              </w:rPr>
            </w:pPr>
          </w:p>
        </w:tc>
      </w:tr>
      <w:tr>
        <w:trPr>
          <w:trHeight w:val="191"/>
        </w:trPr>
        <w:tc>
          <w:tcPr>
            <w:tcW w:w="4660" w:type="dxa"/>
            <w:vAlign w:val="bottom"/>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Income (loss) before income taxes and income</w:t>
            </w:r>
          </w:p>
        </w:tc>
        <w:tc>
          <w:tcPr>
            <w:tcW w:w="1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4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(33,665)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(89,511)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(9,128)</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(9,077)</w:t>
            </w:r>
          </w:p>
        </w:tc>
      </w:tr>
      <w:tr>
        <w:trPr>
          <w:trHeight w:val="191"/>
        </w:trPr>
        <w:tc>
          <w:tcPr>
            <w:tcW w:w="4660" w:type="dxa"/>
            <w:vAlign w:val="bottom"/>
            <w:tcBorders>
              <w:top w:val="single" w:sz="8" w:color="CFF0FC"/>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1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stockholders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(71,306)</w:t>
            </w:r>
          </w:p>
        </w:tc>
      </w:tr>
      <w:tr>
        <w:trPr>
          <w:trHeight w:val="648"/>
        </w:trPr>
        <w:tc>
          <w:tcPr>
            <w:tcW w:w="46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-3291205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-3291205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-3291205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-3291205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-2733675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-2733675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-2733675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-2305050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-2305050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-2305050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-1190625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-1190625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4"/>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40" w:type="dxa"/>
            <w:vAlign w:val="bottom"/>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Income (loss) before income taxes and income</w:t>
            </w:r>
          </w:p>
        </w:tc>
        <w:tc>
          <w:tcPr>
            <w:tcW w:w="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1"/>
        </w:trPr>
        <w:tc>
          <w:tcPr>
            <w:tcW w:w="5540" w:type="dxa"/>
            <w:vAlign w:val="bottom"/>
            <w:tcBorders>
              <w:top w:val="single" w:sz="8" w:color="CFF0FC"/>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stockholders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92"/>
        </w:trPr>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9"/>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4"/>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 sales change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pet care centers (U.S. and Puerto Rico) at end of 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113,860</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83,523</w:t>
            </w:r>
          </w:p>
        </w:tc>
        <w:tc>
          <w:tcPr>
            <w:tcW w:w="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203,309</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-3385185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-3385185</wp:posOffset>
            </wp:positionV>
            <wp:extent cx="146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-3385185</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-3385185</wp:posOffset>
            </wp:positionV>
            <wp:extent cx="1454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-2828290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-2828290</wp:posOffset>
            </wp:positionV>
            <wp:extent cx="146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-2828290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-2828290</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-2399665</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-2399665</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-2399665</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-2399665</wp:posOffset>
            </wp:positionV>
            <wp:extent cx="145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-1285240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460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-1285240</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49" w:lineRule="exact"/>
        <w:rPr>
          <w:sz w:val="20"/>
          <w:szCs w:val="20"/>
          <w:color w:val="auto"/>
        </w:rPr>
      </w:pPr>
    </w:p>
    <w:p>
      <w:pPr>
        <w:ind w:right="780" w:firstLine="79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Thirteen and Twenty-six Weeks Ended August 2, 2025 Compared with Thirteen and Twenty-six Weeks Ended August 3, 2024 </w:t>
      </w:r>
      <w:r>
        <w:rPr>
          <w:rFonts w:ascii="Times New Roman" w:cs="Times New Roman" w:eastAsia="Times New Roman" w:hAnsi="Times New Roman"/>
          <w:sz w:val="18"/>
          <w:szCs w:val="18"/>
          <w:b w:val="1"/>
          <w:bCs w:val="1"/>
          <w:i w:val="1"/>
          <w:iCs w:val="1"/>
          <w:color w:val="auto"/>
        </w:rPr>
        <w:t>Net Sales and Comparable Sales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Twenty-six weeks ended</w:t>
            </w: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178"/>
              <w:spacing w:after="0" w:line="109"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right"/>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August 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ind w:right="3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1040" w:type="dxa"/>
            <w:vAlign w:val="bottom"/>
          </w:tcPr>
          <w:p>
            <w:pPr>
              <w:jc w:val="right"/>
              <w:ind w:right="41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right"/>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120" w:type="dxa"/>
            <w:vAlign w:val="bottom"/>
          </w:tcPr>
          <w:p>
            <w:pPr>
              <w:spacing w:after="0"/>
              <w:rPr>
                <w:sz w:val="9"/>
                <w:szCs w:val="9"/>
                <w:color w:val="auto"/>
              </w:rPr>
            </w:pPr>
          </w:p>
        </w:tc>
        <w:tc>
          <w:tcPr>
            <w:tcW w:w="98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August 3,</w:t>
            </w:r>
          </w:p>
        </w:tc>
        <w:tc>
          <w:tcPr>
            <w:tcW w:w="160" w:type="dxa"/>
            <w:vAlign w:val="bottom"/>
          </w:tcPr>
          <w:p>
            <w:pPr>
              <w:spacing w:after="0"/>
              <w:rPr>
                <w:sz w:val="9"/>
                <w:szCs w:val="9"/>
                <w:color w:val="auto"/>
              </w:rPr>
            </w:pPr>
          </w:p>
        </w:tc>
        <w:tc>
          <w:tcPr>
            <w:tcW w:w="740" w:type="dxa"/>
            <w:vAlign w:val="bottom"/>
          </w:tcPr>
          <w:p>
            <w:pPr>
              <w:jc w:val="right"/>
              <w:ind w:right="3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1040" w:type="dxa"/>
            <w:vAlign w:val="bottom"/>
          </w:tcPr>
          <w:p>
            <w:pPr>
              <w:jc w:val="right"/>
              <w:ind w:right="41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Consumables</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729,918</w:t>
            </w:r>
          </w:p>
        </w:tc>
        <w:tc>
          <w:tcPr>
            <w:tcW w:w="360" w:type="dxa"/>
            <w:vAlign w:val="bottom"/>
            <w:gridSpan w:val="2"/>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744,766</w:t>
            </w:r>
          </w:p>
        </w:tc>
        <w:tc>
          <w:tcPr>
            <w:tcW w:w="26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(14,848)</w:t>
            </w:r>
          </w:p>
        </w:tc>
        <w:tc>
          <w:tcPr>
            <w:tcW w:w="13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1,477,988</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1,508,740</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(30,752)</w:t>
            </w:r>
          </w:p>
        </w:tc>
        <w:tc>
          <w:tcPr>
            <w:tcW w:w="1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Supplies and companion animals</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495,687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518,983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(23,296)</w:t>
            </w:r>
          </w:p>
        </w:tc>
        <w:tc>
          <w:tcPr>
            <w:tcW w:w="13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989,508</w:t>
            </w: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1,034,740</w:t>
            </w:r>
          </w:p>
        </w:tc>
        <w:tc>
          <w:tcPr>
            <w:tcW w:w="16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(45,232)</w:t>
            </w:r>
          </w:p>
        </w:tc>
        <w:tc>
          <w:tcPr>
            <w:tcW w:w="1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Services and other</w:t>
            </w: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262,924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260,006</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2,918</w:t>
            </w:r>
          </w:p>
        </w:tc>
        <w:tc>
          <w:tcPr>
            <w:tcW w:w="13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514,432</w:t>
            </w: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509,415</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5,017</w:t>
            </w:r>
          </w:p>
        </w:tc>
        <w:tc>
          <w:tcPr>
            <w:tcW w:w="11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8"/>
        </w:trPr>
        <w:tc>
          <w:tcPr>
            <w:tcW w:w="2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1,488,529</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1,523,755</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(35,226)</w:t>
            </w:r>
          </w:p>
        </w:tc>
        <w:tc>
          <w:tcPr>
            <w:tcW w:w="200" w:type="dxa"/>
            <w:vAlign w:val="bottom"/>
            <w:tcBorders>
              <w:top w:val="single" w:sz="8" w:color="CFF0FC"/>
            </w:tcBorders>
          </w:tcPr>
          <w:p>
            <w:pPr>
              <w:spacing w:after="0"/>
              <w:rPr>
                <w:sz w:val="13"/>
                <w:szCs w:val="13"/>
                <w:color w:val="auto"/>
              </w:rPr>
            </w:pPr>
          </w:p>
        </w:tc>
        <w:tc>
          <w:tcPr>
            <w:tcW w:w="1300" w:type="dxa"/>
            <w:vAlign w:val="bottom"/>
            <w:tcBorders>
              <w:top w:val="single" w:sz="8" w:color="CFF0FC"/>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2,981,928</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3,052,895</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(70,967)</w:t>
            </w:r>
          </w:p>
        </w:tc>
        <w:tc>
          <w:tcPr>
            <w:tcW w:w="22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97"/>
        </w:trPr>
        <w:tc>
          <w:tcPr>
            <w:tcW w:w="2040" w:type="dxa"/>
            <w:vAlign w:val="bottom"/>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CFF0FC"/>
            </w:tcBorders>
            <w:gridSpan w:val="2"/>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CFF0FC"/>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-196850</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-196850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-196850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-196850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-196850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-196850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Net sales decreased $35.2 million, or 2.3%, to $1.49 billion in the thirteen weeks ended August 2, 2025 compared to net sales of $1.52 billion in the thirteen weeks ended August 3, 2024. Net sales decreased $71.0 million, or 2.3%, to $2.98 billion in the twenty-six weeks ended August 2, 2025 compared to net sales of $3.05 billion in the twenty-six weeks ended August 3, 2024. The sales decrease primarily reflects lower transaction volume and a lower pet care center count, as well as a greater focus on profitability and margin through a more disciplined approach to managing unit costs, pricing, and promotional strategies. We continue to experience momentum in services, driven in part by our strategic investments in customer acquisition and retention, as well as efforts to optimize our existing veterinary hospital footprint.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As a percentage of net sales, our gross profit rate was 39.3% for the thirteen weeks ended August 2, 2025 compared with 38.1% for the thirteen weeks ended August 3, 2024. As a percentage of net sales, our gross profit rate was 38.7% for the twenty-six weeks ended August 2, 2025 compared with 38.0% for the twenty-six weeks ended August 3, 2024. The increase between the periods reflects improved utilization of our services footprint, as well as more effective management of our inventory, unit costs, pricing, and promotional strategies. We are unable to quantify the factors impacting gross profit rate described above due to the fact that such factors are based on input measures or qualitative information that do not lend themselves to quantification.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a percentage of net sales, SG&amp;A expenses were 36.4% for the thirteen weeks ended August 2, 2025 compared with 37.9% for the thirteen weeks ended August 3, 2024. As a percentage of net sales, SG&amp;A expenses were 36.8% for the twenty-six weeks ended August 2, 2025 compared with 38.4% for the twenty-six weeks ended August 3, 2024. The decrease in SG&amp;A expenses between the periods was primarily due to lower payroll and other compensation costs, which included improved actuarial results from employee benefits optimization initiatives, as well as lower consulting costs. In addition, the Company incurred disposition costs relating to its Pupbox business during the twenty-six weeks ended August 3,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Interest expense decreased $3.5 million, or 9.5%, to $33.3 million in the thirteen weeks ended August 2, 2025 compared with $36.8 million in the thirteen weeks ended August 3, 2024. Interest expense decreased $6.8 million, or 9.3%, to $66.8 million in the twenty-six weeks ended August 2, 2025 compared with $73.6 million in the twenty-six weeks ended August 3, 2024. The decrease was primarily driven by lower interest rates on the First Lien Term Loan during the thirteen and twenty-six week periods ended August 2, 2025. For more information, refer to Note 4, “</w:t>
      </w:r>
      <w:r>
        <w:rPr>
          <w:rFonts w:ascii="Times New Roman" w:cs="Times New Roman" w:eastAsia="Times New Roman" w:hAnsi="Times New Roman"/>
          <w:sz w:val="18"/>
          <w:szCs w:val="18"/>
          <w:i w:val="1"/>
          <w:iCs w:val="1"/>
          <w:color w:val="auto"/>
        </w:rPr>
        <w:t>Senior Secured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Loss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was no other non-operating income or loss recognized during the thirteen and twenty-six week periods ended August 2, 2025. There was no other non-operating income or loss recognized during the thirteen weeks ended August 3, 2024. Other non-operating loss was $2.7 million for the twenty-six weeks ended August 3, 2024. For more information, refer to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rates were 5.1% and 34.9%, resulting in income tax expense of $0.7 million and $1.2 million for the thirteen and twenty-six weeks ended August 2, 2025, respectively, compared to effective tax rates of 14.7% and 11.3%, resulting in income tax benefit of $4.7 million and $9.1 million for the thirteen and twenty-six weeks ended August 3, 2024, respectively. The change in effective tax rates for the thirteen and twenty-six weeks ended August 2, 2025 was primarily driven by a change in earnings and a decrease in the amount of compensation associated expenses not expected to be deductible for corporate income tax purposes.</w:t>
      </w:r>
    </w:p>
    <w:p>
      <w:pPr>
        <w:spacing w:after="0" w:line="68"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OBBBA introduces significant changes to U.S. income-tax legislation. Key provisions affecting the Company include (i) 100 percent bonus depreciation for qualified property placed in service after January 19, 2025, (ii) immediate expensing of domestic research and experimental expenditures starting January 1, 2025, and (iii) an increase to the cap on the deductibility of business interest expense for taxable years starting after December 31, 2024.</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740, the Company has recognized the effects of the new tax law in the period of enactment. The impact of OBBBA for the quarter ended August 2, 2025 resulted in a reduction to current income tax expense, primarily due to the restoration of 100% bonus depreciation, immediate expensing of domestic research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and experimental expenditures, and changes to the 163(j) interest limitation. This reduction was substantially offset by a corresponding increase in deferred income tax expense.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net effect of OBBBA did not have a material impact on the Company’s effective tax rate for the period. The Company continues to evaluate the impact of OBBBA on its consolidated financial statements and will update its estimates as additional guidance becomes available.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2024 Form 10-K for more information regarding how we define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25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0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r>
      <w:tr>
        <w:trPr>
          <w:trHeight w:val="173"/>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91"/>
        </w:trPr>
        <w:tc>
          <w:tcPr>
            <w:tcW w:w="5600" w:type="dxa"/>
            <w:vAlign w:val="bottom"/>
            <w:gridSpan w:val="2"/>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234"/>
        </w:trPr>
        <w:tc>
          <w:tcPr>
            <w:tcW w:w="5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(24,823)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(71,306)</w:t>
            </w: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72,532</w:t>
            </w:r>
          </w:p>
        </w:tc>
        <w:tc>
          <w:tcPr>
            <w:tcW w:w="22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(9,128)</w:t>
            </w: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99,305</w:t>
            </w:r>
          </w:p>
        </w:tc>
        <w:tc>
          <w:tcPr>
            <w:tcW w:w="22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(4,084)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(8,694)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22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220" w:type="dxa"/>
            <w:vAlign w:val="bottom"/>
            <w:shd w:val="clear" w:color="auto" w:fill="CFF0FC"/>
          </w:tcPr>
          <w:p>
            <w:pPr>
              <w:spacing w:after="0"/>
              <w:rPr>
                <w:sz w:val="18"/>
                <w:szCs w:val="18"/>
                <w:color w:val="auto"/>
              </w:rPr>
            </w:pP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non-operating loss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2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220" w:type="dxa"/>
            <w:vAlign w:val="bottom"/>
            <w:shd w:val="clear" w:color="auto" w:fill="CFF0FC"/>
          </w:tcPr>
          <w:p>
            <w:pPr>
              <w:spacing w:after="0"/>
              <w:rPr>
                <w:sz w:val="18"/>
                <w:szCs w:val="18"/>
                <w:color w:val="auto"/>
              </w:rPr>
            </w:pPr>
          </w:p>
        </w:tc>
      </w:tr>
      <w:tr>
        <w:trPr>
          <w:trHeight w:val="216"/>
        </w:trPr>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r>
      <w:tr>
        <w:trPr>
          <w:trHeight w:val="216"/>
        </w:trPr>
        <w:tc>
          <w:tcPr>
            <w:tcW w:w="5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costs (3)</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113,860</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203,309</w:t>
            </w:r>
          </w:p>
        </w:tc>
        <w:tc>
          <w:tcPr>
            <w:tcW w:w="1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159,167</w:t>
            </w:r>
          </w:p>
        </w:tc>
        <w:tc>
          <w:tcPr>
            <w:tcW w:w="22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60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1,488,529</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1,523,755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2,981,928</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3,052,895</w:t>
            </w:r>
          </w:p>
        </w:tc>
        <w:tc>
          <w:tcPr>
            <w:tcW w:w="220" w:type="dxa"/>
            <w:vAlign w:val="bottom"/>
            <w:shd w:val="clear" w:color="auto" w:fill="CFF0FC"/>
          </w:tcPr>
          <w:p>
            <w:pPr>
              <w:spacing w:after="0"/>
              <w:rPr>
                <w:sz w:val="17"/>
                <w:szCs w:val="17"/>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margin (4)</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EBITDA Margin</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r>
      <w:tr>
        <w:trPr>
          <w:trHeight w:val="95"/>
        </w:trPr>
        <w:tc>
          <w:tcPr>
            <w:tcW w:w="30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-650875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-650875</wp:posOffset>
            </wp:positionV>
            <wp:extent cx="1460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-650875</wp:posOffset>
            </wp:positionV>
            <wp:extent cx="1117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-650875</wp:posOffset>
            </wp:positionV>
            <wp:extent cx="1454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5" w:lineRule="exact"/>
        <w:rPr>
          <w:sz w:val="20"/>
          <w:szCs w:val="20"/>
          <w:color w:val="auto"/>
        </w:rPr>
      </w:pPr>
    </w:p>
    <w:p>
      <w:pPr>
        <w:ind w:left="1020" w:right="120" w:hanging="503"/>
        <w:spacing w:after="0" w:line="236"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0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8,167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8,822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17,387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18,377</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13,944</w:t>
            </w:r>
          </w:p>
        </w:tc>
      </w:tr>
      <w:tr>
        <w:trPr>
          <w:trHeight w:val="21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3,935</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7,359</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3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19,804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41,115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40,795</w:t>
            </w:r>
          </w:p>
        </w:tc>
      </w:tr>
      <w:tr>
        <w:trPr>
          <w:trHeight w:val="20"/>
        </w:trPr>
        <w:tc>
          <w:tcPr>
            <w:tcW w:w="3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2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10,360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9,902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20,398</w:t>
            </w:r>
          </w:p>
        </w:tc>
      </w:tr>
      <w:tr>
        <w:trPr>
          <w:trHeight w:val="88"/>
        </w:trPr>
        <w:tc>
          <w:tcPr>
            <w:tcW w:w="3000" w:type="dxa"/>
            <w:vAlign w:val="bottom"/>
            <w:tcBorders>
              <w:top w:val="single" w:sz="8" w:color="CFF0FC"/>
              <w:bottom w:val="single" w:sz="8" w:color="auto"/>
            </w:tcBorders>
          </w:tcPr>
          <w:p>
            <w:pPr>
              <w:spacing w:after="0"/>
              <w:rPr>
                <w:sz w:val="7"/>
                <w:szCs w:val="7"/>
                <w:color w:val="auto"/>
              </w:rPr>
            </w:pPr>
          </w:p>
        </w:tc>
        <w:tc>
          <w:tcPr>
            <w:tcW w:w="27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-393700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-393700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-393700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-102235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-85090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-102235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-85090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-102235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-85090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-85090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5" w:lineRule="exact"/>
        <w:rPr>
          <w:sz w:val="20"/>
          <w:szCs w:val="20"/>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4" w:lineRule="exact"/>
        <w:rPr>
          <w:rFonts w:ascii="Times New Roman" w:cs="Times New Roman" w:eastAsia="Times New Roman" w:hAnsi="Times New Roman"/>
          <w:sz w:val="14"/>
          <w:szCs w:val="14"/>
          <w:color w:val="auto"/>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4" w:lineRule="exact"/>
        <w:rPr>
          <w:rFonts w:ascii="Times New Roman" w:cs="Times New Roman" w:eastAsia="Times New Roman" w:hAnsi="Times New Roman"/>
          <w:sz w:val="14"/>
          <w:szCs w:val="14"/>
          <w:color w:val="auto"/>
        </w:rPr>
      </w:pPr>
    </w:p>
    <w:p>
      <w:pPr>
        <w:ind w:left="1020" w:right="4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income (loss) attributable to Class A and B-1 common stockholders divided by net sales and Adjusted EBITDA margin as Adjusted EBITDA divided by net sales.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8"/>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70,438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60,956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$581.0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August 2, 2025 was $683.9 million, inclusive of cash and cash equivalents of $188.7 million and $495.2 million of availability on the ABL Revolving Credit Facility.</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9" w:right="339" w:bottom="1440" w:gutter="0" w:footer="0" w:header="0"/>
        </w:sectPr>
      </w:pP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cash equivalents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Twenty-six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r>
      <w:tr>
        <w:trPr>
          <w:trHeight w:val="173"/>
        </w:trPr>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40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70,438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60,956</w:t>
            </w:r>
          </w:p>
        </w:tc>
      </w:tr>
      <w:tr>
        <w:trPr>
          <w:trHeight w:val="216"/>
        </w:trPr>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(58,065)</w:t>
            </w:r>
          </w:p>
        </w:tc>
      </w:tr>
      <w:tr>
        <w:trPr>
          <w:trHeight w:val="234"/>
        </w:trPr>
        <w:tc>
          <w:tcPr>
            <w:tcW w:w="3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(5,894)</w:t>
            </w:r>
          </w:p>
        </w:tc>
      </w:tr>
      <w:tr>
        <w:trPr>
          <w:trHeight w:val="20"/>
        </w:trPr>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7020" w:space="720"/>
            <w:col w:w="3500"/>
          </w:cols>
          <w:pgMar w:left="320" w:top="1309" w:right="339" w:bottom="1440" w:gutter="0" w:footer="0" w:header="0"/>
          <w:type w:val="continuous"/>
        </w:sect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loss; and the effect of changes in operating assets and liabilities.</w:t>
      </w:r>
    </w:p>
    <w:p>
      <w:pPr>
        <w:spacing w:after="0" w:line="18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$70.4 million in the twenty-six weeks ended August 2, 2025 compared with net cash provided by operating activities of $61.0 million in the twenty-six weeks ended August 3, 2024. The increase in operating cash flows were primarily driven by a decrease in inventory purchases, lower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payroll and fringe benefits as well as lower operational costs, such as consulting fees. This was partially offset by lower sales and higher payouts of prior year accrued incentive bonuses.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$58.1 million for each of the twenty-six weeks ended August 2, 2025 and August 3, 2024, and consisted primarily of capital expenditures to support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right="20" w:firstLine="509"/>
        <w:spacing w:after="0" w:line="289" w:lineRule="auto"/>
        <w:rPr>
          <w:sz w:val="20"/>
          <w:szCs w:val="20"/>
          <w:color w:val="auto"/>
        </w:rPr>
      </w:pPr>
      <w:r>
        <w:rPr>
          <w:rFonts w:ascii="Times New Roman" w:cs="Times New Roman" w:eastAsia="Times New Roman" w:hAnsi="Times New Roman"/>
          <w:sz w:val="17"/>
          <w:szCs w:val="17"/>
          <w:color w:val="auto"/>
        </w:rPr>
        <w:t>Net cash used in financing activities was $4.3 million for the twenty-six weeks ended August 2, 2025, compared with $5.9 million used in financing activities for the twenty-six weeks ended August 3, 2024. Financing cash flows in the twenty-six weeks ended August 2, 2025 were not material. Financing cash flows in the twenty-six weeks ended August 3, 2024 consisted primarily of borrowings and repayments on the ABL Revolving Credit Facility.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62" w:lineRule="exact"/>
        <w:rPr>
          <w:sz w:val="20"/>
          <w:szCs w:val="20"/>
          <w:color w:val="auto"/>
        </w:rPr>
      </w:pPr>
    </w:p>
    <w:p>
      <w:pPr>
        <w:ind w:right="140" w:firstLine="515"/>
        <w:spacing w:after="0" w:line="261"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 Facility has availability of up to $35.0 million, subject to a borrowing base, maturing on March 4, 2026. The second tranche has availability of up to $546.0 million, subject to a borrowing base, maturing on March 29, 2029.</w:t>
      </w:r>
    </w:p>
    <w:p>
      <w:pPr>
        <w:spacing w:after="0" w:line="178"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2024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2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August 2, 2025,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August 2, 2025 would have increased annual cash interest in the aggregate by approximately $16.2 million. Additionally, we entered into cash flow hedges to limit the maximum interest rate on a portion of our variable-rate debt and limit our exposure to interest rate variability, refer to Note 5, “Derivative Instruments,” to the Notes to Consolidated Financial Statements included in Part I, Item 1 of this Form 10-Q.</w:t>
      </w:r>
    </w:p>
    <w:p>
      <w:pPr>
        <w:spacing w:after="0" w:line="18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August 2, 2025, substantially all of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300" w:firstLine="46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ind w:right="10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August 2,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firstLine="46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August 2, 2025, which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6"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6" w:name="page27"/>
    <w:bookmarkEnd w:id="2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562"/>
        <w:spacing w:after="0" w:line="284"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40" w:firstLine="562"/>
        <w:spacing w:after="0" w:line="273" w:lineRule="auto"/>
        <w:rPr>
          <w:sz w:val="20"/>
          <w:szCs w:val="20"/>
          <w:color w:val="auto"/>
        </w:rPr>
      </w:pPr>
      <w:r>
        <w:rPr>
          <w:rFonts w:ascii="Times New Roman" w:cs="Times New Roman" w:eastAsia="Times New Roman" w:hAnsi="Times New Roman"/>
          <w:sz w:val="17"/>
          <w:szCs w:val="17"/>
          <w:color w:val="auto"/>
        </w:rPr>
        <w:t>Reference is made to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the 2024 Form 10-K for information concerning risk factors. There have been no material changes with respect to the risk factors disclosed in the 2024 Form 10-K. You should carefully consider such factors, which could materially and adversely affect our business, financial condition and/or results of operations. The risks described in the 2024 Form 10-K are not the only risks we face.</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80" w:type="dxa"/>
            <w:vAlign w:val="bottom"/>
            <w:gridSpan w:val="8"/>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8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Petco Health and Wellness Company, Inc. Amended and Restated Executive Severance Plan</w:t>
            </w:r>
          </w:p>
        </w:tc>
        <w:tc>
          <w:tcPr>
            <w:tcW w:w="20" w:type="dxa"/>
            <w:vAlign w:val="bottom"/>
            <w:tcBorders>
              <w:bottom w:val="single" w:sz="8" w:color="0000EE"/>
            </w:tcBorders>
          </w:tcPr>
          <w:p>
            <w:pPr>
              <w:spacing w:after="0"/>
              <w:rPr>
                <w:sz w:val="24"/>
                <w:szCs w:val="24"/>
                <w:color w:val="auto"/>
              </w:rPr>
            </w:pPr>
          </w:p>
        </w:tc>
        <w:tc>
          <w:tcPr>
            <w:tcW w:w="3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With Embedded Linkbase Documents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hanging="982"/>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87"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9030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6" w:lineRule="exact"/>
        <w:rPr>
          <w:sz w:val="20"/>
          <w:szCs w:val="20"/>
          <w:color w:val="auto"/>
        </w:rPr>
      </w:pPr>
    </w:p>
    <w:p>
      <w:pPr>
        <w:ind w:right="420" w:firstLine="8"/>
        <w:spacing w:after="0" w:line="282"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29, 2025</w:t>
            </w:r>
          </w:p>
        </w:tc>
        <w:tc>
          <w:tcPr>
            <w:tcW w:w="23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Sabrina Simmons</w:t>
            </w:r>
          </w:p>
        </w:tc>
      </w:tr>
      <w:tr>
        <w:trPr>
          <w:trHeight w:val="191"/>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Sabrina Simmons</w:t>
            </w: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left="101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02060"/>
        </w:rPr>
        <w:t>PETCO HEALTH AND WELLNESS COMPANY,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02060"/>
        </w:rPr>
        <w:t>AMENDED AND RESTATED EXECUTIVE SEVERANCE PLAN</w:t>
      </w:r>
    </w:p>
    <w:p>
      <w:pPr>
        <w:spacing w:after="0" w:line="192" w:lineRule="exact"/>
        <w:rPr>
          <w:sz w:val="20"/>
          <w:szCs w:val="20"/>
          <w:color w:val="auto"/>
        </w:rPr>
      </w:pPr>
    </w:p>
    <w:p>
      <w:pPr>
        <w:jc w:val="both"/>
        <w:ind w:left="760" w:hanging="752"/>
        <w:spacing w:after="0" w:line="251" w:lineRule="auto"/>
        <w:tabs>
          <w:tab w:leader="none" w:pos="760" w:val="left"/>
        </w:tabs>
        <w:numPr>
          <w:ilvl w:val="0"/>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Purpose. </w:t>
      </w:r>
      <w:r>
        <w:rPr>
          <w:rFonts w:ascii="Times New Roman" w:cs="Times New Roman" w:eastAsia="Times New Roman" w:hAnsi="Times New Roman"/>
          <w:sz w:val="21"/>
          <w:szCs w:val="21"/>
          <w:color w:val="002060"/>
        </w:rPr>
        <w:t>The purpose of the Petco Health and Wellness Company, Inc. Amended and Restated Executive Severance Plan (the</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Plan</w:t>
      </w:r>
      <w:r>
        <w:rPr>
          <w:rFonts w:ascii="Times New Roman" w:cs="Times New Roman" w:eastAsia="Times New Roman" w:hAnsi="Times New Roman"/>
          <w:sz w:val="21"/>
          <w:szCs w:val="21"/>
          <w:color w:val="002060"/>
        </w:rPr>
        <w:t>”) is to provide severance benefits to certain employees of Petco Health and Wellness Company, Inc. and its Affiliates (as defined below) in the event of a Qualifying Termination (as defined below). The Plan is maintained for the purpose of providing benefits for a select group of management or highly compensated employees.</w:t>
      </w:r>
    </w:p>
    <w:p>
      <w:pPr>
        <w:spacing w:after="0" w:line="177" w:lineRule="exact"/>
        <w:rPr>
          <w:rFonts w:ascii="Times New Roman" w:cs="Times New Roman" w:eastAsia="Times New Roman" w:hAnsi="Times New Roman"/>
          <w:sz w:val="21"/>
          <w:szCs w:val="21"/>
          <w:color w:val="002060"/>
        </w:rPr>
      </w:pPr>
    </w:p>
    <w:p>
      <w:pPr>
        <w:ind w:left="760" w:hanging="752"/>
        <w:spacing w:after="0" w:line="272" w:lineRule="auto"/>
        <w:tabs>
          <w:tab w:leader="none" w:pos="760" w:val="left"/>
        </w:tabs>
        <w:numPr>
          <w:ilvl w:val="0"/>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Term. </w:t>
      </w:r>
      <w:r>
        <w:rPr>
          <w:rFonts w:ascii="Times New Roman" w:cs="Times New Roman" w:eastAsia="Times New Roman" w:hAnsi="Times New Roman"/>
          <w:sz w:val="21"/>
          <w:szCs w:val="21"/>
          <w:color w:val="002060"/>
        </w:rPr>
        <w:t>The Plan was originally effective as of September 29, 2022 and was amended and restated effective as of June 4, 2025</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(the “</w:t>
      </w:r>
      <w:r>
        <w:rPr>
          <w:rFonts w:ascii="Times New Roman" w:cs="Times New Roman" w:eastAsia="Times New Roman" w:hAnsi="Times New Roman"/>
          <w:sz w:val="21"/>
          <w:szCs w:val="21"/>
          <w:b w:val="1"/>
          <w:bCs w:val="1"/>
          <w:i w:val="1"/>
          <w:iCs w:val="1"/>
          <w:color w:val="002060"/>
        </w:rPr>
        <w:t>Restatement Effective Date</w:t>
      </w:r>
      <w:r>
        <w:rPr>
          <w:rFonts w:ascii="Times New Roman" w:cs="Times New Roman" w:eastAsia="Times New Roman" w:hAnsi="Times New Roman"/>
          <w:sz w:val="21"/>
          <w:szCs w:val="21"/>
          <w:color w:val="002060"/>
        </w:rPr>
        <w:t xml:space="preserve">”). The Plan will remain in effect until terminated pursuant to </w:t>
      </w:r>
      <w:r>
        <w:rPr>
          <w:rFonts w:ascii="Times New Roman" w:cs="Times New Roman" w:eastAsia="Times New Roman" w:hAnsi="Times New Roman"/>
          <w:sz w:val="21"/>
          <w:szCs w:val="21"/>
          <w:u w:val="single" w:color="auto"/>
          <w:color w:val="002060"/>
        </w:rPr>
        <w:t>Section 9</w:t>
      </w:r>
      <w:r>
        <w:rPr>
          <w:rFonts w:ascii="Times New Roman" w:cs="Times New Roman" w:eastAsia="Times New Roman" w:hAnsi="Times New Roman"/>
          <w:sz w:val="21"/>
          <w:szCs w:val="21"/>
          <w:color w:val="002060"/>
        </w:rPr>
        <w:t>.</w:t>
      </w:r>
    </w:p>
    <w:p>
      <w:pPr>
        <w:spacing w:after="0" w:line="154"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Definitions.</w:t>
      </w:r>
    </w:p>
    <w:p>
      <w:pPr>
        <w:spacing w:after="0" w:line="215" w:lineRule="exact"/>
        <w:rPr>
          <w:rFonts w:ascii="Times New Roman" w:cs="Times New Roman" w:eastAsia="Times New Roman" w:hAnsi="Times New Roman"/>
          <w:sz w:val="21"/>
          <w:szCs w:val="21"/>
          <w:color w:val="002060"/>
        </w:rPr>
      </w:pPr>
    </w:p>
    <w:p>
      <w:pPr>
        <w:ind w:left="1500" w:hanging="743"/>
        <w:spacing w:after="0"/>
        <w:tabs>
          <w:tab w:leader="none" w:pos="1500" w:val="left"/>
        </w:tabs>
        <w:numPr>
          <w:ilvl w:val="1"/>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Affiliate</w:t>
      </w:r>
      <w:r>
        <w:rPr>
          <w:rFonts w:ascii="Times New Roman" w:cs="Times New Roman" w:eastAsia="Times New Roman" w:hAnsi="Times New Roman"/>
          <w:sz w:val="21"/>
          <w:szCs w:val="21"/>
          <w:color w:val="002060"/>
        </w:rPr>
        <w:t>” means any entity in which the Company has a substantial direct or indirect equity interest.</w:t>
      </w:r>
    </w:p>
    <w:p>
      <w:pPr>
        <w:spacing w:after="0" w:line="217" w:lineRule="exact"/>
        <w:rPr>
          <w:rFonts w:ascii="Times New Roman" w:cs="Times New Roman" w:eastAsia="Times New Roman" w:hAnsi="Times New Roman"/>
          <w:sz w:val="21"/>
          <w:szCs w:val="21"/>
          <w:color w:val="002060"/>
        </w:rPr>
      </w:pPr>
    </w:p>
    <w:p>
      <w:pPr>
        <w:jc w:val="both"/>
        <w:ind w:left="1500" w:hanging="743"/>
        <w:spacing w:after="0" w:line="257" w:lineRule="auto"/>
        <w:tabs>
          <w:tab w:leader="none" w:pos="1500" w:val="left"/>
        </w:tabs>
        <w:numPr>
          <w:ilvl w:val="1"/>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Base Salary</w:t>
      </w:r>
      <w:r>
        <w:rPr>
          <w:rFonts w:ascii="Times New Roman" w:cs="Times New Roman" w:eastAsia="Times New Roman" w:hAnsi="Times New Roman"/>
          <w:sz w:val="21"/>
          <w:szCs w:val="21"/>
          <w:color w:val="002060"/>
        </w:rPr>
        <w:t>” means the annual base salary in effect for the Participant immediately before the Participant’s termination of employment (without giving effect to any reduction that constitutes Good Reason), excluding overtime, bonuses, incentive compensation or any other special payments.</w:t>
      </w:r>
    </w:p>
    <w:p>
      <w:pPr>
        <w:spacing w:after="0" w:line="169" w:lineRule="exact"/>
        <w:rPr>
          <w:rFonts w:ascii="Times New Roman" w:cs="Times New Roman" w:eastAsia="Times New Roman" w:hAnsi="Times New Roman"/>
          <w:sz w:val="21"/>
          <w:szCs w:val="21"/>
          <w:color w:val="002060"/>
        </w:rPr>
      </w:pPr>
    </w:p>
    <w:p>
      <w:pPr>
        <w:ind w:left="1500" w:hanging="743"/>
        <w:spacing w:after="0"/>
        <w:tabs>
          <w:tab w:leader="none" w:pos="1500" w:val="left"/>
        </w:tabs>
        <w:numPr>
          <w:ilvl w:val="1"/>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Board</w:t>
      </w:r>
      <w:r>
        <w:rPr>
          <w:rFonts w:ascii="Times New Roman" w:cs="Times New Roman" w:eastAsia="Times New Roman" w:hAnsi="Times New Roman"/>
          <w:sz w:val="21"/>
          <w:szCs w:val="21"/>
          <w:color w:val="002060"/>
        </w:rPr>
        <w:t>” means the Board of Directors of the Company.</w:t>
      </w:r>
    </w:p>
    <w:p>
      <w:pPr>
        <w:spacing w:after="0" w:line="217" w:lineRule="exact"/>
        <w:rPr>
          <w:rFonts w:ascii="Times New Roman" w:cs="Times New Roman" w:eastAsia="Times New Roman" w:hAnsi="Times New Roman"/>
          <w:sz w:val="21"/>
          <w:szCs w:val="21"/>
          <w:color w:val="002060"/>
        </w:rPr>
      </w:pPr>
    </w:p>
    <w:p>
      <w:pPr>
        <w:jc w:val="both"/>
        <w:ind w:left="1500" w:hanging="743"/>
        <w:spacing w:after="0" w:line="244" w:lineRule="auto"/>
        <w:tabs>
          <w:tab w:leader="none" w:pos="1500" w:val="left"/>
        </w:tabs>
        <w:numPr>
          <w:ilvl w:val="1"/>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Cause</w:t>
      </w:r>
      <w:r>
        <w:rPr>
          <w:rFonts w:ascii="Times New Roman" w:cs="Times New Roman" w:eastAsia="Times New Roman" w:hAnsi="Times New Roman"/>
          <w:sz w:val="21"/>
          <w:szCs w:val="21"/>
          <w:color w:val="002060"/>
        </w:rPr>
        <w:t>” means, as determined by the Committee: (i) the Participant’s material breach of any agreement between the Participant and the Company or of any provisions of the Company’s Code of Conduct or other Company policy, which, if capable of cure, remains uncured after 30 days following the Company’s written notice to the Participant thereof; (ii) the Participant’s failure to perform the Participant’s duties to standards acceptable to the Company, as determined in the Committee’s discretion, or the Participant’s gross negligence in performing, or unfitness or unavailability to perform, the Participant’s job duties, in each case, which, if capable of cure, remains uncured after 30 days following the Company’s written notice to the Participant thereof; (iii) the Participant’s commission of an act of theft, fraud or dishonesty in the performance of the Participant’s duties or the Participant’s breach of the Participant’s duty of care or loyalty to the Company; (iv) the Participant’s conviction of, or entry of a guilty or no-contest plea to, any misdemeanor involving dishonesty, fraud or moral turpitude or any felony; or (v) the Participant acting in bad faith or engaging in willful misconduct. A Participant’s employment will be deemed to have been terminated for Cause if it is determined subsequent to such Participant’s termination that grounds for a termination for Cause existed at the time of such termination, as determined by the Committee.</w:t>
      </w:r>
    </w:p>
    <w:p>
      <w:pPr>
        <w:spacing w:after="0" w:line="183" w:lineRule="exact"/>
        <w:rPr>
          <w:rFonts w:ascii="Times New Roman" w:cs="Times New Roman" w:eastAsia="Times New Roman" w:hAnsi="Times New Roman"/>
          <w:sz w:val="21"/>
          <w:szCs w:val="21"/>
          <w:color w:val="002060"/>
        </w:rPr>
      </w:pPr>
    </w:p>
    <w:p>
      <w:pPr>
        <w:ind w:left="1500" w:hanging="743"/>
        <w:spacing w:after="0" w:line="274" w:lineRule="auto"/>
        <w:tabs>
          <w:tab w:leader="none" w:pos="1500" w:val="left"/>
        </w:tabs>
        <w:numPr>
          <w:ilvl w:val="1"/>
          <w:numId w:val="1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Change in Control</w:t>
      </w:r>
      <w:r>
        <w:rPr>
          <w:rFonts w:ascii="Times New Roman" w:cs="Times New Roman" w:eastAsia="Times New Roman" w:hAnsi="Times New Roman"/>
          <w:sz w:val="21"/>
          <w:szCs w:val="21"/>
          <w:color w:val="002060"/>
        </w:rPr>
        <w:t>” has the meaning set forth in the Petco Health and Wellness Company, Inc. 2021 Equity Incentive Plan or any successor equity incentive plan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ind w:left="743" w:right="20" w:hanging="743"/>
        <w:spacing w:after="0" w:line="274"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COBRA</w:t>
      </w:r>
      <w:r>
        <w:rPr>
          <w:rFonts w:ascii="Times New Roman" w:cs="Times New Roman" w:eastAsia="Times New Roman" w:hAnsi="Times New Roman"/>
          <w:sz w:val="21"/>
          <w:szCs w:val="21"/>
          <w:color w:val="002060"/>
        </w:rPr>
        <w:t>” means the Consolidated Omnibus Budget Reconciliation Act of 1985 and any guidance and regulations promulgated thereunder.</w:t>
      </w:r>
    </w:p>
    <w:p>
      <w:pPr>
        <w:spacing w:after="0" w:line="150" w:lineRule="exact"/>
        <w:rPr>
          <w:rFonts w:ascii="Times New Roman" w:cs="Times New Roman" w:eastAsia="Times New Roman" w:hAnsi="Times New Roman"/>
          <w:sz w:val="21"/>
          <w:szCs w:val="21"/>
          <w:color w:val="002060"/>
        </w:rPr>
      </w:pPr>
    </w:p>
    <w:p>
      <w:pPr>
        <w:ind w:left="743" w:hanging="743"/>
        <w:spacing w:after="0"/>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Code</w:t>
      </w:r>
      <w:r>
        <w:rPr>
          <w:rFonts w:ascii="Times New Roman" w:cs="Times New Roman" w:eastAsia="Times New Roman" w:hAnsi="Times New Roman"/>
          <w:sz w:val="21"/>
          <w:szCs w:val="21"/>
          <w:color w:val="002060"/>
        </w:rPr>
        <w:t>” means the Internal Revenue Code of 1986 and any guidance and regulations promulgated thereunder.</w:t>
      </w:r>
    </w:p>
    <w:p>
      <w:pPr>
        <w:spacing w:after="0" w:line="217" w:lineRule="exact"/>
        <w:rPr>
          <w:rFonts w:ascii="Times New Roman" w:cs="Times New Roman" w:eastAsia="Times New Roman" w:hAnsi="Times New Roman"/>
          <w:sz w:val="21"/>
          <w:szCs w:val="21"/>
          <w:color w:val="002060"/>
        </w:rPr>
      </w:pPr>
    </w:p>
    <w:p>
      <w:pPr>
        <w:ind w:left="743" w:hanging="743"/>
        <w:spacing w:after="0" w:line="274"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Committee</w:t>
      </w:r>
      <w:r>
        <w:rPr>
          <w:rFonts w:ascii="Times New Roman" w:cs="Times New Roman" w:eastAsia="Times New Roman" w:hAnsi="Times New Roman"/>
          <w:sz w:val="21"/>
          <w:szCs w:val="21"/>
          <w:color w:val="002060"/>
        </w:rPr>
        <w:t>” means the Compensation Committee of the Board or another duly constituted committee of the Board designated by the Board as the Committee hereunder.</w:t>
      </w:r>
    </w:p>
    <w:p>
      <w:pPr>
        <w:spacing w:after="0" w:line="150" w:lineRule="exact"/>
        <w:rPr>
          <w:rFonts w:ascii="Times New Roman" w:cs="Times New Roman" w:eastAsia="Times New Roman" w:hAnsi="Times New Roman"/>
          <w:sz w:val="21"/>
          <w:szCs w:val="21"/>
          <w:color w:val="002060"/>
        </w:rPr>
      </w:pPr>
    </w:p>
    <w:p>
      <w:pPr>
        <w:ind w:left="743" w:hanging="743"/>
        <w:spacing w:after="0" w:line="274"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Company</w:t>
      </w:r>
      <w:r>
        <w:rPr>
          <w:rFonts w:ascii="Times New Roman" w:cs="Times New Roman" w:eastAsia="Times New Roman" w:hAnsi="Times New Roman"/>
          <w:sz w:val="21"/>
          <w:szCs w:val="21"/>
          <w:color w:val="002060"/>
        </w:rPr>
        <w:t>” means Petco Health and Wellness Company, Inc. and its Affiliates (including the Employer), and shall include any successor.</w:t>
      </w:r>
    </w:p>
    <w:p>
      <w:pPr>
        <w:spacing w:after="0" w:line="150" w:lineRule="exact"/>
        <w:rPr>
          <w:rFonts w:ascii="Times New Roman" w:cs="Times New Roman" w:eastAsia="Times New Roman" w:hAnsi="Times New Roman"/>
          <w:sz w:val="21"/>
          <w:szCs w:val="21"/>
          <w:color w:val="002060"/>
        </w:rPr>
      </w:pPr>
    </w:p>
    <w:p>
      <w:pPr>
        <w:ind w:left="743" w:hanging="743"/>
        <w:spacing w:after="0"/>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Confidentiality Agreement</w:t>
      </w:r>
      <w:r>
        <w:rPr>
          <w:rFonts w:ascii="Times New Roman" w:cs="Times New Roman" w:eastAsia="Times New Roman" w:hAnsi="Times New Roman"/>
          <w:sz w:val="21"/>
          <w:szCs w:val="21"/>
          <w:color w:val="002060"/>
        </w:rPr>
        <w:t>” means a Participant’s confidentiality and inventions agreement with the Company.</w:t>
      </w:r>
    </w:p>
    <w:p>
      <w:pPr>
        <w:spacing w:after="0" w:line="217" w:lineRule="exact"/>
        <w:rPr>
          <w:rFonts w:ascii="Times New Roman" w:cs="Times New Roman" w:eastAsia="Times New Roman" w:hAnsi="Times New Roman"/>
          <w:sz w:val="21"/>
          <w:szCs w:val="21"/>
          <w:color w:val="002060"/>
        </w:rPr>
      </w:pPr>
    </w:p>
    <w:p>
      <w:pPr>
        <w:jc w:val="both"/>
        <w:ind w:left="743" w:hanging="743"/>
        <w:spacing w:after="0" w:line="246"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Disability</w:t>
      </w:r>
      <w:r>
        <w:rPr>
          <w:rFonts w:ascii="Times New Roman" w:cs="Times New Roman" w:eastAsia="Times New Roman" w:hAnsi="Times New Roman"/>
          <w:sz w:val="21"/>
          <w:szCs w:val="21"/>
          <w:color w:val="002060"/>
        </w:rPr>
        <w:t>” means, as determined by the Committee, a physical or mental condition of the Participant that would entitle the Participant to payment of disability income payments under the Company’s long-term disability insurance policy or plan for employees as then in effect; or in the event that a Participant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Participants shall submit to an examination by such physician upon request by the Committee.</w:t>
      </w:r>
    </w:p>
    <w:p>
      <w:pPr>
        <w:spacing w:after="0" w:line="179" w:lineRule="exact"/>
        <w:rPr>
          <w:rFonts w:ascii="Times New Roman" w:cs="Times New Roman" w:eastAsia="Times New Roman" w:hAnsi="Times New Roman"/>
          <w:sz w:val="21"/>
          <w:szCs w:val="21"/>
          <w:color w:val="002060"/>
        </w:rPr>
      </w:pPr>
    </w:p>
    <w:p>
      <w:pPr>
        <w:ind w:left="743" w:hanging="743"/>
        <w:spacing w:after="0"/>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Employer</w:t>
      </w:r>
      <w:r>
        <w:rPr>
          <w:rFonts w:ascii="Times New Roman" w:cs="Times New Roman" w:eastAsia="Times New Roman" w:hAnsi="Times New Roman"/>
          <w:sz w:val="21"/>
          <w:szCs w:val="21"/>
          <w:color w:val="002060"/>
        </w:rPr>
        <w:t>” means Petco Animal Supplies Stores, Inc. or any other applicable Affiliate that employs a Participant.</w:t>
      </w:r>
    </w:p>
    <w:p>
      <w:pPr>
        <w:spacing w:after="0" w:line="217" w:lineRule="exact"/>
        <w:rPr>
          <w:rFonts w:ascii="Times New Roman" w:cs="Times New Roman" w:eastAsia="Times New Roman" w:hAnsi="Times New Roman"/>
          <w:sz w:val="21"/>
          <w:szCs w:val="21"/>
          <w:color w:val="002060"/>
        </w:rPr>
      </w:pPr>
    </w:p>
    <w:p>
      <w:pPr>
        <w:ind w:left="743" w:hanging="743"/>
        <w:spacing w:after="0" w:line="274"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ERISA</w:t>
      </w:r>
      <w:r>
        <w:rPr>
          <w:rFonts w:ascii="Times New Roman" w:cs="Times New Roman" w:eastAsia="Times New Roman" w:hAnsi="Times New Roman"/>
          <w:sz w:val="21"/>
          <w:szCs w:val="21"/>
          <w:color w:val="002060"/>
        </w:rPr>
        <w:t>” means the Employee Retirement Income Security Act of 1974 and any guidance and regulations promulgated thereunder.</w:t>
      </w:r>
    </w:p>
    <w:p>
      <w:pPr>
        <w:spacing w:after="0" w:line="150" w:lineRule="exact"/>
        <w:rPr>
          <w:rFonts w:ascii="Times New Roman" w:cs="Times New Roman" w:eastAsia="Times New Roman" w:hAnsi="Times New Roman"/>
          <w:sz w:val="21"/>
          <w:szCs w:val="21"/>
          <w:color w:val="002060"/>
        </w:rPr>
      </w:pPr>
    </w:p>
    <w:p>
      <w:pPr>
        <w:jc w:val="both"/>
        <w:ind w:left="743" w:hanging="743"/>
        <w:spacing w:after="0" w:line="245" w:lineRule="auto"/>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Good Reason</w:t>
      </w:r>
      <w:r>
        <w:rPr>
          <w:rFonts w:ascii="Times New Roman" w:cs="Times New Roman" w:eastAsia="Times New Roman" w:hAnsi="Times New Roman"/>
          <w:sz w:val="21"/>
          <w:szCs w:val="21"/>
          <w:color w:val="002060"/>
        </w:rPr>
        <w:t xml:space="preserve">” means the occurrence of any of the following without the prior consent of the Participant: (i) a material diminution in the Participant’s authority, duties or responsibilities; (ii) a material diminution in the Participant’s base salary; (iii) a relocation of the Participant’s principal place of employment by more than 50 miles; or (iv) a material breach by the Company of </w:t>
      </w:r>
      <w:r>
        <w:rPr>
          <w:rFonts w:ascii="Times New Roman" w:cs="Times New Roman" w:eastAsia="Times New Roman" w:hAnsi="Times New Roman"/>
          <w:sz w:val="21"/>
          <w:szCs w:val="21"/>
          <w:u w:val="single" w:color="auto"/>
          <w:color w:val="002060"/>
        </w:rPr>
        <w:t>Section 13</w:t>
      </w:r>
      <w:r>
        <w:rPr>
          <w:rFonts w:ascii="Times New Roman" w:cs="Times New Roman" w:eastAsia="Times New Roman" w:hAnsi="Times New Roman"/>
          <w:sz w:val="21"/>
          <w:szCs w:val="21"/>
          <w:color w:val="002060"/>
        </w:rPr>
        <w:t>. Notwithstanding the foregoing, any assertion by the Participant of a termination for Good Reason shall not be effective unless: (A) the Participant provides written notice to the Company of the existence of one or more of the foregoing conditions within 30 days after the initial occurrence of such condition(s); (B) the condition(s) specified in such written notice remain uncorrected for 30 days following the Company’s receipt of such written notice; and (C) the date of the termination of the Participant’s employment with the Company occurs within 90 days after the initial occurrence of the condition(s) specified in such written notice.</w:t>
      </w:r>
    </w:p>
    <w:p>
      <w:pPr>
        <w:spacing w:after="0" w:line="180" w:lineRule="exact"/>
        <w:rPr>
          <w:rFonts w:ascii="Times New Roman" w:cs="Times New Roman" w:eastAsia="Times New Roman" w:hAnsi="Times New Roman"/>
          <w:sz w:val="21"/>
          <w:szCs w:val="21"/>
          <w:color w:val="002060"/>
        </w:rPr>
      </w:pPr>
    </w:p>
    <w:p>
      <w:pPr>
        <w:ind w:left="743" w:hanging="743"/>
        <w:spacing w:after="0"/>
        <w:tabs>
          <w:tab w:leader="none" w:pos="743" w:val="left"/>
        </w:tabs>
        <w:numPr>
          <w:ilvl w:val="0"/>
          <w:numId w:val="1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Participant</w:t>
      </w:r>
      <w:r>
        <w:rPr>
          <w:rFonts w:ascii="Times New Roman" w:cs="Times New Roman" w:eastAsia="Times New Roman" w:hAnsi="Times New Roman"/>
          <w:sz w:val="21"/>
          <w:szCs w:val="21"/>
          <w:color w:val="002060"/>
        </w:rPr>
        <w:t xml:space="preserve">” means an employee of the Company who participates in the Plan pursuant to </w:t>
      </w:r>
      <w:r>
        <w:rPr>
          <w:rFonts w:ascii="Times New Roman" w:cs="Times New Roman" w:eastAsia="Times New Roman" w:hAnsi="Times New Roman"/>
          <w:sz w:val="21"/>
          <w:szCs w:val="21"/>
          <w:u w:val="single" w:color="auto"/>
          <w:color w:val="002060"/>
        </w:rPr>
        <w:t>Section 4</w:t>
      </w:r>
      <w:r>
        <w:rPr>
          <w:rFonts w:ascii="Times New Roman" w:cs="Times New Roman" w:eastAsia="Times New Roman" w:hAnsi="Times New Roman"/>
          <w:sz w:val="21"/>
          <w:szCs w:val="21"/>
          <w:color w:val="00206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0"/>
          <w:szCs w:val="20"/>
          <w:color w:val="00206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2" w:right="339" w:bottom="1440" w:gutter="0" w:footer="0" w:header="0"/>
        </w:sectPr>
      </w:pPr>
    </w:p>
    <w:bookmarkStart w:id="31" w:name="page32"/>
    <w:bookmarkEnd w:id="31"/>
    <w:p>
      <w:pPr>
        <w:jc w:val="both"/>
        <w:ind w:left="743" w:hanging="743"/>
        <w:spacing w:after="0" w:line="245" w:lineRule="auto"/>
        <w:tabs>
          <w:tab w:leader="none" w:pos="743" w:val="left"/>
        </w:tabs>
        <w:numPr>
          <w:ilvl w:val="0"/>
          <w:numId w:val="1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Qualifying Termination</w:t>
      </w:r>
      <w:r>
        <w:rPr>
          <w:rFonts w:ascii="Times New Roman" w:cs="Times New Roman" w:eastAsia="Times New Roman" w:hAnsi="Times New Roman"/>
          <w:sz w:val="21"/>
          <w:szCs w:val="21"/>
          <w:color w:val="002060"/>
        </w:rPr>
        <w:t>” means a termination of the Participant’s employment with the Company by the Company without Cause (other than by reason of death or Disability) or by the Participant for Good Reason. If the Participant is primarily providing services to a business unit, as determined by the Committee, which is directly or indirectly sold, licensed or transferred resulting in a termination of the Participant’s employment with the Company, a Qualifying Termination will not be deemed to occur if upon or within 120 days following the closing of such sale, license or transfer, the Participant (i) accepts any position with the purchaser or any of its affiliates or (ii) is offered employment with the purchaser that does not require a relocation of the Participant’s principal place of employment by more than 50 miles and does not result in a material diminution in the Participant’s base salary, even if the Participant does not accept such offer of employment.</w:t>
      </w:r>
    </w:p>
    <w:p>
      <w:pPr>
        <w:spacing w:after="0" w:line="184" w:lineRule="exact"/>
        <w:rPr>
          <w:rFonts w:ascii="Times New Roman" w:cs="Times New Roman" w:eastAsia="Times New Roman" w:hAnsi="Times New Roman"/>
          <w:sz w:val="21"/>
          <w:szCs w:val="21"/>
          <w:color w:val="002060"/>
        </w:rPr>
      </w:pPr>
    </w:p>
    <w:p>
      <w:pPr>
        <w:ind w:left="743" w:hanging="743"/>
        <w:spacing w:after="0"/>
        <w:tabs>
          <w:tab w:leader="none" w:pos="743" w:val="left"/>
        </w:tabs>
        <w:numPr>
          <w:ilvl w:val="0"/>
          <w:numId w:val="1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Severance Benefits</w:t>
      </w:r>
      <w:r>
        <w:rPr>
          <w:rFonts w:ascii="Times New Roman" w:cs="Times New Roman" w:eastAsia="Times New Roman" w:hAnsi="Times New Roman"/>
          <w:sz w:val="21"/>
          <w:szCs w:val="21"/>
          <w:color w:val="002060"/>
        </w:rPr>
        <w:t>” means:</w:t>
      </w:r>
    </w:p>
    <w:p>
      <w:pPr>
        <w:spacing w:after="0" w:line="221" w:lineRule="exact"/>
        <w:rPr>
          <w:rFonts w:ascii="Times New Roman" w:cs="Times New Roman" w:eastAsia="Times New Roman" w:hAnsi="Times New Roman"/>
          <w:sz w:val="21"/>
          <w:szCs w:val="21"/>
          <w:color w:val="002060"/>
        </w:rPr>
      </w:pPr>
    </w:p>
    <w:p>
      <w:pPr>
        <w:jc w:val="both"/>
        <w:ind w:left="1503" w:hanging="755"/>
        <w:spacing w:after="0" w:line="257" w:lineRule="auto"/>
        <w:tabs>
          <w:tab w:leader="none" w:pos="1503" w:val="left"/>
        </w:tabs>
        <w:numPr>
          <w:ilvl w:val="1"/>
          <w:numId w:val="1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Payments in an aggregate amount equal to the Participant’s Severance Multiplier times the Participant’s Base Salary (the “</w:t>
      </w:r>
      <w:r>
        <w:rPr>
          <w:rFonts w:ascii="Times New Roman" w:cs="Times New Roman" w:eastAsia="Times New Roman" w:hAnsi="Times New Roman"/>
          <w:sz w:val="20"/>
          <w:szCs w:val="20"/>
          <w:b w:val="1"/>
          <w:bCs w:val="1"/>
          <w:i w:val="1"/>
          <w:iCs w:val="1"/>
          <w:color w:val="002060"/>
        </w:rPr>
        <w:t>Cash Severance</w:t>
      </w:r>
      <w:r>
        <w:rPr>
          <w:rFonts w:ascii="Times New Roman" w:cs="Times New Roman" w:eastAsia="Times New Roman" w:hAnsi="Times New Roman"/>
          <w:sz w:val="20"/>
          <w:szCs w:val="20"/>
          <w:color w:val="002060"/>
        </w:rPr>
        <w:t>”), payable in substantially equal installments over the Participant’s Severance Period in accordance with the Company’s regular payroll practices, commencing on the Company’s first regularly scheduled pay date that is at least five business days following the date the Release becomes effective and irrevocable (or, if the period during which the Release could become effective and irrevocable spans two calendar years, payments will not commence until the second calendar year); provided, however, that to the extent, if any, that the aggregate amount of Cash Severance that would otherwise be paid after March 15 of the calendar year following the calendar year in which the Termination Date occurs (the “</w:t>
      </w:r>
      <w:r>
        <w:rPr>
          <w:rFonts w:ascii="Times New Roman" w:cs="Times New Roman" w:eastAsia="Times New Roman" w:hAnsi="Times New Roman"/>
          <w:sz w:val="20"/>
          <w:szCs w:val="20"/>
          <w:b w:val="1"/>
          <w:bCs w:val="1"/>
          <w:i w:val="1"/>
          <w:iCs w:val="1"/>
          <w:color w:val="002060"/>
        </w:rPr>
        <w:t>Applicable March 15</w:t>
      </w:r>
      <w:r>
        <w:rPr>
          <w:rFonts w:ascii="Times New Roman" w:cs="Times New Roman" w:eastAsia="Times New Roman" w:hAnsi="Times New Roman"/>
          <w:sz w:val="20"/>
          <w:szCs w:val="20"/>
          <w:color w:val="002060"/>
        </w:rPr>
        <w:t>”) exceeds the maximum exemption amount under Treasury Regulation Section 1.409A-1(b)(9)(iii)(A), then (A) such excess will be paid in a lump sum with the first installment of the Cash Severance and (B) the final installment will be reduced by such excess (with any remaining excess reducing the next preceding installment until the aggregate reduction equals such excess);</w:t>
      </w:r>
    </w:p>
    <w:p>
      <w:pPr>
        <w:spacing w:after="0" w:line="176" w:lineRule="exact"/>
        <w:rPr>
          <w:rFonts w:ascii="Times New Roman" w:cs="Times New Roman" w:eastAsia="Times New Roman" w:hAnsi="Times New Roman"/>
          <w:sz w:val="20"/>
          <w:szCs w:val="20"/>
          <w:color w:val="002060"/>
        </w:rPr>
      </w:pPr>
    </w:p>
    <w:p>
      <w:pPr>
        <w:jc w:val="both"/>
        <w:ind w:left="1503" w:hanging="755"/>
        <w:spacing w:after="0" w:line="245" w:lineRule="auto"/>
        <w:tabs>
          <w:tab w:leader="none" w:pos="1503" w:val="left"/>
        </w:tabs>
        <w:numPr>
          <w:ilvl w:val="1"/>
          <w:numId w:val="1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For Tier 1 Participants only, payment of a pro-rata portion of the actual annual incentive that the Participant would have earned for the fiscal year in which the Termination Date occurs, based on the number of days the Participant is employed during such fiscal year, payable on the date when annual incentives under the applicable incentive plan are otherwise paid and in all events by April 15 of the fiscal year following the fiscal year in which the Termination Date occurs; provided, however, that if the applicable annual incentive plan involves individual performance metrics, the Participant’s calculated performance shall refer to the average calculated payout percentage for all participants in such annual incentive plan, rounded to the nearest whole percentage point (the “</w:t>
      </w:r>
      <w:r>
        <w:rPr>
          <w:rFonts w:ascii="Times New Roman" w:cs="Times New Roman" w:eastAsia="Times New Roman" w:hAnsi="Times New Roman"/>
          <w:sz w:val="21"/>
          <w:szCs w:val="21"/>
          <w:b w:val="1"/>
          <w:bCs w:val="1"/>
          <w:i w:val="1"/>
          <w:iCs w:val="1"/>
          <w:color w:val="002060"/>
        </w:rPr>
        <w:t>Pro-Rata Bonus</w:t>
      </w:r>
      <w:r>
        <w:rPr>
          <w:rFonts w:ascii="Times New Roman" w:cs="Times New Roman" w:eastAsia="Times New Roman" w:hAnsi="Times New Roman"/>
          <w:sz w:val="21"/>
          <w:szCs w:val="21"/>
          <w:color w:val="002060"/>
        </w:rPr>
        <w:t>”);</w:t>
      </w:r>
    </w:p>
    <w:p>
      <w:pPr>
        <w:spacing w:after="0" w:line="187" w:lineRule="exact"/>
        <w:rPr>
          <w:rFonts w:ascii="Times New Roman" w:cs="Times New Roman" w:eastAsia="Times New Roman" w:hAnsi="Times New Roman"/>
          <w:sz w:val="21"/>
          <w:szCs w:val="21"/>
          <w:color w:val="002060"/>
        </w:rPr>
      </w:pPr>
    </w:p>
    <w:p>
      <w:pPr>
        <w:jc w:val="both"/>
        <w:ind w:left="1503" w:hanging="755"/>
        <w:spacing w:after="0" w:line="255" w:lineRule="auto"/>
        <w:tabs>
          <w:tab w:leader="none" w:pos="1503" w:val="left"/>
        </w:tabs>
        <w:numPr>
          <w:ilvl w:val="1"/>
          <w:numId w:val="1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Subject to the Participant’s timely election of continuation coverage under COBRA, the Company will pay the premiums for the Participant’s participation in the Company’s group health plans pursuant to COBRA (the “</w:t>
      </w:r>
      <w:r>
        <w:rPr>
          <w:rFonts w:ascii="Times New Roman" w:cs="Times New Roman" w:eastAsia="Times New Roman" w:hAnsi="Times New Roman"/>
          <w:sz w:val="21"/>
          <w:szCs w:val="21"/>
          <w:b w:val="1"/>
          <w:bCs w:val="1"/>
          <w:i w:val="1"/>
          <w:iCs w:val="1"/>
          <w:color w:val="002060"/>
        </w:rPr>
        <w:t>COBRA Subsidy</w:t>
      </w:r>
      <w:r>
        <w:rPr>
          <w:rFonts w:ascii="Times New Roman" w:cs="Times New Roman" w:eastAsia="Times New Roman" w:hAnsi="Times New Roman"/>
          <w:sz w:val="21"/>
          <w:szCs w:val="21"/>
          <w:color w:val="002060"/>
        </w:rPr>
        <w:t>”) for a period ending on the earliest of (A) the end of the</w:t>
      </w:r>
    </w:p>
    <w:p>
      <w:pPr>
        <w:spacing w:after="0" w:line="200" w:lineRule="exact"/>
        <w:rPr>
          <w:sz w:val="20"/>
          <w:szCs w:val="20"/>
          <w:color w:val="auto"/>
        </w:rPr>
      </w:pPr>
    </w:p>
    <w:p>
      <w:pPr>
        <w:spacing w:after="0" w:line="390"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0"/>
          <w:szCs w:val="20"/>
          <w:color w:val="00206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2" w:right="339" w:bottom="1440" w:gutter="0" w:footer="0" w:header="0"/>
        </w:sectPr>
      </w:pPr>
    </w:p>
    <w:bookmarkStart w:id="32" w:name="page33"/>
    <w:bookmarkEnd w:id="32"/>
    <w:p>
      <w:pPr>
        <w:ind w:left="2260"/>
        <w:spacing w:after="0" w:line="270" w:lineRule="auto"/>
        <w:rPr>
          <w:sz w:val="20"/>
          <w:szCs w:val="20"/>
          <w:color w:val="auto"/>
        </w:rPr>
      </w:pPr>
      <w:r>
        <w:rPr>
          <w:rFonts w:ascii="Times New Roman" w:cs="Times New Roman" w:eastAsia="Times New Roman" w:hAnsi="Times New Roman"/>
          <w:sz w:val="21"/>
          <w:szCs w:val="21"/>
          <w:color w:val="002060"/>
        </w:rPr>
        <w:t>Severance Period, (B) the Participant becoming eligible for other group health benefits, or (C) the expiration of the Participant’s rights under COBRA; and</w:t>
      </w:r>
    </w:p>
    <w:p>
      <w:pPr>
        <w:spacing w:after="0" w:line="159" w:lineRule="exact"/>
        <w:rPr>
          <w:sz w:val="20"/>
          <w:szCs w:val="20"/>
          <w:color w:val="auto"/>
        </w:rPr>
      </w:pPr>
    </w:p>
    <w:p>
      <w:pPr>
        <w:jc w:val="both"/>
        <w:ind w:left="2260" w:right="20" w:hanging="755"/>
        <w:spacing w:after="0" w:line="255" w:lineRule="auto"/>
        <w:tabs>
          <w:tab w:leader="none" w:pos="2260" w:val="left"/>
        </w:tabs>
        <w:numPr>
          <w:ilvl w:val="2"/>
          <w:numId w:val="14"/>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Payment of any earned but unpaid annual incentive for the fiscal year preceding the fiscal year in which the Termination Date occurs, payable on the date when annual incentives under the applicable incentive plan are otherwise paid and in all events in the fiscal year that includes the Termination Date.</w:t>
      </w:r>
    </w:p>
    <w:p>
      <w:pPr>
        <w:spacing w:after="0" w:line="171" w:lineRule="exact"/>
        <w:rPr>
          <w:rFonts w:ascii="Times New Roman" w:cs="Times New Roman" w:eastAsia="Times New Roman" w:hAnsi="Times New Roman"/>
          <w:sz w:val="21"/>
          <w:szCs w:val="21"/>
          <w:color w:val="002060"/>
        </w:rPr>
      </w:pPr>
    </w:p>
    <w:p>
      <w:pPr>
        <w:ind w:left="1500" w:hanging="743"/>
        <w:spacing w:after="0"/>
        <w:tabs>
          <w:tab w:leader="none" w:pos="1500" w:val="left"/>
        </w:tabs>
        <w:numPr>
          <w:ilvl w:val="1"/>
          <w:numId w:val="15"/>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w:t>
      </w:r>
      <w:r>
        <w:rPr>
          <w:rFonts w:ascii="Times New Roman" w:cs="Times New Roman" w:eastAsia="Times New Roman" w:hAnsi="Times New Roman"/>
          <w:sz w:val="20"/>
          <w:szCs w:val="20"/>
          <w:b w:val="1"/>
          <w:bCs w:val="1"/>
          <w:i w:val="1"/>
          <w:iCs w:val="1"/>
          <w:color w:val="002060"/>
        </w:rPr>
        <w:t>Severance Multiplier</w:t>
      </w:r>
      <w:r>
        <w:rPr>
          <w:rFonts w:ascii="Times New Roman" w:cs="Times New Roman" w:eastAsia="Times New Roman" w:hAnsi="Times New Roman"/>
          <w:sz w:val="20"/>
          <w:szCs w:val="20"/>
          <w:color w:val="002060"/>
        </w:rPr>
        <w:t xml:space="preserve">” means the applicable severance multiplier for the Participant’s Tier as set forth on </w:t>
      </w:r>
      <w:r>
        <w:rPr>
          <w:rFonts w:ascii="Times New Roman" w:cs="Times New Roman" w:eastAsia="Times New Roman" w:hAnsi="Times New Roman"/>
          <w:sz w:val="20"/>
          <w:szCs w:val="20"/>
          <w:u w:val="single" w:color="auto"/>
          <w:color w:val="002060"/>
        </w:rPr>
        <w:t>Exhibit A</w:t>
      </w:r>
      <w:r>
        <w:rPr>
          <w:rFonts w:ascii="Times New Roman" w:cs="Times New Roman" w:eastAsia="Times New Roman" w:hAnsi="Times New Roman"/>
          <w:sz w:val="20"/>
          <w:szCs w:val="20"/>
          <w:color w:val="002060"/>
        </w:rPr>
        <w:t>.</w:t>
      </w:r>
    </w:p>
    <w:p>
      <w:pPr>
        <w:spacing w:after="0" w:line="229" w:lineRule="exact"/>
        <w:rPr>
          <w:rFonts w:ascii="Times New Roman" w:cs="Times New Roman" w:eastAsia="Times New Roman" w:hAnsi="Times New Roman"/>
          <w:sz w:val="20"/>
          <w:szCs w:val="20"/>
          <w:color w:val="002060"/>
        </w:rPr>
      </w:pPr>
    </w:p>
    <w:p>
      <w:pPr>
        <w:ind w:left="1500" w:hanging="743"/>
        <w:spacing w:after="0"/>
        <w:tabs>
          <w:tab w:leader="none" w:pos="1500" w:val="left"/>
        </w:tabs>
        <w:numPr>
          <w:ilvl w:val="1"/>
          <w:numId w:val="15"/>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Severance Period</w:t>
      </w:r>
      <w:r>
        <w:rPr>
          <w:rFonts w:ascii="Times New Roman" w:cs="Times New Roman" w:eastAsia="Times New Roman" w:hAnsi="Times New Roman"/>
          <w:sz w:val="21"/>
          <w:szCs w:val="21"/>
          <w:color w:val="002060"/>
        </w:rPr>
        <w:t xml:space="preserve">” means the applicable severance period for the Participant’s Tier as set forth on </w:t>
      </w:r>
      <w:r>
        <w:rPr>
          <w:rFonts w:ascii="Times New Roman" w:cs="Times New Roman" w:eastAsia="Times New Roman" w:hAnsi="Times New Roman"/>
          <w:sz w:val="21"/>
          <w:szCs w:val="21"/>
          <w:u w:val="single" w:color="auto"/>
          <w:color w:val="002060"/>
        </w:rPr>
        <w:t>Exhibit A</w:t>
      </w:r>
      <w:r>
        <w:rPr>
          <w:rFonts w:ascii="Times New Roman" w:cs="Times New Roman" w:eastAsia="Times New Roman" w:hAnsi="Times New Roman"/>
          <w:sz w:val="21"/>
          <w:szCs w:val="21"/>
          <w:color w:val="002060"/>
        </w:rPr>
        <w:t>.</w:t>
      </w:r>
    </w:p>
    <w:p>
      <w:pPr>
        <w:spacing w:after="0" w:line="217" w:lineRule="exact"/>
        <w:rPr>
          <w:rFonts w:ascii="Times New Roman" w:cs="Times New Roman" w:eastAsia="Times New Roman" w:hAnsi="Times New Roman"/>
          <w:sz w:val="21"/>
          <w:szCs w:val="21"/>
          <w:color w:val="002060"/>
        </w:rPr>
      </w:pPr>
    </w:p>
    <w:p>
      <w:pPr>
        <w:ind w:left="1500" w:hanging="743"/>
        <w:spacing w:after="0"/>
        <w:tabs>
          <w:tab w:leader="none" w:pos="1500" w:val="left"/>
        </w:tabs>
        <w:numPr>
          <w:ilvl w:val="1"/>
          <w:numId w:val="15"/>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w:t>
      </w:r>
      <w:r>
        <w:rPr>
          <w:rFonts w:ascii="Times New Roman" w:cs="Times New Roman" w:eastAsia="Times New Roman" w:hAnsi="Times New Roman"/>
          <w:sz w:val="21"/>
          <w:szCs w:val="21"/>
          <w:b w:val="1"/>
          <w:bCs w:val="1"/>
          <w:i w:val="1"/>
          <w:iCs w:val="1"/>
          <w:color w:val="002060"/>
        </w:rPr>
        <w:t>Termination Date</w:t>
      </w:r>
      <w:r>
        <w:rPr>
          <w:rFonts w:ascii="Times New Roman" w:cs="Times New Roman" w:eastAsia="Times New Roman" w:hAnsi="Times New Roman"/>
          <w:sz w:val="21"/>
          <w:szCs w:val="21"/>
          <w:color w:val="002060"/>
        </w:rPr>
        <w:t>” means the date of the Participant’s termination of employment with the Company.</w:t>
      </w:r>
    </w:p>
    <w:p>
      <w:pPr>
        <w:spacing w:after="0" w:line="219"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Eligibility.</w:t>
      </w:r>
    </w:p>
    <w:p>
      <w:pPr>
        <w:spacing w:after="0" w:line="219" w:lineRule="exact"/>
        <w:rPr>
          <w:rFonts w:ascii="Times New Roman" w:cs="Times New Roman" w:eastAsia="Times New Roman" w:hAnsi="Times New Roman"/>
          <w:sz w:val="21"/>
          <w:szCs w:val="21"/>
          <w:color w:val="002060"/>
        </w:rPr>
      </w:pPr>
    </w:p>
    <w:p>
      <w:pPr>
        <w:jc w:val="both"/>
        <w:ind w:left="1500" w:hanging="743"/>
        <w:spacing w:after="0" w:line="244" w:lineRule="auto"/>
        <w:tabs>
          <w:tab w:leader="none" w:pos="1500" w:val="left"/>
        </w:tabs>
        <w:numPr>
          <w:ilvl w:val="1"/>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Unless otherwise determined by the Committee, all employees of the Company who are designated as “officers” of the Company under Section 16 of the Securities Exchange Act of 1934 or otherwise hold the title of Senior Vice President or higher, excluding the Chief Executive Officer of the Company (collectively the “</w:t>
      </w:r>
      <w:r>
        <w:rPr>
          <w:rFonts w:ascii="Times New Roman" w:cs="Times New Roman" w:eastAsia="Times New Roman" w:hAnsi="Times New Roman"/>
          <w:sz w:val="21"/>
          <w:szCs w:val="21"/>
          <w:b w:val="1"/>
          <w:bCs w:val="1"/>
          <w:i w:val="1"/>
          <w:iCs w:val="1"/>
          <w:color w:val="002060"/>
        </w:rPr>
        <w:t>Eligible Employees</w:t>
      </w:r>
      <w:r>
        <w:rPr>
          <w:rFonts w:ascii="Times New Roman" w:cs="Times New Roman" w:eastAsia="Times New Roman" w:hAnsi="Times New Roman"/>
          <w:sz w:val="21"/>
          <w:szCs w:val="21"/>
          <w:color w:val="002060"/>
        </w:rPr>
        <w:t xml:space="preserve">”), shall automatically be Participants; provided, however, that if an Eligible Employee is party to an employment agreement, letter agreement or any other arrangement with the Company providing for severance benefits, such Eligible Employee will not become a Participant until he or she executes a Participation Agreement with the Company in the form attached hereto as </w:t>
      </w:r>
      <w:r>
        <w:rPr>
          <w:rFonts w:ascii="Times New Roman" w:cs="Times New Roman" w:eastAsia="Times New Roman" w:hAnsi="Times New Roman"/>
          <w:sz w:val="21"/>
          <w:szCs w:val="21"/>
          <w:u w:val="single" w:color="auto"/>
          <w:color w:val="002060"/>
        </w:rPr>
        <w:t>Exhibit B</w:t>
      </w:r>
      <w:r>
        <w:rPr>
          <w:rFonts w:ascii="Times New Roman" w:cs="Times New Roman" w:eastAsia="Times New Roman" w:hAnsi="Times New Roman"/>
          <w:sz w:val="21"/>
          <w:szCs w:val="21"/>
          <w:color w:val="002060"/>
        </w:rPr>
        <w:t>. If an employee ceases to hold a position qualifying as an Eligible Employee, then such employee shall no longer be a Participant with no further action required on the part of the Company or such employee, effective as of the date such employee ceases to hold a position qualifying as an Eligible Employee.</w:t>
      </w:r>
    </w:p>
    <w:p>
      <w:pPr>
        <w:spacing w:after="0" w:line="190" w:lineRule="exact"/>
        <w:rPr>
          <w:rFonts w:ascii="Times New Roman" w:cs="Times New Roman" w:eastAsia="Times New Roman" w:hAnsi="Times New Roman"/>
          <w:sz w:val="21"/>
          <w:szCs w:val="21"/>
          <w:color w:val="002060"/>
        </w:rPr>
      </w:pPr>
    </w:p>
    <w:p>
      <w:pPr>
        <w:jc w:val="both"/>
        <w:ind w:left="1500" w:hanging="743"/>
        <w:spacing w:after="0" w:line="255" w:lineRule="auto"/>
        <w:tabs>
          <w:tab w:leader="none" w:pos="1500" w:val="left"/>
        </w:tabs>
        <w:numPr>
          <w:ilvl w:val="1"/>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Unless otherwise determined by the Committee, Participants in Tier 1 shall include all “officers” of the Company under Section 16 of the Securities Exchange Act of 1934, other than the Chief Executive Officer of the Company, and Participants in Tier 2 shall include all other Eligible Employees.</w:t>
      </w:r>
    </w:p>
    <w:p>
      <w:pPr>
        <w:spacing w:after="0" w:line="173"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Severance Benefits</w:t>
      </w:r>
      <w:r>
        <w:rPr>
          <w:rFonts w:ascii="Times New Roman" w:cs="Times New Roman" w:eastAsia="Times New Roman" w:hAnsi="Times New Roman"/>
          <w:sz w:val="21"/>
          <w:szCs w:val="21"/>
          <w:color w:val="002060"/>
        </w:rPr>
        <w:t>.</w:t>
      </w:r>
    </w:p>
    <w:p>
      <w:pPr>
        <w:spacing w:after="0" w:line="219" w:lineRule="exact"/>
        <w:rPr>
          <w:rFonts w:ascii="Times New Roman" w:cs="Times New Roman" w:eastAsia="Times New Roman" w:hAnsi="Times New Roman"/>
          <w:sz w:val="21"/>
          <w:szCs w:val="21"/>
          <w:color w:val="002060"/>
        </w:rPr>
      </w:pPr>
    </w:p>
    <w:p>
      <w:pPr>
        <w:ind w:left="1500" w:right="20" w:hanging="743"/>
        <w:spacing w:after="0" w:line="270" w:lineRule="auto"/>
        <w:tabs>
          <w:tab w:leader="none" w:pos="1500" w:val="left"/>
        </w:tabs>
        <w:numPr>
          <w:ilvl w:val="1"/>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Qualifying Termination</w:t>
      </w:r>
      <w:r>
        <w:rPr>
          <w:rFonts w:ascii="Times New Roman" w:cs="Times New Roman" w:eastAsia="Times New Roman" w:hAnsi="Times New Roman"/>
          <w:sz w:val="21"/>
          <w:szCs w:val="21"/>
          <w:color w:val="002060"/>
        </w:rPr>
        <w:t xml:space="preserve">. Upon a Participant’s Qualifying Termination, subject to </w:t>
      </w:r>
      <w:r>
        <w:rPr>
          <w:rFonts w:ascii="Times New Roman" w:cs="Times New Roman" w:eastAsia="Times New Roman" w:hAnsi="Times New Roman"/>
          <w:sz w:val="21"/>
          <w:szCs w:val="21"/>
          <w:u w:val="single" w:color="auto"/>
          <w:color w:val="002060"/>
        </w:rPr>
        <w:t>Section 5(c)</w:t>
      </w:r>
      <w:r>
        <w:rPr>
          <w:rFonts w:ascii="Times New Roman" w:cs="Times New Roman" w:eastAsia="Times New Roman" w:hAnsi="Times New Roman"/>
          <w:sz w:val="21"/>
          <w:szCs w:val="21"/>
          <w:color w:val="002060"/>
        </w:rPr>
        <w:t>, such Participant will receive the Severance Benefits.</w:t>
      </w:r>
    </w:p>
    <w:p>
      <w:pPr>
        <w:spacing w:after="0" w:line="158" w:lineRule="exact"/>
        <w:rPr>
          <w:rFonts w:ascii="Times New Roman" w:cs="Times New Roman" w:eastAsia="Times New Roman" w:hAnsi="Times New Roman"/>
          <w:sz w:val="21"/>
          <w:szCs w:val="21"/>
          <w:color w:val="002060"/>
        </w:rPr>
      </w:pPr>
    </w:p>
    <w:p>
      <w:pPr>
        <w:ind w:left="1500" w:hanging="743"/>
        <w:spacing w:after="0" w:line="295" w:lineRule="auto"/>
        <w:tabs>
          <w:tab w:leader="none" w:pos="1500" w:val="left"/>
        </w:tabs>
        <w:numPr>
          <w:ilvl w:val="1"/>
          <w:numId w:val="16"/>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Other Termination</w:t>
      </w:r>
      <w:r>
        <w:rPr>
          <w:rFonts w:ascii="Times New Roman" w:cs="Times New Roman" w:eastAsia="Times New Roman" w:hAnsi="Times New Roman"/>
          <w:sz w:val="20"/>
          <w:szCs w:val="20"/>
          <w:color w:val="002060"/>
        </w:rPr>
        <w:t>. In the event that a Participant’s employment is terminated other than as the result of a Qualifying Termination, then such Participant shall not be entitled to receive any payments or benefits under this Plan.</w:t>
      </w:r>
    </w:p>
    <w:p>
      <w:pPr>
        <w:spacing w:after="0" w:line="136" w:lineRule="exact"/>
        <w:rPr>
          <w:rFonts w:ascii="Times New Roman" w:cs="Times New Roman" w:eastAsia="Times New Roman" w:hAnsi="Times New Roman"/>
          <w:sz w:val="20"/>
          <w:szCs w:val="20"/>
          <w:color w:val="002060"/>
        </w:rPr>
      </w:pPr>
    </w:p>
    <w:p>
      <w:pPr>
        <w:jc w:val="both"/>
        <w:ind w:left="1500" w:hanging="743"/>
        <w:spacing w:after="0" w:line="255" w:lineRule="auto"/>
        <w:tabs>
          <w:tab w:leader="none" w:pos="1500" w:val="left"/>
        </w:tabs>
        <w:numPr>
          <w:ilvl w:val="1"/>
          <w:numId w:val="16"/>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Release of Claims</w:t>
      </w:r>
      <w:r>
        <w:rPr>
          <w:rFonts w:ascii="Times New Roman" w:cs="Times New Roman" w:eastAsia="Times New Roman" w:hAnsi="Times New Roman"/>
          <w:sz w:val="21"/>
          <w:szCs w:val="21"/>
          <w:color w:val="002060"/>
        </w:rPr>
        <w:t>. Payment of the Severance Benefits shall be subject to (i) the Participant’s execution (and non-revocation) of a general release of claims in a form provided by the Company (the “</w:t>
      </w:r>
      <w:r>
        <w:rPr>
          <w:rFonts w:ascii="Times New Roman" w:cs="Times New Roman" w:eastAsia="Times New Roman" w:hAnsi="Times New Roman"/>
          <w:sz w:val="21"/>
          <w:szCs w:val="21"/>
          <w:b w:val="1"/>
          <w:bCs w:val="1"/>
          <w:i w:val="1"/>
          <w:iCs w:val="1"/>
          <w:color w:val="002060"/>
        </w:rPr>
        <w:t>Release</w:t>
      </w:r>
      <w:r>
        <w:rPr>
          <w:rFonts w:ascii="Times New Roman" w:cs="Times New Roman" w:eastAsia="Times New Roman" w:hAnsi="Times New Roman"/>
          <w:sz w:val="21"/>
          <w:szCs w:val="21"/>
          <w:color w:val="002060"/>
        </w:rPr>
        <w:t>”) within the time period specified therein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206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3" w:name="page34"/>
    <w:bookmarkEnd w:id="33"/>
    <w:p>
      <w:pPr>
        <w:ind w:left="1500"/>
        <w:spacing w:after="0"/>
        <w:rPr>
          <w:sz w:val="20"/>
          <w:szCs w:val="20"/>
          <w:color w:val="auto"/>
        </w:rPr>
      </w:pPr>
      <w:r>
        <w:rPr>
          <w:rFonts w:ascii="Times New Roman" w:cs="Times New Roman" w:eastAsia="Times New Roman" w:hAnsi="Times New Roman"/>
          <w:sz w:val="21"/>
          <w:szCs w:val="21"/>
          <w:color w:val="002060"/>
        </w:rPr>
        <w:t>(ii) the Participant’s continued compliance with the Participant’s Confidentiality Agreement.</w:t>
      </w:r>
    </w:p>
    <w:p>
      <w:pPr>
        <w:spacing w:after="0" w:line="217" w:lineRule="exact"/>
        <w:rPr>
          <w:sz w:val="20"/>
          <w:szCs w:val="20"/>
          <w:color w:val="auto"/>
        </w:rPr>
      </w:pPr>
    </w:p>
    <w:p>
      <w:pPr>
        <w:jc w:val="both"/>
        <w:ind w:left="1500" w:hanging="743"/>
        <w:spacing w:after="0" w:line="255" w:lineRule="auto"/>
        <w:tabs>
          <w:tab w:leader="none" w:pos="1500" w:val="left"/>
        </w:tabs>
        <w:numPr>
          <w:ilvl w:val="1"/>
          <w:numId w:val="17"/>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Repayment of Severance Benefits</w:t>
      </w:r>
      <w:r>
        <w:rPr>
          <w:rFonts w:ascii="Times New Roman" w:cs="Times New Roman" w:eastAsia="Times New Roman" w:hAnsi="Times New Roman"/>
          <w:sz w:val="21"/>
          <w:szCs w:val="21"/>
          <w:color w:val="002060"/>
        </w:rPr>
        <w:t>. If, following the Participant’s receipt of all or any portion of the Severance Benefits, it is determined that no Qualifying Termination occurred, the Participant must repay to the Company all Severance Benefits received.</w:t>
      </w:r>
    </w:p>
    <w:p>
      <w:pPr>
        <w:spacing w:after="0" w:line="175" w:lineRule="exact"/>
        <w:rPr>
          <w:rFonts w:ascii="Times New Roman" w:cs="Times New Roman" w:eastAsia="Times New Roman" w:hAnsi="Times New Roman"/>
          <w:sz w:val="21"/>
          <w:szCs w:val="21"/>
          <w:color w:val="002060"/>
        </w:rPr>
      </w:pPr>
    </w:p>
    <w:p>
      <w:pPr>
        <w:ind w:left="1500" w:hanging="743"/>
        <w:spacing w:after="0"/>
        <w:tabs>
          <w:tab w:leader="none" w:pos="1500" w:val="left"/>
        </w:tabs>
        <w:numPr>
          <w:ilvl w:val="1"/>
          <w:numId w:val="17"/>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Offset of Severance Benefits</w:t>
      </w:r>
      <w:r>
        <w:rPr>
          <w:rFonts w:ascii="Times New Roman" w:cs="Times New Roman" w:eastAsia="Times New Roman" w:hAnsi="Times New Roman"/>
          <w:sz w:val="21"/>
          <w:szCs w:val="21"/>
          <w:color w:val="002060"/>
        </w:rPr>
        <w:t>.</w:t>
      </w:r>
    </w:p>
    <w:p>
      <w:pPr>
        <w:spacing w:after="0" w:line="217" w:lineRule="exact"/>
        <w:rPr>
          <w:rFonts w:ascii="Times New Roman" w:cs="Times New Roman" w:eastAsia="Times New Roman" w:hAnsi="Times New Roman"/>
          <w:sz w:val="21"/>
          <w:szCs w:val="21"/>
          <w:color w:val="002060"/>
        </w:rPr>
      </w:pPr>
    </w:p>
    <w:p>
      <w:pPr>
        <w:jc w:val="both"/>
        <w:ind w:left="1500" w:right="20"/>
        <w:spacing w:after="0" w:line="251" w:lineRule="auto"/>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If following the Participant’s Termination Date, the Company wishes to rehire, in any capacity, any Participant who is receiving Severance Benefits and such Participant accepts the Company’s offer of employment, the Company will no longer pay any further installments of the Cash Severance and the Participant will no longer be eligible for the COBRA Subsidy following the date the Participant becomes reemployed by the Company.</w:t>
      </w:r>
    </w:p>
    <w:p>
      <w:pPr>
        <w:spacing w:after="0" w:line="175"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Administration.</w:t>
      </w:r>
    </w:p>
    <w:p>
      <w:pPr>
        <w:spacing w:after="0" w:line="219" w:lineRule="exact"/>
        <w:rPr>
          <w:rFonts w:ascii="Times New Roman" w:cs="Times New Roman" w:eastAsia="Times New Roman" w:hAnsi="Times New Roman"/>
          <w:sz w:val="21"/>
          <w:szCs w:val="21"/>
          <w:color w:val="002060"/>
        </w:rPr>
      </w:pPr>
    </w:p>
    <w:p>
      <w:pPr>
        <w:jc w:val="both"/>
        <w:ind w:left="1500" w:hanging="743"/>
        <w:spacing w:after="0" w:line="251" w:lineRule="auto"/>
        <w:tabs>
          <w:tab w:leader="none" w:pos="1500" w:val="left"/>
        </w:tabs>
        <w:numPr>
          <w:ilvl w:val="1"/>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In the event of any conflict or inconsistency between another document and the terms of the Plan, the terms and conditions of the Plan shall govern and control; provided, however, that a Participant’s Participation Agreement will govern their participation in the Plan to the extent of any conflict between such Participation Agreement and the Plan.</w:t>
      </w:r>
    </w:p>
    <w:p>
      <w:pPr>
        <w:spacing w:after="0" w:line="177" w:lineRule="exact"/>
        <w:rPr>
          <w:rFonts w:ascii="Times New Roman" w:cs="Times New Roman" w:eastAsia="Times New Roman" w:hAnsi="Times New Roman"/>
          <w:sz w:val="21"/>
          <w:szCs w:val="21"/>
          <w:color w:val="002060"/>
        </w:rPr>
      </w:pPr>
    </w:p>
    <w:p>
      <w:pPr>
        <w:jc w:val="both"/>
        <w:ind w:left="1500" w:hanging="743"/>
        <w:spacing w:after="0" w:line="255" w:lineRule="auto"/>
        <w:tabs>
          <w:tab w:leader="none" w:pos="1500" w:val="left"/>
        </w:tabs>
        <w:numPr>
          <w:ilvl w:val="1"/>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The Plan shall be administered by the Committee in its sole and absolute discretion, and all determinations by the Committee shall be final, binding and conclusive on all parties and be given the maximum possible deference allowed by law.</w:t>
      </w:r>
    </w:p>
    <w:p>
      <w:pPr>
        <w:spacing w:after="0" w:line="175" w:lineRule="exact"/>
        <w:rPr>
          <w:rFonts w:ascii="Times New Roman" w:cs="Times New Roman" w:eastAsia="Times New Roman" w:hAnsi="Times New Roman"/>
          <w:sz w:val="21"/>
          <w:szCs w:val="21"/>
          <w:color w:val="002060"/>
        </w:rPr>
      </w:pPr>
    </w:p>
    <w:p>
      <w:pPr>
        <w:jc w:val="both"/>
        <w:ind w:left="1500" w:hanging="743"/>
        <w:spacing w:after="0" w:line="246" w:lineRule="auto"/>
        <w:tabs>
          <w:tab w:leader="none" w:pos="1500" w:val="left"/>
        </w:tabs>
        <w:numPr>
          <w:ilvl w:val="1"/>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The Committee shall have the authority, consistent with the terms of the Plan, to (i) designate Participants, (ii) determine the terms and conditions relating to the Severance Benefit, if any, (iii) interpret, administer, reconcile any inconsistency, correct any defect and/or supply any omission in the Plan, (iv) establish, amend, suspend or waive any rules and procedures with respect to the Plan, and (v) make any other determination and take any other action that the Committee deems necessary or desirable for administration of the Plan, including the timing and amount of payments. The Committee may delegate to one or more officers of the Company the authority to act on behalf of the Committee.</w:t>
      </w:r>
    </w:p>
    <w:p>
      <w:pPr>
        <w:spacing w:after="0" w:line="182" w:lineRule="exact"/>
        <w:rPr>
          <w:rFonts w:ascii="Times New Roman" w:cs="Times New Roman" w:eastAsia="Times New Roman" w:hAnsi="Times New Roman"/>
          <w:sz w:val="21"/>
          <w:szCs w:val="21"/>
          <w:color w:val="002060"/>
        </w:rPr>
      </w:pPr>
    </w:p>
    <w:p>
      <w:pPr>
        <w:jc w:val="both"/>
        <w:ind w:left="760" w:hanging="752"/>
        <w:spacing w:after="0" w:line="256" w:lineRule="auto"/>
        <w:tabs>
          <w:tab w:leader="none" w:pos="760" w:val="left"/>
        </w:tabs>
        <w:numPr>
          <w:ilvl w:val="0"/>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Funding. </w:t>
      </w:r>
      <w:r>
        <w:rPr>
          <w:rFonts w:ascii="Times New Roman" w:cs="Times New Roman" w:eastAsia="Times New Roman" w:hAnsi="Times New Roman"/>
          <w:sz w:val="21"/>
          <w:szCs w:val="21"/>
          <w:color w:val="002060"/>
        </w:rPr>
        <w:t>The obligations of the Company under the Plan are not funded through contributions to a trust or otherwise, and all</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benefits shall be payable from the general assets of the Company. Nothing contained in the Plan shall give a Participant any right, title or interest in any property of the Company. Participants shall be mere unsecured creditors of the Company.</w:t>
      </w:r>
    </w:p>
    <w:p>
      <w:pPr>
        <w:spacing w:after="0" w:line="172"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Section 409A.</w:t>
      </w:r>
    </w:p>
    <w:p>
      <w:pPr>
        <w:spacing w:after="0" w:line="219" w:lineRule="exact"/>
        <w:rPr>
          <w:rFonts w:ascii="Times New Roman" w:cs="Times New Roman" w:eastAsia="Times New Roman" w:hAnsi="Times New Roman"/>
          <w:sz w:val="21"/>
          <w:szCs w:val="21"/>
          <w:color w:val="002060"/>
        </w:rPr>
      </w:pPr>
    </w:p>
    <w:p>
      <w:pPr>
        <w:jc w:val="both"/>
        <w:ind w:left="1500" w:hanging="743"/>
        <w:spacing w:after="0" w:line="255" w:lineRule="auto"/>
        <w:tabs>
          <w:tab w:leader="none" w:pos="1500" w:val="left"/>
        </w:tabs>
        <w:numPr>
          <w:ilvl w:val="1"/>
          <w:numId w:val="18"/>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Compliance</w:t>
      </w:r>
      <w:r>
        <w:rPr>
          <w:rFonts w:ascii="Times New Roman" w:cs="Times New Roman" w:eastAsia="Times New Roman" w:hAnsi="Times New Roman"/>
          <w:sz w:val="21"/>
          <w:szCs w:val="21"/>
          <w:color w:val="002060"/>
        </w:rPr>
        <w:t>. Notwithstanding anything herein to the contrary, this Plan is intended to be interpreted and applied so that the payments and benefits set forth herein either shall be exempt from the requirements of Section 409A of the Code or shall comply with the requirements of Section 409A of the Code, and accordingly, to the maximum extent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206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4" w:name="page35"/>
    <w:bookmarkEnd w:id="34"/>
    <w:p>
      <w:pPr>
        <w:jc w:val="both"/>
        <w:ind w:left="1500"/>
        <w:spacing w:after="0" w:line="257" w:lineRule="auto"/>
        <w:rPr>
          <w:sz w:val="20"/>
          <w:szCs w:val="20"/>
          <w:color w:val="auto"/>
        </w:rPr>
      </w:pPr>
      <w:r>
        <w:rPr>
          <w:rFonts w:ascii="Times New Roman" w:cs="Times New Roman" w:eastAsia="Times New Roman" w:hAnsi="Times New Roman"/>
          <w:sz w:val="20"/>
          <w:szCs w:val="20"/>
          <w:color w:val="002060"/>
        </w:rPr>
        <w:t>permitted, this Plan shall be interpreted to be exempt from or in compliance with Section 409A of the Code. To the extent that the Company determines that any provision of this Plan would cause a Participant to incur any additional tax or interest under Section 409A of the Code, the Company shall be entitled to reform such provision to attempt to comply with or be exempt from Section 409A of the Code. To the extent that any provision hereof is modified in order to comply with Section 409A of the Code, such modification shall be made in good faith and shall, to the maximum extent reasonably possible, maintain the original intent and economic benefit to Participants and the Company without violating the provisions of Section 409A of the Code. Notwithstanding any of the foregoing to the contrary, none of the Company or its Affiliates or any of their officers, directors, members, employees, agents, advisors, predecessors, successors, or equity holders shall have any liability for the failure of this Plan to be exempt from, or to comply with, the requirements of Section 409A of the Code. Each payment and/or benefit provided hereunder shall be a payment in a series of separate payments for purposes of Section 409A of the Code.</w:t>
      </w:r>
    </w:p>
    <w:p>
      <w:pPr>
        <w:spacing w:after="0" w:line="180" w:lineRule="exact"/>
        <w:rPr>
          <w:sz w:val="20"/>
          <w:szCs w:val="20"/>
          <w:color w:val="auto"/>
        </w:rPr>
      </w:pPr>
    </w:p>
    <w:p>
      <w:pPr>
        <w:jc w:val="both"/>
        <w:ind w:left="1500" w:hanging="743"/>
        <w:spacing w:after="0" w:line="255" w:lineRule="auto"/>
        <w:tabs>
          <w:tab w:leader="none" w:pos="1500" w:val="left"/>
        </w:tabs>
        <w:numPr>
          <w:ilvl w:val="1"/>
          <w:numId w:val="19"/>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Separation from Service</w:t>
      </w:r>
      <w:r>
        <w:rPr>
          <w:rFonts w:ascii="Times New Roman" w:cs="Times New Roman" w:eastAsia="Times New Roman" w:hAnsi="Times New Roman"/>
          <w:sz w:val="21"/>
          <w:szCs w:val="21"/>
          <w:color w:val="002060"/>
        </w:rPr>
        <w:t>. Notwithstanding anything in this Plan to the contrary, a termination of employment shall not be deemed to have occurred for purposes of any provision of this Plan unless such termination is also a “separation from service” within the meaning of Section 409A of the Code.</w:t>
      </w:r>
    </w:p>
    <w:p>
      <w:pPr>
        <w:spacing w:after="0" w:line="175" w:lineRule="exact"/>
        <w:rPr>
          <w:rFonts w:ascii="Times New Roman" w:cs="Times New Roman" w:eastAsia="Times New Roman" w:hAnsi="Times New Roman"/>
          <w:sz w:val="21"/>
          <w:szCs w:val="21"/>
          <w:color w:val="002060"/>
        </w:rPr>
      </w:pPr>
    </w:p>
    <w:p>
      <w:pPr>
        <w:jc w:val="both"/>
        <w:ind w:left="1500" w:hanging="743"/>
        <w:spacing w:after="0" w:line="245" w:lineRule="auto"/>
        <w:tabs>
          <w:tab w:leader="none" w:pos="1500" w:val="left"/>
        </w:tabs>
        <w:numPr>
          <w:ilvl w:val="1"/>
          <w:numId w:val="19"/>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Specified Employee</w:t>
      </w:r>
      <w:r>
        <w:rPr>
          <w:rFonts w:ascii="Times New Roman" w:cs="Times New Roman" w:eastAsia="Times New Roman" w:hAnsi="Times New Roman"/>
          <w:sz w:val="21"/>
          <w:szCs w:val="21"/>
          <w:color w:val="002060"/>
        </w:rPr>
        <w:t>. Notwithstanding anything in this Plan to the contrary, if a Participant is deemed to be a “specified employee” within the meaning of Section 409A of the Code, any payments or benefits due upon a termination of Participant’s employment under any arrangement that constitutes a “deferral of compensation” within the meaning of Section 409A of the Code (whether under this Plan or any other plan, program or payroll practice) and which do not otherwise qualify under the exemptions under Treasury Regulations Section 1.409A-1 (including the short-term deferral exemption and the permitted payments under Treasury Regulations Section 1.409A-1(b)(9) (iii)(A)), shall be delayed and paid or provided to Participant in a lump sum on the earlier of (i) the date which is six months and one day after Participant’s “separation from service” (as such term is defined in Section 409A of the Code) for any reason other than death, and (ii) the date of Participant’s death.</w:t>
      </w:r>
    </w:p>
    <w:p>
      <w:pPr>
        <w:spacing w:after="0" w:line="182" w:lineRule="exact"/>
        <w:rPr>
          <w:rFonts w:ascii="Times New Roman" w:cs="Times New Roman" w:eastAsia="Times New Roman" w:hAnsi="Times New Roman"/>
          <w:sz w:val="21"/>
          <w:szCs w:val="21"/>
          <w:color w:val="002060"/>
        </w:rPr>
      </w:pPr>
    </w:p>
    <w:p>
      <w:pPr>
        <w:jc w:val="both"/>
        <w:ind w:left="760" w:hanging="752"/>
        <w:spacing w:after="0" w:line="246" w:lineRule="auto"/>
        <w:tabs>
          <w:tab w:leader="none" w:pos="760" w:val="left"/>
        </w:tabs>
        <w:numPr>
          <w:ilvl w:val="0"/>
          <w:numId w:val="20"/>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Amendment or Termination. </w:t>
      </w:r>
      <w:r>
        <w:rPr>
          <w:rFonts w:ascii="Times New Roman" w:cs="Times New Roman" w:eastAsia="Times New Roman" w:hAnsi="Times New Roman"/>
          <w:sz w:val="21"/>
          <w:szCs w:val="21"/>
          <w:color w:val="002060"/>
        </w:rPr>
        <w:t>The Committee may amend or terminate the Plan at any time, without notice, and for any or</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no reason, except as prohibited by law. Any action of the Company in amending or terminating the Plan will be taken in a non-fiduciary capacity. During a 24-month period beginning on a Change in Control, the Company and the Committee may not, without a Participant’s written consent, amend or terminate the Plan in any way, nor take any other action, that (i) prevents the Participant from becoming eligible for Severance Benefits under the Plan, or (ii) reduces or alters to the detriment of the Participant the Severance Benefits payable, or potentially payable, to a Participant under the Plan (including imposing additional conditions).</w:t>
      </w:r>
    </w:p>
    <w:p>
      <w:pPr>
        <w:spacing w:after="0" w:line="184" w:lineRule="exact"/>
        <w:rPr>
          <w:rFonts w:ascii="Times New Roman" w:cs="Times New Roman" w:eastAsia="Times New Roman" w:hAnsi="Times New Roman"/>
          <w:sz w:val="21"/>
          <w:szCs w:val="21"/>
          <w:color w:val="002060"/>
        </w:rPr>
      </w:pPr>
    </w:p>
    <w:p>
      <w:pPr>
        <w:jc w:val="both"/>
        <w:ind w:left="760" w:hanging="752"/>
        <w:spacing w:after="0" w:line="256" w:lineRule="auto"/>
        <w:tabs>
          <w:tab w:leader="none" w:pos="760" w:val="left"/>
        </w:tabs>
        <w:numPr>
          <w:ilvl w:val="0"/>
          <w:numId w:val="20"/>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At-Will Employment. </w:t>
      </w:r>
      <w:r>
        <w:rPr>
          <w:rFonts w:ascii="Times New Roman" w:cs="Times New Roman" w:eastAsia="Times New Roman" w:hAnsi="Times New Roman"/>
          <w:sz w:val="21"/>
          <w:szCs w:val="21"/>
          <w:color w:val="002060"/>
        </w:rPr>
        <w:t>Nothing in this Plan or any other act of the Company shall be considered effective to change a</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Participant’s status as an at-will employee or guarantee any duration of employment. Either the Company or a Participant may terminate the employment relationship at any time, for any reason or no reason, and with or without advance notice.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206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5" w:name="page36"/>
    <w:bookmarkEnd w:id="35"/>
    <w:p>
      <w:pPr>
        <w:jc w:val="both"/>
        <w:ind w:left="760" w:hanging="752"/>
        <w:spacing w:after="0" w:line="256" w:lineRule="auto"/>
        <w:tabs>
          <w:tab w:leader="none" w:pos="760" w:val="left"/>
        </w:tabs>
        <w:numPr>
          <w:ilvl w:val="0"/>
          <w:numId w:val="2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Transfer and Assignment. </w:t>
      </w:r>
      <w:r>
        <w:rPr>
          <w:rFonts w:ascii="Times New Roman" w:cs="Times New Roman" w:eastAsia="Times New Roman" w:hAnsi="Times New Roman"/>
          <w:sz w:val="21"/>
          <w:szCs w:val="21"/>
          <w:color w:val="002060"/>
        </w:rPr>
        <w:t>In no event may any Participant sell, transfer, anticipate, assign, encumber or otherwise dispose</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of any right or interest under the Plan. At no time will any such right or interest be subject to the claims of creditors or liable to attachment, execution, or other legal process.</w:t>
      </w:r>
    </w:p>
    <w:p>
      <w:pPr>
        <w:spacing w:after="0" w:line="172" w:lineRule="exact"/>
        <w:rPr>
          <w:rFonts w:ascii="Times New Roman" w:cs="Times New Roman" w:eastAsia="Times New Roman" w:hAnsi="Times New Roman"/>
          <w:sz w:val="21"/>
          <w:szCs w:val="21"/>
          <w:color w:val="002060"/>
        </w:rPr>
      </w:pPr>
    </w:p>
    <w:p>
      <w:pPr>
        <w:ind w:left="760" w:hanging="752"/>
        <w:spacing w:after="0" w:line="272" w:lineRule="auto"/>
        <w:tabs>
          <w:tab w:leader="none" w:pos="760" w:val="left"/>
        </w:tabs>
        <w:numPr>
          <w:ilvl w:val="0"/>
          <w:numId w:val="2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Severability. </w:t>
      </w:r>
      <w:r>
        <w:rPr>
          <w:rFonts w:ascii="Times New Roman" w:cs="Times New Roman" w:eastAsia="Times New Roman" w:hAnsi="Times New Roman"/>
          <w:sz w:val="21"/>
          <w:szCs w:val="21"/>
          <w:color w:val="002060"/>
        </w:rPr>
        <w:t>If any provision of the Plan is held invalid or unenforceable, its invalidity or unenforceability will not affect</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any other provision of the Plan, and the Plan will be construed and enforced as if such provision had not been included.</w:t>
      </w:r>
    </w:p>
    <w:p>
      <w:pPr>
        <w:spacing w:after="0" w:line="154" w:lineRule="exact"/>
        <w:rPr>
          <w:rFonts w:ascii="Times New Roman" w:cs="Times New Roman" w:eastAsia="Times New Roman" w:hAnsi="Times New Roman"/>
          <w:sz w:val="21"/>
          <w:szCs w:val="21"/>
          <w:color w:val="002060"/>
        </w:rPr>
      </w:pPr>
    </w:p>
    <w:p>
      <w:pPr>
        <w:jc w:val="both"/>
        <w:ind w:left="760" w:hanging="752"/>
        <w:spacing w:after="0" w:line="247" w:lineRule="auto"/>
        <w:tabs>
          <w:tab w:leader="none" w:pos="760" w:val="left"/>
        </w:tabs>
        <w:numPr>
          <w:ilvl w:val="0"/>
          <w:numId w:val="2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Successors. </w:t>
      </w:r>
      <w:r>
        <w:rPr>
          <w:rFonts w:ascii="Times New Roman" w:cs="Times New Roman" w:eastAsia="Times New Roman" w:hAnsi="Times New Roman"/>
          <w:sz w:val="21"/>
          <w:szCs w:val="21"/>
          <w:color w:val="002060"/>
        </w:rPr>
        <w:t>Any successor to the Company of all or substantially all of the Company’s business and/or assets (whether direct</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82" w:lineRule="exact"/>
        <w:rPr>
          <w:rFonts w:ascii="Times New Roman" w:cs="Times New Roman" w:eastAsia="Times New Roman" w:hAnsi="Times New Roman"/>
          <w:sz w:val="21"/>
          <w:szCs w:val="21"/>
          <w:color w:val="002060"/>
        </w:rPr>
      </w:pPr>
    </w:p>
    <w:p>
      <w:pPr>
        <w:ind w:left="760" w:hanging="752"/>
        <w:spacing w:after="0" w:line="272" w:lineRule="auto"/>
        <w:tabs>
          <w:tab w:leader="none" w:pos="760" w:val="left"/>
        </w:tabs>
        <w:numPr>
          <w:ilvl w:val="0"/>
          <w:numId w:val="2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Withholding; Taxes. </w:t>
      </w:r>
      <w:r>
        <w:rPr>
          <w:rFonts w:ascii="Times New Roman" w:cs="Times New Roman" w:eastAsia="Times New Roman" w:hAnsi="Times New Roman"/>
          <w:sz w:val="21"/>
          <w:szCs w:val="21"/>
          <w:color w:val="002060"/>
        </w:rPr>
        <w:t>The Company shall withhold from any Severance Benefits all federal, state and local income or other</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taxes required to be withheld therefrom and any other required payroll deductions.</w:t>
      </w:r>
    </w:p>
    <w:p>
      <w:pPr>
        <w:spacing w:after="0" w:line="154" w:lineRule="exact"/>
        <w:rPr>
          <w:rFonts w:ascii="Times New Roman" w:cs="Times New Roman" w:eastAsia="Times New Roman" w:hAnsi="Times New Roman"/>
          <w:sz w:val="21"/>
          <w:szCs w:val="21"/>
          <w:color w:val="002060"/>
        </w:rPr>
      </w:pPr>
    </w:p>
    <w:p>
      <w:pPr>
        <w:ind w:left="760" w:hanging="752"/>
        <w:spacing w:after="0" w:line="272" w:lineRule="auto"/>
        <w:tabs>
          <w:tab w:leader="none" w:pos="760" w:val="left"/>
        </w:tabs>
        <w:numPr>
          <w:ilvl w:val="0"/>
          <w:numId w:val="21"/>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Compensation. </w:t>
      </w:r>
      <w:r>
        <w:rPr>
          <w:rFonts w:ascii="Times New Roman" w:cs="Times New Roman" w:eastAsia="Times New Roman" w:hAnsi="Times New Roman"/>
          <w:sz w:val="21"/>
          <w:szCs w:val="21"/>
          <w:color w:val="002060"/>
        </w:rPr>
        <w:t>Benefits payable hereunder shall not constitute compensation under any other plan or arrangement, except as</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expressly provided in such plan or arrangement.</w:t>
      </w:r>
    </w:p>
    <w:p>
      <w:pPr>
        <w:spacing w:after="0" w:line="154" w:lineRule="exact"/>
        <w:rPr>
          <w:rFonts w:ascii="Times New Roman" w:cs="Times New Roman" w:eastAsia="Times New Roman" w:hAnsi="Times New Roman"/>
          <w:sz w:val="21"/>
          <w:szCs w:val="21"/>
          <w:color w:val="002060"/>
        </w:rPr>
      </w:pPr>
    </w:p>
    <w:p>
      <w:pPr>
        <w:jc w:val="both"/>
        <w:ind w:left="760" w:hanging="752"/>
        <w:spacing w:after="0" w:line="259" w:lineRule="auto"/>
        <w:tabs>
          <w:tab w:leader="none" w:pos="760" w:val="left"/>
        </w:tabs>
        <w:numPr>
          <w:ilvl w:val="0"/>
          <w:numId w:val="21"/>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b w:val="1"/>
          <w:bCs w:val="1"/>
          <w:color w:val="002060"/>
        </w:rPr>
        <w:t xml:space="preserve">Interpretation. </w:t>
      </w:r>
      <w:r>
        <w:rPr>
          <w:rFonts w:ascii="Times New Roman" w:cs="Times New Roman" w:eastAsia="Times New Roman" w:hAnsi="Times New Roman"/>
          <w:sz w:val="20"/>
          <w:szCs w:val="20"/>
          <w:color w:val="002060"/>
        </w:rPr>
        <w:t>Titles and headings to Sections hereof are for the purpose of reference only and shall in no way limit, define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or otherwise affect the provisions hereof. Unless the context requires otherwise, all references to laws, regulations, contracts, agreements, plans and instruments refer to such laws, regulations, contracts, agreements, plans and instruments as they may be amended from time to time, and references to particular provisions of laws or regulations include a reference to the corresponding provisions of any succeeding law or regulation. All references to “dollars” or “$” in the Plan refer to United States dollars. The word “or” is not exclusive. The words “herein”, “hereof”, “hereunder” and other compounds of the word “here” shall refer to the entire Plan, including all Exhibits attached hereto, and not to any particular provision hereof. Wherever the context so requires, the masculine gender includes the feminine or neuter, and the singular number includes the plural and conversely. All references to “including” shall be construed as meaning “including without limitation.”</w:t>
      </w:r>
    </w:p>
    <w:p>
      <w:pPr>
        <w:spacing w:after="0" w:line="169" w:lineRule="exact"/>
        <w:rPr>
          <w:rFonts w:ascii="Times New Roman" w:cs="Times New Roman" w:eastAsia="Times New Roman" w:hAnsi="Times New Roman"/>
          <w:sz w:val="20"/>
          <w:szCs w:val="20"/>
          <w:color w:val="002060"/>
        </w:rPr>
      </w:pPr>
    </w:p>
    <w:p>
      <w:pPr>
        <w:jc w:val="both"/>
        <w:ind w:left="760" w:hanging="752"/>
        <w:spacing w:after="0" w:line="260" w:lineRule="auto"/>
        <w:tabs>
          <w:tab w:leader="none" w:pos="760" w:val="left"/>
        </w:tabs>
        <w:numPr>
          <w:ilvl w:val="0"/>
          <w:numId w:val="21"/>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b w:val="1"/>
          <w:bCs w:val="1"/>
          <w:color w:val="002060"/>
        </w:rPr>
        <w:t xml:space="preserve">Entire Agreement. </w:t>
      </w:r>
      <w:r>
        <w:rPr>
          <w:rFonts w:ascii="Times New Roman" w:cs="Times New Roman" w:eastAsia="Times New Roman" w:hAnsi="Times New Roman"/>
          <w:sz w:val="20"/>
          <w:szCs w:val="20"/>
          <w:color w:val="002060"/>
        </w:rPr>
        <w:t>This Plan and the Participation Agreements represent the entire agreement of the Company and the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Participants with respect to the subject matter hereof and supersede all prior understandings, whether written or oral. For the avoidance of doubt, no Participant will be eligible for any other severance benefits under any employment agreement or letter agreement, except as provided under the terms of the Petco Health and Wellness Company, Inc. 2021 Equity Incentive Plan or any successor equity incentive plan adopted by the Company and any award agreements or other agreements governing the terms of awards thereunder. For the avoidance of doubt, this Plan and the Participation Agreement shall not modify any employment agreement or letter agreement with respect to any terms that are not covered by the subject matter hereof.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206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 w:name="page37"/>
    <w:bookmarkEnd w:id="36"/>
    <w:p>
      <w:pPr>
        <w:jc w:val="both"/>
        <w:ind w:left="760" w:hanging="752"/>
        <w:spacing w:after="0" w:line="256" w:lineRule="auto"/>
        <w:tabs>
          <w:tab w:leader="none" w:pos="760" w:val="left"/>
        </w:tabs>
        <w:numPr>
          <w:ilvl w:val="0"/>
          <w:numId w:val="2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Governing Law. </w:t>
      </w:r>
      <w:r>
        <w:rPr>
          <w:rFonts w:ascii="Times New Roman" w:cs="Times New Roman" w:eastAsia="Times New Roman" w:hAnsi="Times New Roman"/>
          <w:sz w:val="21"/>
          <w:szCs w:val="21"/>
          <w:color w:val="002060"/>
        </w:rPr>
        <w:t>The provisions of the Plan will be construed, administered, and enforced in accordance with ERISA and, to</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the extent applicable, the laws of the State of California without regard to its choice of law provisions that would require the application of the laws of a different jurisdiction.</w:t>
      </w:r>
    </w:p>
    <w:p>
      <w:pPr>
        <w:spacing w:after="0" w:line="172" w:lineRule="exact"/>
        <w:rPr>
          <w:rFonts w:ascii="Times New Roman" w:cs="Times New Roman" w:eastAsia="Times New Roman" w:hAnsi="Times New Roman"/>
          <w:sz w:val="21"/>
          <w:szCs w:val="21"/>
          <w:color w:val="002060"/>
        </w:rPr>
      </w:pPr>
    </w:p>
    <w:p>
      <w:pPr>
        <w:ind w:left="760" w:hanging="752"/>
        <w:spacing w:after="0"/>
        <w:tabs>
          <w:tab w:leader="none" w:pos="760" w:val="left"/>
        </w:tabs>
        <w:numPr>
          <w:ilvl w:val="0"/>
          <w:numId w:val="2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Claims and Appeals.</w:t>
      </w:r>
    </w:p>
    <w:p>
      <w:pPr>
        <w:spacing w:after="0" w:line="219" w:lineRule="exact"/>
        <w:rPr>
          <w:rFonts w:ascii="Times New Roman" w:cs="Times New Roman" w:eastAsia="Times New Roman" w:hAnsi="Times New Roman"/>
          <w:sz w:val="21"/>
          <w:szCs w:val="21"/>
          <w:color w:val="002060"/>
        </w:rPr>
      </w:pPr>
    </w:p>
    <w:p>
      <w:pPr>
        <w:jc w:val="both"/>
        <w:ind w:left="1500" w:hanging="743"/>
        <w:spacing w:after="0" w:line="244" w:lineRule="auto"/>
        <w:tabs>
          <w:tab w:leader="none" w:pos="1500" w:val="left"/>
        </w:tabs>
        <w:numPr>
          <w:ilvl w:val="1"/>
          <w:numId w:val="2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Claims Procedure</w:t>
      </w:r>
      <w:r>
        <w:rPr>
          <w:rFonts w:ascii="Times New Roman" w:cs="Times New Roman" w:eastAsia="Times New Roman" w:hAnsi="Times New Roman"/>
          <w:sz w:val="21"/>
          <w:szCs w:val="21"/>
          <w:color w:val="002060"/>
        </w:rPr>
        <w:t>. Any employee or other person who believes he or she is entitled to any payment under the Plan may submit a claim in writing to the Committee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Committee expects to render its decision on the claim.</w:t>
      </w:r>
    </w:p>
    <w:p>
      <w:pPr>
        <w:spacing w:after="0" w:line="190" w:lineRule="exact"/>
        <w:rPr>
          <w:rFonts w:ascii="Times New Roman" w:cs="Times New Roman" w:eastAsia="Times New Roman" w:hAnsi="Times New Roman"/>
          <w:sz w:val="21"/>
          <w:szCs w:val="21"/>
          <w:color w:val="002060"/>
        </w:rPr>
      </w:pPr>
    </w:p>
    <w:p>
      <w:pPr>
        <w:jc w:val="both"/>
        <w:ind w:left="1500" w:hanging="743"/>
        <w:spacing w:after="0" w:line="243" w:lineRule="auto"/>
        <w:tabs>
          <w:tab w:leader="none" w:pos="1500" w:val="left"/>
        </w:tabs>
        <w:numPr>
          <w:ilvl w:val="1"/>
          <w:numId w:val="2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u w:val="single" w:color="auto"/>
          <w:color w:val="002060"/>
        </w:rPr>
        <w:t>Appeal Procedure</w:t>
      </w:r>
      <w:r>
        <w:rPr>
          <w:rFonts w:ascii="Times New Roman" w:cs="Times New Roman" w:eastAsia="Times New Roman" w:hAnsi="Times New Roman"/>
          <w:sz w:val="21"/>
          <w:szCs w:val="21"/>
          <w:color w:val="002060"/>
        </w:rPr>
        <w:t>. If the claimant’s claim is denied, the claimant (or his or her authorized representative) may apply in writing to the Committee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Committee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Committee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92" w:lineRule="exact"/>
        <w:rPr>
          <w:rFonts w:ascii="Times New Roman" w:cs="Times New Roman" w:eastAsia="Times New Roman" w:hAnsi="Times New Roman"/>
          <w:sz w:val="21"/>
          <w:szCs w:val="21"/>
          <w:color w:val="002060"/>
        </w:rPr>
      </w:pPr>
    </w:p>
    <w:p>
      <w:pPr>
        <w:jc w:val="both"/>
        <w:ind w:left="760" w:hanging="752"/>
        <w:spacing w:after="0" w:line="246" w:lineRule="auto"/>
        <w:tabs>
          <w:tab w:leader="none" w:pos="760" w:val="left"/>
        </w:tabs>
        <w:numPr>
          <w:ilvl w:val="0"/>
          <w:numId w:val="22"/>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b w:val="1"/>
          <w:bCs w:val="1"/>
          <w:color w:val="002060"/>
        </w:rPr>
        <w:t xml:space="preserve">Certain Excise Taxes. </w:t>
      </w:r>
      <w:r>
        <w:rPr>
          <w:rFonts w:ascii="Times New Roman" w:cs="Times New Roman" w:eastAsia="Times New Roman" w:hAnsi="Times New Roman"/>
          <w:sz w:val="21"/>
          <w:szCs w:val="21"/>
          <w:color w:val="002060"/>
        </w:rPr>
        <w:t>Notwithstanding anything to the contrary in this Plan, if a Participant is a “disqualified individual” (as</w:t>
      </w:r>
      <w:r>
        <w:rPr>
          <w:rFonts w:ascii="Times New Roman" w:cs="Times New Roman" w:eastAsia="Times New Roman" w:hAnsi="Times New Roman"/>
          <w:sz w:val="21"/>
          <w:szCs w:val="21"/>
          <w:b w:val="1"/>
          <w:bCs w:val="1"/>
          <w:color w:val="002060"/>
        </w:rPr>
        <w:t xml:space="preserve"> </w:t>
      </w:r>
      <w:r>
        <w:rPr>
          <w:rFonts w:ascii="Times New Roman" w:cs="Times New Roman" w:eastAsia="Times New Roman" w:hAnsi="Times New Roman"/>
          <w:sz w:val="21"/>
          <w:szCs w:val="21"/>
          <w:color w:val="002060"/>
        </w:rPr>
        <w:t>defined in Section 280G(c) of the Code), and the Severance Benefit provided for under this Plan, together with any other payments and benefits which the Participant has the right to receive from the Company, would constitute a “parachute payment” (as defined in Section 280G(b)(2) of the Code), then the Severance Benefit provided for under this Plan shall be either (a) reduced (but not below zero) so that the present value of such total amounts and benefits received by the Participant from the Company will be one dollar ($1.00) less than three times the Participant’s “base amount” (as defined in Section 280G(b)(3) of the Code) and so that no portion of such amounts and benefits received by the Participant shall be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206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21"/>
          <w:szCs w:val="21"/>
          <w:color w:val="002060"/>
        </w:rPr>
        <w:t>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Company in good faith. If a reduced payment is made or provided and through error or otherwise that payment, when aggregated with other payments and benefits from the Company used in determining if a parachute payment exists, exceeds one dollar ($1.00) less than three times the Participant’s base amount, then the Participant shall immediately repay such excess to the Company upon notification that an overpayment has been made. Nothing in this Plan shall require the Company to be responsible for, or have any liability or obligation with respect to, the Participant’s excise tax liabilities under Section 4999 of the Code.</w:t>
      </w:r>
    </w:p>
    <w:p>
      <w:pPr>
        <w:spacing w:after="0" w:line="18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002060"/>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00206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6" w:right="339" w:bottom="1440" w:gutter="0" w:footer="0" w:header="0"/>
        </w:sectPr>
      </w:pPr>
    </w:p>
    <w:bookmarkStart w:id="38" w:name="page39"/>
    <w:bookmarkEnd w:id="38"/>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940" w:type="dxa"/>
            <w:vAlign w:val="bottom"/>
            <w:gridSpan w:val="3"/>
          </w:tcPr>
          <w:p>
            <w:pPr>
              <w:ind w:left="1240"/>
              <w:spacing w:after="0"/>
              <w:rPr>
                <w:sz w:val="20"/>
                <w:szCs w:val="20"/>
                <w:color w:val="auto"/>
              </w:rPr>
            </w:pPr>
            <w:r>
              <w:rPr>
                <w:rFonts w:ascii="Times New Roman" w:cs="Times New Roman" w:eastAsia="Times New Roman" w:hAnsi="Times New Roman"/>
                <w:sz w:val="21"/>
                <w:szCs w:val="21"/>
                <w:b w:val="1"/>
                <w:bCs w:val="1"/>
                <w:color w:val="002060"/>
              </w:rPr>
              <w:t>EXHIBIT A</w:t>
            </w:r>
          </w:p>
        </w:tc>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1560" w:type="dxa"/>
            <w:vAlign w:val="bottom"/>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1080" w:type="dxa"/>
            <w:vAlign w:val="bottom"/>
            <w:tcBorders>
              <w:top w:val="single" w:sz="8" w:color="002060"/>
              <w:bottom w:val="single" w:sz="8" w:color="002060"/>
            </w:tcBorders>
          </w:tcPr>
          <w:p>
            <w:pPr>
              <w:spacing w:after="0"/>
              <w:rPr>
                <w:sz w:val="23"/>
                <w:szCs w:val="23"/>
                <w:color w:val="auto"/>
              </w:rPr>
            </w:pPr>
          </w:p>
        </w:tc>
        <w:tc>
          <w:tcPr>
            <w:tcW w:w="6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50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560" w:type="dxa"/>
            <w:vAlign w:val="bottom"/>
            <w:tcBorders>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1"/>
                <w:szCs w:val="21"/>
                <w:b w:val="1"/>
                <w:bCs w:val="1"/>
                <w:color w:val="002060"/>
                <w:w w:val="98"/>
              </w:rPr>
              <w:t>Tier</w:t>
            </w:r>
          </w:p>
        </w:tc>
        <w:tc>
          <w:tcPr>
            <w:tcW w:w="2940" w:type="dxa"/>
            <w:vAlign w:val="bottom"/>
            <w:tcBorders>
              <w:top w:val="single" w:sz="8" w:color="auto"/>
              <w:bottom w:val="single" w:sz="8" w:color="auto"/>
              <w:right w:val="single" w:sz="8" w:color="auto"/>
            </w:tcBorders>
            <w:gridSpan w:val="3"/>
          </w:tcPr>
          <w:p>
            <w:pPr>
              <w:jc w:val="center"/>
              <w:ind w:right="60"/>
              <w:spacing w:after="0" w:line="197" w:lineRule="exact"/>
              <w:rPr>
                <w:sz w:val="20"/>
                <w:szCs w:val="20"/>
                <w:color w:val="auto"/>
              </w:rPr>
            </w:pPr>
            <w:r>
              <w:rPr>
                <w:rFonts w:ascii="Times New Roman" w:cs="Times New Roman" w:eastAsia="Times New Roman" w:hAnsi="Times New Roman"/>
                <w:sz w:val="21"/>
                <w:szCs w:val="21"/>
                <w:b w:val="1"/>
                <w:bCs w:val="1"/>
                <w:color w:val="002060"/>
                <w:w w:val="97"/>
              </w:rPr>
              <w:t>Severance Multiplier</w:t>
            </w:r>
          </w:p>
        </w:tc>
        <w:tc>
          <w:tcPr>
            <w:tcW w:w="2960" w:type="dxa"/>
            <w:vAlign w:val="bottom"/>
            <w:tcBorders>
              <w:top w:val="single" w:sz="8" w:color="auto"/>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1"/>
                <w:szCs w:val="21"/>
                <w:b w:val="1"/>
                <w:bCs w:val="1"/>
                <w:color w:val="002060"/>
                <w:w w:val="98"/>
              </w:rPr>
              <w:t>Severance Period</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60" w:type="dxa"/>
            <w:vAlign w:val="bottom"/>
            <w:tcBorders>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1"/>
                <w:szCs w:val="21"/>
                <w:color w:val="002060"/>
                <w:w w:val="98"/>
              </w:rPr>
              <w:t>Tier 1</w:t>
            </w:r>
          </w:p>
        </w:tc>
        <w:tc>
          <w:tcPr>
            <w:tcW w:w="2320" w:type="dxa"/>
            <w:vAlign w:val="bottom"/>
            <w:tcBorders>
              <w:bottom w:val="single" w:sz="8" w:color="auto"/>
            </w:tcBorders>
            <w:gridSpan w:val="2"/>
          </w:tcPr>
          <w:p>
            <w:pPr>
              <w:jc w:val="center"/>
              <w:ind w:left="457"/>
              <w:spacing w:after="0" w:line="220" w:lineRule="exact"/>
              <w:rPr>
                <w:sz w:val="20"/>
                <w:szCs w:val="20"/>
                <w:color w:val="auto"/>
              </w:rPr>
            </w:pPr>
            <w:r>
              <w:rPr>
                <w:rFonts w:ascii="Times New Roman" w:cs="Times New Roman" w:eastAsia="Times New Roman" w:hAnsi="Times New Roman"/>
                <w:sz w:val="21"/>
                <w:szCs w:val="21"/>
                <w:color w:val="002060"/>
                <w:w w:val="91"/>
              </w:rPr>
              <w:t>1.0</w:t>
            </w:r>
          </w:p>
        </w:tc>
        <w:tc>
          <w:tcPr>
            <w:tcW w:w="62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1"/>
                <w:szCs w:val="21"/>
                <w:color w:val="002060"/>
                <w:w w:val="95"/>
              </w:rPr>
              <w:t>12</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6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002060"/>
                <w:w w:val="98"/>
              </w:rPr>
              <w:t>Tier 2</w:t>
            </w:r>
          </w:p>
        </w:tc>
        <w:tc>
          <w:tcPr>
            <w:tcW w:w="2320" w:type="dxa"/>
            <w:vAlign w:val="bottom"/>
            <w:tcBorders>
              <w:bottom w:val="single" w:sz="8" w:color="auto"/>
            </w:tcBorders>
            <w:gridSpan w:val="2"/>
          </w:tcPr>
          <w:p>
            <w:pPr>
              <w:jc w:val="center"/>
              <w:ind w:left="457"/>
              <w:spacing w:after="0" w:line="237" w:lineRule="exact"/>
              <w:rPr>
                <w:sz w:val="20"/>
                <w:szCs w:val="20"/>
                <w:color w:val="auto"/>
              </w:rPr>
            </w:pPr>
            <w:r>
              <w:rPr>
                <w:rFonts w:ascii="Times New Roman" w:cs="Times New Roman" w:eastAsia="Times New Roman" w:hAnsi="Times New Roman"/>
                <w:sz w:val="21"/>
                <w:szCs w:val="21"/>
                <w:color w:val="002060"/>
                <w:w w:val="91"/>
              </w:rPr>
              <w:t>1.0</w:t>
            </w:r>
          </w:p>
        </w:tc>
        <w:tc>
          <w:tcPr>
            <w:tcW w:w="62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002060"/>
                <w:w w:val="95"/>
              </w:rPr>
              <w:t>12</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6"/>
        </w:trPr>
        <w:tc>
          <w:tcPr>
            <w:tcW w:w="15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002060"/>
        </w:rPr>
        <w:t>EXHIBIT B</w:t>
      </w:r>
    </w:p>
    <w:p>
      <w:pPr>
        <w:spacing w:after="0" w:line="21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b w:val="1"/>
          <w:bCs w:val="1"/>
          <w:color w:val="002060"/>
        </w:rPr>
        <w:t>PETCO HEALTH AND WELLNESS COMPANY,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02060"/>
        </w:rPr>
        <w:t>EXECUTIVE SEVERANCE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02060"/>
        </w:rPr>
        <w:t>FORM OF PARTICIPATION AGREEMENT</w:t>
      </w:r>
    </w:p>
    <w:p>
      <w:pPr>
        <w:spacing w:after="0" w:line="216" w:lineRule="exact"/>
        <w:rPr>
          <w:sz w:val="20"/>
          <w:szCs w:val="20"/>
          <w:color w:val="auto"/>
        </w:rPr>
      </w:pPr>
    </w:p>
    <w:p>
      <w:pPr>
        <w:jc w:val="both"/>
        <w:ind w:right="20" w:firstLine="749"/>
        <w:spacing w:after="0" w:line="274" w:lineRule="auto"/>
        <w:rPr>
          <w:sz w:val="20"/>
          <w:szCs w:val="20"/>
          <w:color w:val="auto"/>
        </w:rPr>
      </w:pPr>
      <w:r>
        <w:rPr>
          <w:rFonts w:ascii="Times New Roman" w:cs="Times New Roman" w:eastAsia="Times New Roman" w:hAnsi="Times New Roman"/>
          <w:sz w:val="21"/>
          <w:szCs w:val="21"/>
          <w:color w:val="002060"/>
        </w:rPr>
        <w:t>This Participation Agreement (this “</w:t>
      </w:r>
      <w:r>
        <w:rPr>
          <w:rFonts w:ascii="Times New Roman" w:cs="Times New Roman" w:eastAsia="Times New Roman" w:hAnsi="Times New Roman"/>
          <w:sz w:val="21"/>
          <w:szCs w:val="21"/>
          <w:b w:val="1"/>
          <w:bCs w:val="1"/>
          <w:i w:val="1"/>
          <w:iCs w:val="1"/>
          <w:color w:val="002060"/>
        </w:rPr>
        <w:t>Agreement</w:t>
      </w:r>
      <w:r>
        <w:rPr>
          <w:rFonts w:ascii="Times New Roman" w:cs="Times New Roman" w:eastAsia="Times New Roman" w:hAnsi="Times New Roman"/>
          <w:sz w:val="21"/>
          <w:szCs w:val="21"/>
          <w:color w:val="002060"/>
        </w:rPr>
        <w:t>”) is made and entered into by and between [●] (the “</w:t>
      </w:r>
      <w:r>
        <w:rPr>
          <w:rFonts w:ascii="Times New Roman" w:cs="Times New Roman" w:eastAsia="Times New Roman" w:hAnsi="Times New Roman"/>
          <w:sz w:val="21"/>
          <w:szCs w:val="21"/>
          <w:b w:val="1"/>
          <w:bCs w:val="1"/>
          <w:i w:val="1"/>
          <w:iCs w:val="1"/>
          <w:color w:val="002060"/>
        </w:rPr>
        <w:t>Participant</w:t>
      </w:r>
      <w:r>
        <w:rPr>
          <w:rFonts w:ascii="Times New Roman" w:cs="Times New Roman" w:eastAsia="Times New Roman" w:hAnsi="Times New Roman"/>
          <w:sz w:val="21"/>
          <w:szCs w:val="21"/>
          <w:color w:val="002060"/>
        </w:rPr>
        <w:t>”) and Petco Health and Wellness Company, Inc. (the “</w:t>
      </w:r>
      <w:r>
        <w:rPr>
          <w:rFonts w:ascii="Times New Roman" w:cs="Times New Roman" w:eastAsia="Times New Roman" w:hAnsi="Times New Roman"/>
          <w:sz w:val="21"/>
          <w:szCs w:val="21"/>
          <w:b w:val="1"/>
          <w:bCs w:val="1"/>
          <w:i w:val="1"/>
          <w:iCs w:val="1"/>
          <w:color w:val="002060"/>
        </w:rPr>
        <w:t>Company</w:t>
      </w:r>
      <w:r>
        <w:rPr>
          <w:rFonts w:ascii="Times New Roman" w:cs="Times New Roman" w:eastAsia="Times New Roman" w:hAnsi="Times New Roman"/>
          <w:sz w:val="21"/>
          <w:szCs w:val="21"/>
          <w:color w:val="002060"/>
        </w:rPr>
        <w:t>”) effective as of ______________, 20____.</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002060"/>
        </w:rPr>
        <w:t>The Company maintains the Petco Health and Wellness Company, Inc. Executive Severance Plan (as amended from time to time, the “</w:t>
      </w:r>
      <w:r>
        <w:rPr>
          <w:rFonts w:ascii="Times New Roman" w:cs="Times New Roman" w:eastAsia="Times New Roman" w:hAnsi="Times New Roman"/>
          <w:sz w:val="21"/>
          <w:szCs w:val="21"/>
          <w:b w:val="1"/>
          <w:bCs w:val="1"/>
          <w:i w:val="1"/>
          <w:iCs w:val="1"/>
          <w:color w:val="002060"/>
        </w:rPr>
        <w:t>Plan</w:t>
      </w:r>
      <w:r>
        <w:rPr>
          <w:rFonts w:ascii="Times New Roman" w:cs="Times New Roman" w:eastAsia="Times New Roman" w:hAnsi="Times New Roman"/>
          <w:sz w:val="21"/>
          <w:szCs w:val="21"/>
          <w:color w:val="002060"/>
        </w:rPr>
        <w:t>”). Capitalized terms used but not defined in this Agreement have the meanings ascribed to them in the Plan. The Plan provides Severance Benefits in connection with the Participant’s Qualifying Termination.</w:t>
      </w:r>
    </w:p>
    <w:p>
      <w:pPr>
        <w:spacing w:after="0" w:line="17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002060"/>
        </w:rPr>
        <w:t>By signing this Agreement, the Participant acknowledges and agrees that the Participant has read and understands all of the terms of the Plan and this Agreement and that the Participant agrees to participate in the Plan as a Tier [__] Participant. The Participant acknowledges and agrees that such participation is subject to the terms and conditions of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2060"/>
        </w:rPr>
        <w:t>Miscellaneous:</w:t>
      </w:r>
    </w:p>
    <w:p>
      <w:pPr>
        <w:spacing w:after="0" w:line="220" w:lineRule="exact"/>
        <w:rPr>
          <w:sz w:val="20"/>
          <w:szCs w:val="20"/>
          <w:color w:val="auto"/>
        </w:rPr>
      </w:pPr>
    </w:p>
    <w:p>
      <w:pPr>
        <w:ind w:left="760" w:hanging="752"/>
        <w:spacing w:after="0" w:line="270" w:lineRule="auto"/>
        <w:tabs>
          <w:tab w:leader="none" w:pos="760" w:val="left"/>
        </w:tabs>
        <w:numPr>
          <w:ilvl w:val="0"/>
          <w:numId w:val="2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This Agreement shall be governed in all respects by the laws of the State of California without regard to its choice of law provisions that would require the application of the laws of a different jurisdiction.</w:t>
      </w:r>
    </w:p>
    <w:p>
      <w:pPr>
        <w:spacing w:after="0" w:line="158" w:lineRule="exact"/>
        <w:rPr>
          <w:rFonts w:ascii="Times New Roman" w:cs="Times New Roman" w:eastAsia="Times New Roman" w:hAnsi="Times New Roman"/>
          <w:sz w:val="21"/>
          <w:szCs w:val="21"/>
          <w:color w:val="002060"/>
        </w:rPr>
      </w:pPr>
    </w:p>
    <w:p>
      <w:pPr>
        <w:ind w:left="760" w:hanging="752"/>
        <w:spacing w:after="0" w:line="270" w:lineRule="auto"/>
        <w:tabs>
          <w:tab w:leader="none" w:pos="760" w:val="left"/>
        </w:tabs>
        <w:numPr>
          <w:ilvl w:val="0"/>
          <w:numId w:val="2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This Agreement may be executed in two or more counterparts, each of which shall be deemed an original, but all of which together shall constitute one and the same instrument.</w:t>
      </w:r>
    </w:p>
    <w:p>
      <w:pPr>
        <w:spacing w:after="0" w:line="158" w:lineRule="exact"/>
        <w:rPr>
          <w:rFonts w:ascii="Times New Roman" w:cs="Times New Roman" w:eastAsia="Times New Roman" w:hAnsi="Times New Roman"/>
          <w:sz w:val="21"/>
          <w:szCs w:val="21"/>
          <w:color w:val="002060"/>
        </w:rPr>
      </w:pPr>
    </w:p>
    <w:p>
      <w:pPr>
        <w:jc w:val="both"/>
        <w:ind w:left="760" w:hanging="752"/>
        <w:spacing w:after="0" w:line="246" w:lineRule="auto"/>
        <w:tabs>
          <w:tab w:leader="none" w:pos="760" w:val="left"/>
        </w:tabs>
        <w:numPr>
          <w:ilvl w:val="0"/>
          <w:numId w:val="2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This Agreement and the Plan represent the entire agreement between the parties with respect to the subject matter hereof. For the avoidance of doubt, the Participant will no longer be eligible for any other severance benefits under any employment agreement or letter agreement, except as provided under the terms of the Petco Health and Wellness Company, Inc. 2021 Equity Incentive Plan or any successor equity incentive plan adopted by the Company and any award agreements or other agreements governing the terms of awards thereunder. If any dispute should arise under this Agreement, it shall be settled in accordance with the terms of the Plan. For the avoidance of doubt, the Plan and this Agreement shall not modify any employment agreement or letter agreement with respect to any terms that are not covered by the subject matter hereof.</w:t>
      </w:r>
    </w:p>
    <w:p>
      <w:pPr>
        <w:spacing w:after="0" w:line="184" w:lineRule="exact"/>
        <w:rPr>
          <w:rFonts w:ascii="Times New Roman" w:cs="Times New Roman" w:eastAsia="Times New Roman" w:hAnsi="Times New Roman"/>
          <w:sz w:val="21"/>
          <w:szCs w:val="21"/>
          <w:color w:val="002060"/>
        </w:rPr>
      </w:pPr>
    </w:p>
    <w:p>
      <w:pPr>
        <w:jc w:val="both"/>
        <w:ind w:left="760" w:hanging="752"/>
        <w:spacing w:after="0" w:line="255" w:lineRule="auto"/>
        <w:tabs>
          <w:tab w:leader="none" w:pos="760" w:val="left"/>
        </w:tabs>
        <w:numPr>
          <w:ilvl w:val="0"/>
          <w:numId w:val="23"/>
        </w:numPr>
        <w:rPr>
          <w:rFonts w:ascii="Times New Roman" w:cs="Times New Roman" w:eastAsia="Times New Roman" w:hAnsi="Times New Roman"/>
          <w:sz w:val="21"/>
          <w:szCs w:val="21"/>
          <w:color w:val="002060"/>
        </w:rPr>
      </w:pPr>
      <w:r>
        <w:rPr>
          <w:rFonts w:ascii="Times New Roman" w:cs="Times New Roman" w:eastAsia="Times New Roman" w:hAnsi="Times New Roman"/>
          <w:sz w:val="21"/>
          <w:szCs w:val="21"/>
          <w:color w:val="002060"/>
        </w:rPr>
        <w:t>This Agreement shall be binding on the executors, heirs, administrators, successors and assigns of the Participant and the successors and assigns of Company and shall inure to the benefit of the respective executors, heirs, administrators, successors and assigns of the Company.</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002060"/>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002060"/>
        </w:rPr>
        <w:t>IN WITNESS WHEREOF, the Participant and the Company hereto have executed this Agreement as of the date first set forth above.</w:t>
      </w:r>
    </w:p>
    <w:p>
      <w:pPr>
        <w:sectPr>
          <w:pgSz w:w="11900" w:h="16838" w:orient="portrait"/>
          <w:cols w:equalWidth="0" w:num="1">
            <w:col w:w="11020"/>
          </w:cols>
          <w:pgMar w:left="320" w:top="14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002060"/>
        </w:rPr>
        <w:t>PETCO HEALTH AND WELLNESS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459105</wp:posOffset>
            </wp:positionV>
            <wp:extent cx="15767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002060"/>
        </w:rPr>
        <w:t>Name:</w:t>
      </w:r>
    </w:p>
    <w:p>
      <w:pPr>
        <w:spacing w:after="0" w:line="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002060"/>
        </w:rPr>
        <w:t>Title:</w:t>
      </w: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002060"/>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459105</wp:posOffset>
            </wp:positionV>
            <wp:extent cx="15767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00206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6" w:right="55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Anderson,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Sabrina Simmons,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440" w:val="left"/>
          <w:tab w:leader="none" w:pos="7860" w:val="left"/>
        </w:tabs>
        <w:rPr>
          <w:sz w:val="20"/>
          <w:szCs w:val="20"/>
          <w:color w:val="auto"/>
        </w:rPr>
      </w:pPr>
      <w:r>
        <w:rPr>
          <w:rFonts w:ascii="Times New Roman" w:cs="Times New Roman" w:eastAsia="Times New Roman" w:hAnsi="Times New Roman"/>
          <w:sz w:val="18"/>
          <w:szCs w:val="18"/>
          <w:color w:val="auto"/>
        </w:rPr>
        <w:t>Date: August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August 2, 2025, as filed with the Securities and Exchange Commission on the date hereof (the “Report”), I, Joel Anderson,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August 2, 2025, as filed with the Securities and Exchange Commission on the date hereof (the “Report”), I, Sabrina Simmons,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August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Roman"/>
      <w:start w:val="9"/>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lvl w:ilvl="1">
      <w:lvlJc w:val="left"/>
      <w:lvlText w:val="%2"/>
      <w:numFmt w:val="decimal"/>
      <w:start w:val="104"/>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lowerLetter"/>
      <w:start w:val="6"/>
    </w:lvl>
  </w:abstractNum>
  <w:abstractNum w:abstractNumId="12">
    <w:nsid w:val="62BBD95A"/>
    <w:multiLevelType w:val="hybridMultilevel"/>
    <w:lvl w:ilvl="0">
      <w:lvlJc w:val="left"/>
      <w:lvlText w:val="(%1)"/>
      <w:numFmt w:val="lowerLetter"/>
      <w:start w:val="16"/>
    </w:lvl>
    <w:lvl w:ilvl="1">
      <w:lvlJc w:val="left"/>
      <w:lvlText w:val="(%2)"/>
      <w:numFmt w:val="lowerRoman"/>
      <w:start w:val="1"/>
    </w:lvl>
  </w:abstractNum>
  <w:abstractNum w:abstractNumId="13">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
    <w:nsid w:val="628C895D"/>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15">
    <w:nsid w:val="333AB1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721DA317"/>
    <w:multiLevelType w:val="hybridMultilevel"/>
    <w:lvl w:ilvl="0">
      <w:lvlJc w:val="left"/>
      <w:lvlText w:val="%1"/>
      <w:numFmt w:val="decimal"/>
      <w:start w:val="1"/>
    </w:lvl>
    <w:lvl w:ilvl="1">
      <w:lvlJc w:val="left"/>
      <w:lvlText w:val="(%2)"/>
      <w:numFmt w:val="lowerLetter"/>
      <w:start w:val="4"/>
    </w:lvl>
  </w:abstractNum>
  <w:abstractNum w:abstractNumId="17">
    <w:nsid w:val="2443A858"/>
    <w:multiLevelType w:val="hybridMultilevel"/>
    <w:lvl w:ilvl="0">
      <w:lvlJc w:val="left"/>
      <w:lvlText w:val="%1."/>
      <w:numFmt w:val="decimal"/>
      <w:start w:val="6"/>
    </w:lvl>
    <w:lvl w:ilvl="1">
      <w:lvlJc w:val="left"/>
      <w:lvlText w:val="(%2)"/>
      <w:numFmt w:val="lowerLetter"/>
      <w:start w:val="1"/>
    </w:lvl>
  </w:abstractNum>
  <w:abstractNum w:abstractNumId="18">
    <w:nsid w:val="2D1D5AE9"/>
    <w:multiLevelType w:val="hybridMultilevel"/>
    <w:lvl w:ilvl="0">
      <w:lvlJc w:val="left"/>
      <w:lvlText w:val="%1"/>
      <w:numFmt w:val="decimal"/>
      <w:start w:val="1"/>
    </w:lvl>
    <w:lvl w:ilvl="1">
      <w:lvlJc w:val="left"/>
      <w:lvlText w:val="(%2)"/>
      <w:numFmt w:val="lowerLetter"/>
      <w:start w:val="2"/>
    </w:lvl>
  </w:abstractNum>
  <w:abstractNum w:abstractNumId="19">
    <w:nsid w:val="6763845E"/>
    <w:multiLevelType w:val="hybridMultilevel"/>
    <w:lvl w:ilvl="0">
      <w:lvlJc w:val="left"/>
      <w:lvlText w:val="%1."/>
      <w:numFmt w:val="decimal"/>
      <w:start w:val="9"/>
    </w:lvl>
    <w:lvl w:ilvl="1">
      <w:lvlJc w:val="left"/>
      <w:lvlText w:val="%2"/>
      <w:numFmt w:val="lowerLetter"/>
      <w:start w:val="1"/>
    </w:lvl>
  </w:abstractNum>
  <w:abstractNum w:abstractNumId="20">
    <w:nsid w:val="75A2A8D4"/>
    <w:multiLevelType w:val="hybridMultilevel"/>
    <w:lvl w:ilvl="0">
      <w:lvlJc w:val="left"/>
      <w:lvlText w:val="%1."/>
      <w:numFmt w:val="decimal"/>
      <w:start w:val="11"/>
    </w:lvl>
  </w:abstractNum>
  <w:abstractNum w:abstractNumId="21">
    <w:nsid w:val="8EDBDAB"/>
    <w:multiLevelType w:val="hybridMultilevel"/>
    <w:lvl w:ilvl="0">
      <w:lvlJc w:val="left"/>
      <w:lvlText w:val="%1."/>
      <w:numFmt w:val="decimal"/>
      <w:start w:val="18"/>
    </w:lvl>
    <w:lvl w:ilvl="1">
      <w:lvlJc w:val="left"/>
      <w:lvlText w:val="(%2)"/>
      <w:numFmt w:val="lowerLetter"/>
      <w:start w:val="1"/>
    </w:lvl>
  </w:abstractNum>
  <w:abstractNum w:abstractNumId="22">
    <w:nsid w:val="79838CB2"/>
    <w:multiLevelType w:val="hybridMultilevel"/>
    <w:lvl w:ilvl="0">
      <w:lvlJc w:val="left"/>
      <w:lvlText w:val="%1."/>
      <w:numFmt w:val="decimal"/>
      <w:start w:val="2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2025-08-29T15:26:53Z</dcterms:created>
  <dcterms:modified xsi:type="dcterms:W3CDTF">2025-08-29T15:26:53Z</dcterms:modified>
</cp:coreProperties>
</file>