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817880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64770</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86995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5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7" w:lineRule="exact"/>
        <w:rPr>
          <w:sz w:val="24"/>
          <w:szCs w:val="24"/>
          <w:color w:val="auto"/>
        </w:rPr>
      </w:pPr>
    </w:p>
    <w:p>
      <w:pPr>
        <w:ind w:left="4000" w:right="1960" w:hanging="3979"/>
        <w:spacing w:after="0" w:line="303" w:lineRule="auto"/>
        <w:tabs>
          <w:tab w:leader="none" w:pos="485"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ANNUAL REPORT PURSUANT TO SECTION 13 OR 15(d) OF THE SECURITIES EXCHANGE ACT OF 1934 For the fiscal year ended January 31, 2026</w:t>
      </w:r>
    </w:p>
    <w:p>
      <w:pPr>
        <w:ind w:left="5460"/>
        <w:spacing w:after="0"/>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OR</w:t>
      </w:r>
    </w:p>
    <w:p>
      <w:pPr>
        <w:spacing w:after="0" w:line="63" w:lineRule="exact"/>
        <w:rPr>
          <w:sz w:val="24"/>
          <w:szCs w:val="24"/>
          <w:color w:val="auto"/>
        </w:rPr>
      </w:pPr>
    </w:p>
    <w:p>
      <w:pPr>
        <w:ind w:left="480" w:hanging="459"/>
        <w:spacing w:after="0"/>
        <w:tabs>
          <w:tab w:leader="none" w:pos="480" w:val="left"/>
        </w:tabs>
        <w:numPr>
          <w:ilvl w:val="0"/>
          <w:numId w:val="2"/>
        </w:numPr>
        <w:rPr>
          <w:rFonts w:ascii="MS PGothic" w:cs="MS PGothic" w:eastAsia="MS PGothic" w:hAnsi="MS PGothic"/>
          <w:sz w:val="17"/>
          <w:szCs w:val="17"/>
          <w:color w:val="auto"/>
          <w:highlight w:val="black"/>
        </w:rPr>
      </w:pPr>
      <w:r>
        <w:rPr>
          <w:rFonts w:ascii="Times New Roman" w:cs="Times New Roman" w:eastAsia="Times New Roman" w:hAnsi="Times New Roman"/>
          <w:sz w:val="17"/>
          <w:szCs w:val="17"/>
          <w:b w:val="1"/>
          <w:bCs w:val="1"/>
          <w:color w:val="auto"/>
        </w:rPr>
        <w:t>TRANSITION REPORT PURSUANT TO SECTION 13 OR 15(d) OF THE SECURITIES EXCHANGE ACT OF 1934 FOR THE</w:t>
      </w:r>
    </w:p>
    <w:p>
      <w:pPr>
        <w:spacing w:after="0" w:line="45" w:lineRule="exact"/>
        <w:rPr>
          <w:sz w:val="24"/>
          <w:szCs w:val="24"/>
          <w:color w:val="auto"/>
        </w:rPr>
      </w:pPr>
    </w:p>
    <w:p>
      <w:pPr>
        <w:ind w:left="480"/>
        <w:spacing w:after="0"/>
        <w:tabs>
          <w:tab w:leader="none" w:pos="3920" w:val="left"/>
        </w:tabs>
        <w:rPr>
          <w:sz w:val="20"/>
          <w:szCs w:val="20"/>
          <w:color w:val="auto"/>
        </w:rPr>
      </w:pPr>
      <w:r>
        <w:rPr>
          <w:rFonts w:ascii="Times New Roman" w:cs="Times New Roman" w:eastAsia="Times New Roman" w:hAnsi="Times New Roman"/>
          <w:sz w:val="18"/>
          <w:szCs w:val="18"/>
          <w:b w:val="1"/>
          <w:bCs w:val="1"/>
          <w:color w:val="auto"/>
        </w:rPr>
        <w:t>TRANSITION PERIOD FROM</w:t>
      </w:r>
      <w:r>
        <w:rPr>
          <w:sz w:val="20"/>
          <w:szCs w:val="20"/>
          <w:color w:val="auto"/>
        </w:rPr>
        <w:tab/>
      </w:r>
      <w:r>
        <w:rPr>
          <w:rFonts w:ascii="Times New Roman" w:cs="Times New Roman" w:eastAsia="Times New Roman" w:hAnsi="Times New Roman"/>
          <w:sz w:val="17"/>
          <w:szCs w:val="17"/>
          <w:b w:val="1"/>
          <w:bCs w:val="1"/>
          <w:color w:val="auto"/>
        </w:rPr>
        <w:t>TO</w:t>
      </w:r>
    </w:p>
    <w:p>
      <w:pPr>
        <w:spacing w:after="0" w:line="3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Commission File Number 001-39878</w:t>
      </w:r>
    </w:p>
    <w:p>
      <w:pPr>
        <w:spacing w:after="0" w:line="8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Petco Health and Wellness Company,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-195580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4"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ectPr>
          <w:pgSz w:w="11900" w:h="16838" w:orient="portrait"/>
          <w:cols w:equalWidth="0" w:num="1">
            <w:col w:w="11240"/>
          </w:cols>
          <w:pgMar w:left="320" w:top="1366" w:right="339" w:bottom="1440" w:gutter="0" w:footer="0" w:header="0"/>
        </w:sectPr>
      </w:pPr>
    </w:p>
    <w:p>
      <w:pPr>
        <w:spacing w:after="0" w:line="7" w:lineRule="exact"/>
        <w:rPr>
          <w:sz w:val="24"/>
          <w:szCs w:val="24"/>
          <w:color w:val="auto"/>
        </w:rPr>
      </w:pPr>
    </w:p>
    <w:p>
      <w:pPr>
        <w:jc w:val="right"/>
        <w:ind w:right="1580"/>
        <w:spacing w:after="0"/>
        <w:rPr>
          <w:sz w:val="20"/>
          <w:szCs w:val="20"/>
          <w:color w:val="auto"/>
        </w:rPr>
      </w:pPr>
      <w:r>
        <w:rPr>
          <w:rFonts w:ascii="Times New Roman" w:cs="Times New Roman" w:eastAsia="Times New Roman" w:hAnsi="Times New Roman"/>
          <w:sz w:val="5"/>
          <w:szCs w:val="5"/>
          <w:color w:val="auto"/>
        </w:rPr>
        <w:t>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23495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7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13" w:lineRule="exact"/>
        <w:rPr>
          <w:sz w:val="24"/>
          <w:szCs w:val="24"/>
          <w:color w:val="auto"/>
        </w:rPr>
      </w:pPr>
    </w:p>
    <w:p>
      <w:pPr>
        <w:ind w:left="2020"/>
        <w:spacing w:after="0"/>
        <w:rPr>
          <w:sz w:val="20"/>
          <w:szCs w:val="20"/>
          <w:color w:val="auto"/>
        </w:rPr>
      </w:pPr>
      <w:r>
        <w:rPr>
          <w:rFonts w:ascii="Times New Roman" w:cs="Times New Roman" w:eastAsia="Times New Roman" w:hAnsi="Times New Roman"/>
          <w:sz w:val="13"/>
          <w:szCs w:val="13"/>
          <w:b w:val="1"/>
          <w:bCs w:val="1"/>
          <w:color w:val="auto"/>
        </w:rPr>
        <w:t>(State or other jurisdiction of</w:t>
      </w:r>
    </w:p>
    <w:p>
      <w:pPr>
        <w:ind w:left="1980"/>
        <w:spacing w:after="0"/>
        <w:rPr>
          <w:sz w:val="20"/>
          <w:szCs w:val="20"/>
          <w:color w:val="auto"/>
        </w:rPr>
      </w:pPr>
      <w:r>
        <w:rPr>
          <w:rFonts w:ascii="Times New Roman" w:cs="Times New Roman" w:eastAsia="Times New Roman" w:hAnsi="Times New Roman"/>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206" w:lineRule="exact"/>
        <w:rPr>
          <w:sz w:val="24"/>
          <w:szCs w:val="24"/>
          <w:color w:val="auto"/>
        </w:rPr>
      </w:pPr>
    </w:p>
    <w:p>
      <w:pPr>
        <w:jc w:val="center"/>
        <w:ind w:right="2320"/>
        <w:spacing w:after="0"/>
        <w:rPr>
          <w:sz w:val="20"/>
          <w:szCs w:val="20"/>
          <w:color w:val="auto"/>
        </w:rPr>
      </w:pPr>
      <w:r>
        <w:rPr>
          <w:rFonts w:ascii="Times New Roman" w:cs="Times New Roman" w:eastAsia="Times New Roman" w:hAnsi="Times New Roman"/>
          <w:sz w:val="14"/>
          <w:szCs w:val="14"/>
          <w:b w:val="1"/>
          <w:bCs w:val="1"/>
          <w:color w:val="auto"/>
        </w:rPr>
        <w:t>81-1005932</w:t>
      </w:r>
    </w:p>
    <w:p>
      <w:pPr>
        <w:spacing w:after="0" w:line="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b w:val="1"/>
          <w:bCs w:val="1"/>
          <w:color w:val="auto"/>
        </w:rPr>
        <w:t>(I.R.S. Employer</w:t>
      </w:r>
    </w:p>
    <w:p>
      <w:pPr>
        <w:spacing w:after="0"/>
        <w:rPr>
          <w:sz w:val="20"/>
          <w:szCs w:val="20"/>
          <w:color w:val="auto"/>
        </w:rPr>
      </w:pPr>
      <w:r>
        <w:rPr>
          <w:rFonts w:ascii="Times New Roman" w:cs="Times New Roman" w:eastAsia="Times New Roman" w:hAnsi="Times New Roman"/>
          <w:sz w:val="12"/>
          <w:szCs w:val="12"/>
          <w:b w:val="1"/>
          <w:bCs w:val="1"/>
          <w:color w:val="auto"/>
        </w:rPr>
        <w:t>Identification No.)</w:t>
      </w:r>
    </w:p>
    <w:p>
      <w:pPr>
        <w:spacing w:after="0" w:line="46" w:lineRule="exact"/>
        <w:rPr>
          <w:sz w:val="24"/>
          <w:szCs w:val="24"/>
          <w:color w:val="auto"/>
        </w:rPr>
      </w:pPr>
    </w:p>
    <w:p>
      <w:pPr>
        <w:sectPr>
          <w:pgSz w:w="11900" w:h="16838" w:orient="portrait"/>
          <w:cols w:equalWidth="0" w:num="2">
            <w:col w:w="7220" w:space="720"/>
            <w:col w:w="3300"/>
          </w:cols>
          <w:pgMar w:left="320" w:top="1366" w:right="339" w:bottom="1440" w:gutter="0" w:footer="0" w:header="0"/>
          <w:type w:val="continuous"/>
        </w:sectPr>
      </w:pPr>
    </w:p>
    <w:p>
      <w:pPr>
        <w:ind w:left="2060"/>
        <w:spacing w:after="0"/>
        <w:rPr>
          <w:sz w:val="20"/>
          <w:szCs w:val="20"/>
          <w:color w:val="auto"/>
        </w:rPr>
      </w:pPr>
      <w:r>
        <w:rPr>
          <w:rFonts w:ascii="Times New Roman" w:cs="Times New Roman" w:eastAsia="Times New Roman" w:hAnsi="Times New Roman"/>
          <w:sz w:val="18"/>
          <w:szCs w:val="18"/>
          <w:b w:val="1"/>
          <w:bCs w:val="1"/>
          <w:color w:val="auto"/>
        </w:rPr>
        <w:t>10850 Via Frontera</w:t>
      </w:r>
    </w:p>
    <w:p>
      <w:pPr>
        <w:spacing w:after="0" w:line="31" w:lineRule="exact"/>
        <w:rPr>
          <w:sz w:val="24"/>
          <w:szCs w:val="24"/>
          <w:color w:val="auto"/>
        </w:rPr>
      </w:pPr>
    </w:p>
    <w:p>
      <w:pPr>
        <w:ind w:left="1980"/>
        <w:spacing w:after="0"/>
        <w:tabs>
          <w:tab w:leader="none" w:pos="8180" w:val="left"/>
        </w:tabs>
        <w:rPr>
          <w:sz w:val="20"/>
          <w:szCs w:val="20"/>
          <w:color w:val="auto"/>
        </w:rPr>
      </w:pPr>
      <w:r>
        <w:rPr>
          <w:rFonts w:ascii="Times New Roman" w:cs="Times New Roman" w:eastAsia="Times New Roman" w:hAnsi="Times New Roman"/>
          <w:sz w:val="18"/>
          <w:szCs w:val="18"/>
          <w:b w:val="1"/>
          <w:bCs w:val="1"/>
          <w:color w:val="auto"/>
        </w:rPr>
        <w:t>San Diego, California</w:t>
      </w:r>
      <w:r>
        <w:rPr>
          <w:sz w:val="20"/>
          <w:szCs w:val="20"/>
          <w:color w:val="auto"/>
        </w:rPr>
        <w:tab/>
      </w:r>
      <w:r>
        <w:rPr>
          <w:rFonts w:ascii="Times New Roman" w:cs="Times New Roman" w:eastAsia="Times New Roman" w:hAnsi="Times New Roman"/>
          <w:sz w:val="18"/>
          <w:szCs w:val="18"/>
          <w:b w:val="1"/>
          <w:bCs w:val="1"/>
          <w:color w:val="auto"/>
        </w:rPr>
        <w:t>92127</w:t>
      </w:r>
    </w:p>
    <w:p>
      <w:pPr>
        <w:spacing w:after="0" w:line="5" w:lineRule="exact"/>
        <w:rPr>
          <w:sz w:val="24"/>
          <w:szCs w:val="24"/>
          <w:color w:val="auto"/>
        </w:rPr>
      </w:pPr>
    </w:p>
    <w:p>
      <w:pPr>
        <w:ind w:left="1760"/>
        <w:spacing w:after="0"/>
        <w:tabs>
          <w:tab w:leader="none" w:pos="8120" w:val="left"/>
        </w:tabs>
        <w:rPr>
          <w:sz w:val="20"/>
          <w:szCs w:val="20"/>
          <w:color w:val="auto"/>
        </w:rPr>
      </w:pPr>
      <w:r>
        <w:rPr>
          <w:rFonts w:ascii="Times New Roman" w:cs="Times New Roman" w:eastAsia="Times New Roman" w:hAnsi="Times New Roman"/>
          <w:sz w:val="13"/>
          <w:szCs w:val="13"/>
          <w:b w:val="1"/>
          <w:bCs w:val="1"/>
          <w:color w:val="auto"/>
        </w:rPr>
        <w:t>(Address of principal executive offices)</w:t>
      </w:r>
      <w:r>
        <w:rPr>
          <w:sz w:val="20"/>
          <w:szCs w:val="20"/>
          <w:color w:val="auto"/>
        </w:rPr>
        <w:tab/>
      </w:r>
      <w:r>
        <w:rPr>
          <w:rFonts w:ascii="Times New Roman" w:cs="Times New Roman" w:eastAsia="Times New Roman" w:hAnsi="Times New Roman"/>
          <w:sz w:val="12"/>
          <w:szCs w:val="12"/>
          <w:b w:val="1"/>
          <w:bCs w:val="1"/>
          <w:color w:val="auto"/>
        </w:rPr>
        <w:t>(Zip Code)</w:t>
      </w:r>
    </w:p>
    <w:p>
      <w:pPr>
        <w:spacing w:after="0" w:line="21" w:lineRule="exact"/>
        <w:rPr>
          <w:sz w:val="24"/>
          <w:szCs w:val="24"/>
          <w:color w:val="auto"/>
        </w:rPr>
      </w:pPr>
    </w:p>
    <w:p>
      <w:pPr>
        <w:ind w:left="302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(858) 453-7845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80010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29"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Securities registered pursuant to Section 12(b) of the Act:</w:t>
      </w:r>
    </w:p>
    <w:p>
      <w:pPr>
        <w:spacing w:after="0" w:line="37"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600" w:type="dxa"/>
            <w:vAlign w:val="bottom"/>
            <w:vMerge w:val="restart"/>
          </w:tcPr>
          <w:p>
            <w:pPr>
              <w:ind w:left="176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3"/>
                <w:szCs w:val="13"/>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120" w:type="dxa"/>
            <w:vAlign w:val="bottom"/>
          </w:tcPr>
          <w:p>
            <w:pPr>
              <w:spacing w:after="0"/>
              <w:rPr>
                <w:sz w:val="13"/>
                <w:szCs w:val="13"/>
                <w:color w:val="auto"/>
              </w:rPr>
            </w:pPr>
          </w:p>
        </w:tc>
        <w:tc>
          <w:tcPr>
            <w:tcW w:w="45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73"/>
        </w:trPr>
        <w:tc>
          <w:tcPr>
            <w:tcW w:w="460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20" w:type="dxa"/>
            <w:vAlign w:val="bottom"/>
          </w:tcPr>
          <w:p>
            <w:pPr>
              <w:spacing w:after="0"/>
              <w:rPr>
                <w:sz w:val="15"/>
                <w:szCs w:val="15"/>
                <w:color w:val="auto"/>
              </w:rPr>
            </w:pPr>
          </w:p>
        </w:tc>
        <w:tc>
          <w:tcPr>
            <w:tcW w:w="45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600" w:type="dxa"/>
            <w:vAlign w:val="bottom"/>
          </w:tcPr>
          <w:p>
            <w:pPr>
              <w:spacing w:after="0"/>
              <w:rPr>
                <w:sz w:val="20"/>
                <w:szCs w:val="20"/>
                <w:color w:val="auto"/>
              </w:rPr>
            </w:pPr>
            <w:r>
              <w:rPr>
                <w:rFonts w:ascii="Times New Roman" w:cs="Times New Roman" w:eastAsia="Times New Roman" w:hAnsi="Times New Roman"/>
                <w:sz w:val="15"/>
                <w:szCs w:val="15"/>
                <w:color w:val="auto"/>
              </w:rPr>
              <w:t>Class A Common Stock, par value $0.001 per share</w:t>
            </w:r>
          </w:p>
        </w:tc>
        <w:tc>
          <w:tcPr>
            <w:tcW w:w="120" w:type="dxa"/>
            <w:vAlign w:val="bottom"/>
          </w:tcPr>
          <w:p>
            <w:pPr>
              <w:spacing w:after="0"/>
              <w:rPr>
                <w:sz w:val="15"/>
                <w:szCs w:val="15"/>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WOOF</w:t>
            </w:r>
          </w:p>
        </w:tc>
        <w:tc>
          <w:tcPr>
            <w:tcW w:w="120" w:type="dxa"/>
            <w:vAlign w:val="bottom"/>
          </w:tcPr>
          <w:p>
            <w:pPr>
              <w:spacing w:after="0"/>
              <w:rPr>
                <w:sz w:val="15"/>
                <w:szCs w:val="15"/>
                <w:color w:val="auto"/>
              </w:rPr>
            </w:pPr>
          </w:p>
        </w:tc>
        <w:tc>
          <w:tcPr>
            <w:tcW w:w="45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The Nasdaq Stock Market LLC</w:t>
            </w:r>
          </w:p>
        </w:tc>
        <w:tc>
          <w:tcPr>
            <w:tcW w:w="0" w:type="dxa"/>
            <w:vAlign w:val="bottom"/>
          </w:tcPr>
          <w:p>
            <w:pPr>
              <w:spacing w:after="0"/>
              <w:rPr>
                <w:sz w:val="1"/>
                <w:szCs w:val="1"/>
                <w:color w:val="auto"/>
              </w:rPr>
            </w:pPr>
          </w:p>
        </w:tc>
      </w:tr>
      <w:tr>
        <w:trPr>
          <w:trHeight w:val="166"/>
        </w:trPr>
        <w:tc>
          <w:tcPr>
            <w:tcW w:w="4600" w:type="dxa"/>
            <w:vAlign w:val="bottom"/>
          </w:tcPr>
          <w:p>
            <w:pPr>
              <w:spacing w:after="0"/>
              <w:rPr>
                <w:sz w:val="20"/>
                <w:szCs w:val="20"/>
                <w:color w:val="auto"/>
              </w:rPr>
            </w:pPr>
            <w:r>
              <w:rPr>
                <w:rFonts w:ascii="Times New Roman" w:cs="Times New Roman" w:eastAsia="Times New Roman" w:hAnsi="Times New Roman"/>
                <w:sz w:val="13"/>
                <w:szCs w:val="13"/>
                <w:color w:val="auto"/>
              </w:rPr>
              <w:t xml:space="preserve">Securities registered pursuant to Section 12(g) of the Act: </w:t>
            </w:r>
            <w:r>
              <w:rPr>
                <w:rFonts w:ascii="Times New Roman" w:cs="Times New Roman" w:eastAsia="Times New Roman" w:hAnsi="Times New Roman"/>
                <w:sz w:val="13"/>
                <w:szCs w:val="13"/>
                <w:b w:val="1"/>
                <w:bCs w:val="1"/>
                <w:color w:val="auto"/>
              </w:rPr>
              <w:t>None</w:t>
            </w:r>
          </w:p>
        </w:tc>
        <w:tc>
          <w:tcPr>
            <w:tcW w:w="1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ind w:right="4540"/>
        <w:spacing w:after="0" w:line="193" w:lineRule="exact"/>
        <w:rPr>
          <w:sz w:val="20"/>
          <w:szCs w:val="20"/>
          <w:color w:val="auto"/>
        </w:rPr>
      </w:pPr>
      <w:r>
        <w:rPr>
          <w:rFonts w:ascii="Times New Roman" w:cs="Times New Roman" w:eastAsia="Times New Roman" w:hAnsi="Times New Roman"/>
          <w:sz w:val="12"/>
          <w:szCs w:val="12"/>
          <w:color w:val="auto"/>
        </w:rPr>
        <w:t xml:space="preserve">Indicate by check mark if the registrant is a well-known seasoned issuer, as defined in Rule 405 of the Securities Act. 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NO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Indicate by check mark if the registrant is not required to file reports pursuant to Section 13 or 15(d) of the Act. 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NO </w:t>
      </w:r>
      <w:r>
        <w:rPr>
          <w:rFonts w:ascii="MS PGothic" w:cs="MS PGothic" w:eastAsia="MS PGothic" w:hAnsi="MS PGothic"/>
          <w:sz w:val="12"/>
          <w:szCs w:val="12"/>
          <w:color w:val="auto"/>
        </w:rPr>
        <w:t>☒</w:t>
      </w:r>
    </w:p>
    <w:p>
      <w:pPr>
        <w:ind w:right="160"/>
        <w:spacing w:after="0" w:line="162"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ind w:right="240"/>
        <w:spacing w:after="0" w:line="158"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1" w:lineRule="exact"/>
        <w:rPr>
          <w:sz w:val="24"/>
          <w:szCs w:val="24"/>
          <w:color w:val="auto"/>
        </w:rPr>
      </w:pPr>
    </w:p>
    <w:p>
      <w:pPr>
        <w:ind w:right="200"/>
        <w:spacing w:after="0" w:line="228"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24" w:lineRule="exact"/>
        <w:rPr>
          <w:sz w:val="24"/>
          <w:szCs w:val="24"/>
          <w:color w:val="auto"/>
        </w:rPr>
      </w:pPr>
    </w:p>
    <w:tbl>
      <w:tblPr>
        <w:tblLayout w:type="fixed"/>
        <w:tblInd w:w="0" w:type="dxa"/>
        <w:tblCellMar>
          <w:top w:w="0" w:type="dxa"/>
          <w:left w:w="0" w:type="dxa"/>
          <w:bottom w:w="0" w:type="dxa"/>
          <w:right w:w="0" w:type="dxa"/>
        </w:tblCellMar>
      </w:tblPr>
      <w:tr>
        <w:trPr>
          <w:trHeight w:val="213"/>
        </w:trPr>
        <w:tc>
          <w:tcPr>
            <w:tcW w:w="1820" w:type="dxa"/>
            <w:vAlign w:val="bottom"/>
          </w:tcPr>
          <w:p>
            <w:pPr>
              <w:spacing w:after="0"/>
              <w:rPr>
                <w:sz w:val="20"/>
                <w:szCs w:val="20"/>
                <w:color w:val="auto"/>
              </w:rPr>
            </w:pPr>
            <w:r>
              <w:rPr>
                <w:rFonts w:ascii="Times New Roman" w:cs="Times New Roman" w:eastAsia="Times New Roman" w:hAnsi="Times New Roman"/>
                <w:sz w:val="13"/>
                <w:szCs w:val="13"/>
                <w:color w:val="auto"/>
              </w:rPr>
              <w:t>Large accelerated filer</w:t>
            </w:r>
          </w:p>
        </w:tc>
        <w:tc>
          <w:tcPr>
            <w:tcW w:w="3680" w:type="dxa"/>
            <w:vAlign w:val="bottom"/>
          </w:tcPr>
          <w:p>
            <w:pPr>
              <w:ind w:left="420"/>
              <w:spacing w:after="0" w:line="131" w:lineRule="exact"/>
              <w:rPr>
                <w:sz w:val="20"/>
                <w:szCs w:val="20"/>
                <w:color w:val="auto"/>
              </w:rPr>
            </w:pPr>
            <w:r>
              <w:rPr>
                <w:rFonts w:ascii="MS PGothic" w:cs="MS PGothic" w:eastAsia="MS PGothic" w:hAnsi="MS PGothic"/>
                <w:sz w:val="13"/>
                <w:szCs w:val="13"/>
                <w:color w:val="auto"/>
              </w:rPr>
              <w:t>☐</w:t>
            </w:r>
          </w:p>
        </w:tc>
        <w:tc>
          <w:tcPr>
            <w:tcW w:w="5000" w:type="dxa"/>
            <w:vAlign w:val="bottom"/>
          </w:tcPr>
          <w:p>
            <w:pPr>
              <w:ind w:left="3140"/>
              <w:spacing w:after="0"/>
              <w:rPr>
                <w:sz w:val="20"/>
                <w:szCs w:val="20"/>
                <w:color w:val="auto"/>
              </w:rPr>
            </w:pPr>
            <w:r>
              <w:rPr>
                <w:rFonts w:ascii="Times New Roman" w:cs="Times New Roman" w:eastAsia="Times New Roman" w:hAnsi="Times New Roman"/>
                <w:sz w:val="13"/>
                <w:szCs w:val="13"/>
                <w:color w:val="auto"/>
              </w:rPr>
              <w:t>Accelerated filer</w:t>
            </w:r>
          </w:p>
        </w:tc>
        <w:tc>
          <w:tcPr>
            <w:tcW w:w="600" w:type="dxa"/>
            <w:vAlign w:val="bottom"/>
          </w:tcPr>
          <w:p>
            <w:pPr>
              <w:ind w:left="500"/>
              <w:spacing w:after="0" w:line="101" w:lineRule="exact"/>
              <w:rPr>
                <w:sz w:val="20"/>
                <w:szCs w:val="20"/>
                <w:color w:val="auto"/>
              </w:rPr>
            </w:pPr>
            <w:r>
              <w:rPr>
                <w:rFonts w:ascii="MS PGothic" w:cs="MS PGothic" w:eastAsia="MS PGothic" w:hAnsi="MS PGothic"/>
                <w:sz w:val="10"/>
                <w:szCs w:val="10"/>
                <w:color w:val="auto"/>
                <w:w w:val="79"/>
              </w:rPr>
              <w:t>☒</w:t>
            </w:r>
          </w:p>
        </w:tc>
      </w:tr>
      <w:tr>
        <w:trPr>
          <w:trHeight w:val="283"/>
        </w:trPr>
        <w:tc>
          <w:tcPr>
            <w:tcW w:w="1820" w:type="dxa"/>
            <w:vAlign w:val="bottom"/>
          </w:tcPr>
          <w:p>
            <w:pPr>
              <w:spacing w:after="0"/>
              <w:rPr>
                <w:sz w:val="20"/>
                <w:szCs w:val="20"/>
                <w:color w:val="auto"/>
              </w:rPr>
            </w:pPr>
            <w:r>
              <w:rPr>
                <w:rFonts w:ascii="Times New Roman" w:cs="Times New Roman" w:eastAsia="Times New Roman" w:hAnsi="Times New Roman"/>
                <w:sz w:val="13"/>
                <w:szCs w:val="13"/>
                <w:color w:val="auto"/>
              </w:rPr>
              <w:t>Non-accelerated filer</w:t>
            </w:r>
          </w:p>
        </w:tc>
        <w:tc>
          <w:tcPr>
            <w:tcW w:w="3680" w:type="dxa"/>
            <w:vAlign w:val="bottom"/>
          </w:tcPr>
          <w:p>
            <w:pPr>
              <w:ind w:left="420"/>
              <w:spacing w:after="0" w:line="131" w:lineRule="exact"/>
              <w:rPr>
                <w:sz w:val="20"/>
                <w:szCs w:val="20"/>
                <w:color w:val="auto"/>
              </w:rPr>
            </w:pPr>
            <w:r>
              <w:rPr>
                <w:rFonts w:ascii="MS PGothic" w:cs="MS PGothic" w:eastAsia="MS PGothic" w:hAnsi="MS PGothic"/>
                <w:sz w:val="13"/>
                <w:szCs w:val="13"/>
                <w:color w:val="auto"/>
              </w:rPr>
              <w:t>☐</w:t>
            </w:r>
          </w:p>
        </w:tc>
        <w:tc>
          <w:tcPr>
            <w:tcW w:w="5000" w:type="dxa"/>
            <w:vAlign w:val="bottom"/>
          </w:tcPr>
          <w:p>
            <w:pPr>
              <w:ind w:left="3140"/>
              <w:spacing w:after="0"/>
              <w:rPr>
                <w:sz w:val="20"/>
                <w:szCs w:val="20"/>
                <w:color w:val="auto"/>
              </w:rPr>
            </w:pPr>
            <w:r>
              <w:rPr>
                <w:rFonts w:ascii="Times New Roman" w:cs="Times New Roman" w:eastAsia="Times New Roman" w:hAnsi="Times New Roman"/>
                <w:sz w:val="13"/>
                <w:szCs w:val="13"/>
                <w:color w:val="auto"/>
              </w:rPr>
              <w:t>Smaller reporting company</w:t>
            </w:r>
          </w:p>
        </w:tc>
        <w:tc>
          <w:tcPr>
            <w:tcW w:w="600" w:type="dxa"/>
            <w:vAlign w:val="bottom"/>
          </w:tcPr>
          <w:p>
            <w:pPr>
              <w:ind w:left="500"/>
              <w:spacing w:after="0" w:line="101" w:lineRule="exact"/>
              <w:rPr>
                <w:sz w:val="20"/>
                <w:szCs w:val="20"/>
                <w:color w:val="auto"/>
              </w:rPr>
            </w:pPr>
            <w:r>
              <w:rPr>
                <w:rFonts w:ascii="MS PGothic" w:cs="MS PGothic" w:eastAsia="MS PGothic" w:hAnsi="MS PGothic"/>
                <w:sz w:val="10"/>
                <w:szCs w:val="10"/>
                <w:color w:val="auto"/>
                <w:w w:val="79"/>
              </w:rPr>
              <w:t>☐</w:t>
            </w:r>
          </w:p>
        </w:tc>
      </w:tr>
      <w:tr>
        <w:trPr>
          <w:trHeight w:val="283"/>
        </w:trPr>
        <w:tc>
          <w:tcPr>
            <w:tcW w:w="1820" w:type="dxa"/>
            <w:vAlign w:val="bottom"/>
          </w:tcPr>
          <w:p>
            <w:pPr>
              <w:spacing w:after="0"/>
              <w:rPr>
                <w:sz w:val="20"/>
                <w:szCs w:val="20"/>
                <w:color w:val="auto"/>
              </w:rPr>
            </w:pPr>
            <w:r>
              <w:rPr>
                <w:rFonts w:ascii="Times New Roman" w:cs="Times New Roman" w:eastAsia="Times New Roman" w:hAnsi="Times New Roman"/>
                <w:sz w:val="13"/>
                <w:szCs w:val="13"/>
                <w:color w:val="auto"/>
              </w:rPr>
              <w:t>Emerging growth company</w:t>
            </w:r>
          </w:p>
        </w:tc>
        <w:tc>
          <w:tcPr>
            <w:tcW w:w="3680" w:type="dxa"/>
            <w:vAlign w:val="bottom"/>
          </w:tcPr>
          <w:p>
            <w:pPr>
              <w:ind w:left="420"/>
              <w:spacing w:after="0" w:line="131" w:lineRule="exact"/>
              <w:rPr>
                <w:sz w:val="20"/>
                <w:szCs w:val="20"/>
                <w:color w:val="auto"/>
              </w:rPr>
            </w:pPr>
            <w:r>
              <w:rPr>
                <w:rFonts w:ascii="MS PGothic" w:cs="MS PGothic" w:eastAsia="MS PGothic" w:hAnsi="MS PGothic"/>
                <w:sz w:val="13"/>
                <w:szCs w:val="13"/>
                <w:color w:val="auto"/>
              </w:rPr>
              <w:t>☐</w:t>
            </w:r>
          </w:p>
        </w:tc>
        <w:tc>
          <w:tcPr>
            <w:tcW w:w="5000" w:type="dxa"/>
            <w:vAlign w:val="bottom"/>
          </w:tcPr>
          <w:p>
            <w:pPr>
              <w:spacing w:after="0"/>
              <w:rPr>
                <w:sz w:val="24"/>
                <w:szCs w:val="24"/>
                <w:color w:val="auto"/>
              </w:rPr>
            </w:pPr>
          </w:p>
        </w:tc>
        <w:tc>
          <w:tcPr>
            <w:tcW w:w="600" w:type="dxa"/>
            <w:vAlign w:val="bottom"/>
          </w:tcPr>
          <w:p>
            <w:pPr>
              <w:spacing w:after="0"/>
              <w:rPr>
                <w:sz w:val="24"/>
                <w:szCs w:val="24"/>
                <w:color w:val="auto"/>
              </w:rPr>
            </w:pPr>
          </w:p>
        </w:tc>
      </w:tr>
    </w:tbl>
    <w:p>
      <w:pPr>
        <w:spacing w:after="0" w:line="18" w:lineRule="exact"/>
        <w:rPr>
          <w:sz w:val="24"/>
          <w:szCs w:val="24"/>
          <w:color w:val="auto"/>
        </w:rPr>
      </w:pPr>
    </w:p>
    <w:p>
      <w:pPr>
        <w:ind w:right="300"/>
        <w:spacing w:after="0" w:line="167"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ind w:right="220"/>
        <w:spacing w:after="0" w:line="162"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3"/>
          <w:szCs w:val="13"/>
          <w:color w:val="auto"/>
        </w:rPr>
        <w:t>☒</w:t>
      </w:r>
    </w:p>
    <w:p>
      <w:pPr>
        <w:ind w:right="120"/>
        <w:spacing w:after="0" w:line="158" w:lineRule="exact"/>
        <w:rPr>
          <w:sz w:val="20"/>
          <w:szCs w:val="20"/>
          <w:color w:val="auto"/>
        </w:rPr>
      </w:pPr>
      <w:r>
        <w:rPr>
          <w:rFonts w:ascii="Times New Roman" w:cs="Times New Roman" w:eastAsia="Times New Roman" w:hAnsi="Times New Roman"/>
          <w:sz w:val="13"/>
          <w:szCs w:val="13"/>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3"/>
          <w:szCs w:val="13"/>
          <w:color w:val="auto"/>
        </w:rPr>
        <w:t>☐</w:t>
      </w:r>
    </w:p>
    <w:p>
      <w:pPr>
        <w:spacing w:after="0" w:line="1" w:lineRule="exact"/>
        <w:rPr>
          <w:sz w:val="24"/>
          <w:szCs w:val="24"/>
          <w:color w:val="auto"/>
        </w:rPr>
      </w:pPr>
    </w:p>
    <w:p>
      <w:pPr>
        <w:ind w:right="240"/>
        <w:spacing w:after="0" w:line="159" w:lineRule="exact"/>
        <w:rPr>
          <w:sz w:val="20"/>
          <w:szCs w:val="20"/>
          <w:color w:val="auto"/>
        </w:rPr>
      </w:pPr>
      <w:r>
        <w:rPr>
          <w:rFonts w:ascii="Times New Roman" w:cs="Times New Roman" w:eastAsia="Times New Roman" w:hAnsi="Times New Roman"/>
          <w:sz w:val="13"/>
          <w:szCs w:val="13"/>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3"/>
          <w:szCs w:val="13"/>
          <w:color w:val="auto"/>
        </w:rPr>
        <w:t>☐</w:t>
      </w:r>
    </w:p>
    <w:p>
      <w:pPr>
        <w:spacing w:after="0" w:line="1" w:lineRule="exact"/>
        <w:rPr>
          <w:sz w:val="24"/>
          <w:szCs w:val="24"/>
          <w:color w:val="auto"/>
        </w:rPr>
      </w:pPr>
    </w:p>
    <w:p>
      <w:pPr>
        <w:spacing w:after="0" w:line="150"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31" w:lineRule="exact"/>
        <w:rPr>
          <w:sz w:val="24"/>
          <w:szCs w:val="24"/>
          <w:color w:val="auto"/>
        </w:rPr>
      </w:pPr>
    </w:p>
    <w:p>
      <w:pPr>
        <w:spacing w:after="0" w:line="228" w:lineRule="auto"/>
        <w:rPr>
          <w:sz w:val="20"/>
          <w:szCs w:val="20"/>
          <w:color w:val="auto"/>
        </w:rPr>
      </w:pPr>
      <w:r>
        <w:rPr>
          <w:rFonts w:ascii="Times New Roman" w:cs="Times New Roman" w:eastAsia="Times New Roman" w:hAnsi="Times New Roman"/>
          <w:sz w:val="13"/>
          <w:szCs w:val="13"/>
          <w:color w:val="auto"/>
        </w:rPr>
        <w:t>The aggregate market value of the voting and non-voting common equity held by non-affiliates of the registrant, based on the closing price of the Common Stock on The Nasdaq Global Select Market on August 1, 2025, the last business day of the registrant’s most recently completed second fiscal quarter, was approximately $262 million.</w:t>
      </w:r>
    </w:p>
    <w:p>
      <w:pPr>
        <w:spacing w:after="0" w:line="12"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The number of shares of registrant’s Class A Common Stock outstanding as of March 11, 2026 was 246,564,864.</w:t>
      </w:r>
    </w:p>
    <w:p>
      <w:pPr>
        <w:spacing w:after="0" w:line="26"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The number of shares of registrant’s Class B-1 Common Stock outstanding as of March 11, 2026 was 37,790,781.</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The number of shares of registrant’s Class B-2 Common Stock outstanding as of March 11, 2026 was 37,790,781.</w:t>
      </w:r>
    </w:p>
    <w:p>
      <w:pPr>
        <w:spacing w:after="0" w:line="64" w:lineRule="exact"/>
        <w:rPr>
          <w:sz w:val="24"/>
          <w:szCs w:val="24"/>
          <w:color w:val="auto"/>
        </w:rPr>
      </w:pPr>
    </w:p>
    <w:p>
      <w:pPr>
        <w:ind w:left="100"/>
        <w:spacing w:after="0"/>
        <w:tabs>
          <w:tab w:leader="none" w:pos="1680" w:val="left"/>
          <w:tab w:leader="none" w:pos="3280" w:val="left"/>
          <w:tab w:leader="none" w:pos="4720" w:val="left"/>
          <w:tab w:leader="none" w:pos="6880" w:val="left"/>
          <w:tab w:leader="none" w:pos="8600" w:val="left"/>
        </w:tabs>
        <w:rPr>
          <w:sz w:val="20"/>
          <w:szCs w:val="20"/>
          <w:color w:val="auto"/>
        </w:rPr>
      </w:pPr>
      <w:r>
        <w:rPr>
          <w:rFonts w:ascii="Times New Roman" w:cs="Times New Roman" w:eastAsia="Times New Roman" w:hAnsi="Times New Roman"/>
          <w:sz w:val="13"/>
          <w:szCs w:val="13"/>
          <w:color w:val="auto"/>
        </w:rPr>
        <w:t>Auditor Firm Id:</w:t>
      </w:r>
      <w:r>
        <w:rPr>
          <w:sz w:val="20"/>
          <w:szCs w:val="20"/>
          <w:color w:val="auto"/>
        </w:rPr>
        <w:tab/>
      </w:r>
      <w:r>
        <w:rPr>
          <w:rFonts w:ascii="Times New Roman" w:cs="Times New Roman" w:eastAsia="Times New Roman" w:hAnsi="Times New Roman"/>
          <w:sz w:val="13"/>
          <w:szCs w:val="13"/>
          <w:color w:val="auto"/>
        </w:rPr>
        <w:t>42</w:t>
      </w:r>
      <w:r>
        <w:rPr>
          <w:sz w:val="20"/>
          <w:szCs w:val="20"/>
          <w:color w:val="auto"/>
        </w:rPr>
        <w:tab/>
      </w:r>
      <w:r>
        <w:rPr>
          <w:rFonts w:ascii="Times New Roman" w:cs="Times New Roman" w:eastAsia="Times New Roman" w:hAnsi="Times New Roman"/>
          <w:sz w:val="13"/>
          <w:szCs w:val="13"/>
          <w:color w:val="auto"/>
        </w:rPr>
        <w:t>Auditor Name:</w:t>
      </w:r>
      <w:r>
        <w:rPr>
          <w:sz w:val="20"/>
          <w:szCs w:val="20"/>
          <w:color w:val="auto"/>
        </w:rPr>
        <w:tab/>
      </w:r>
      <w:r>
        <w:rPr>
          <w:rFonts w:ascii="Times New Roman" w:cs="Times New Roman" w:eastAsia="Times New Roman" w:hAnsi="Times New Roman"/>
          <w:sz w:val="13"/>
          <w:szCs w:val="13"/>
          <w:color w:val="auto"/>
        </w:rPr>
        <w:t>Ernst &amp; Young LLP</w:t>
      </w:r>
      <w:r>
        <w:rPr>
          <w:sz w:val="20"/>
          <w:szCs w:val="20"/>
          <w:color w:val="auto"/>
        </w:rPr>
        <w:tab/>
      </w:r>
      <w:r>
        <w:rPr>
          <w:rFonts w:ascii="Times New Roman" w:cs="Times New Roman" w:eastAsia="Times New Roman" w:hAnsi="Times New Roman"/>
          <w:sz w:val="13"/>
          <w:szCs w:val="13"/>
          <w:color w:val="auto"/>
        </w:rPr>
        <w:t>Auditor Location:</w:t>
      </w:r>
      <w:r>
        <w:rPr>
          <w:sz w:val="20"/>
          <w:szCs w:val="20"/>
          <w:color w:val="auto"/>
        </w:rPr>
        <w:tab/>
      </w:r>
      <w:r>
        <w:rPr>
          <w:rFonts w:ascii="Times New Roman" w:cs="Times New Roman" w:eastAsia="Times New Roman" w:hAnsi="Times New Roman"/>
          <w:sz w:val="12"/>
          <w:szCs w:val="12"/>
          <w:color w:val="auto"/>
        </w:rPr>
        <w:t>San Diego, California</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color w:val="auto"/>
        </w:rPr>
        <w:t>DOCUMENTS INCORPORATED BY REFERENCE</w:t>
      </w:r>
    </w:p>
    <w:p>
      <w:pPr>
        <w:spacing w:after="0" w:line="48" w:lineRule="exact"/>
        <w:rPr>
          <w:sz w:val="24"/>
          <w:szCs w:val="24"/>
          <w:color w:val="auto"/>
        </w:rPr>
      </w:pPr>
    </w:p>
    <w:p>
      <w:pPr>
        <w:ind w:right="500"/>
        <w:spacing w:after="0"/>
        <w:rPr>
          <w:sz w:val="20"/>
          <w:szCs w:val="20"/>
          <w:color w:val="auto"/>
        </w:rPr>
      </w:pPr>
      <w:r>
        <w:rPr>
          <w:rFonts w:ascii="Times New Roman" w:cs="Times New Roman" w:eastAsia="Times New Roman" w:hAnsi="Times New Roman"/>
          <w:sz w:val="13"/>
          <w:szCs w:val="13"/>
          <w:color w:val="auto"/>
        </w:rPr>
        <w:t>The information required by Part III of this Annual Report on Form 10-K, to the extent not set forth herein, is incorporated herein by reference from the registrant’s definitive proxy statement to be filed pursuant to Regulation 14A in connection with the registrant’s 2026 annual meeting of stockholders within 120 days after the end of the fiscal year to which this Annual Report on Form 10-K relates.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906145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147320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66"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120" w:type="dxa"/>
            <w:vAlign w:val="bottom"/>
            <w:gridSpan w:val="9"/>
          </w:tcPr>
          <w:p>
            <w:pPr>
              <w:ind w:left="4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114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6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91"/>
        </w:trPr>
        <w:tc>
          <w:tcPr>
            <w:tcW w:w="1140" w:type="dxa"/>
            <w:vAlign w:val="bottom"/>
            <w:gridSpan w:val="3"/>
            <w:vMerge w:val="continue"/>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140" w:type="dxa"/>
            <w:vAlign w:val="bottom"/>
            <w:gridSpan w:val="3"/>
          </w:tcPr>
          <w:p>
            <w:pPr>
              <w:ind w:left="20"/>
              <w:spacing w:after="0" w:line="194" w:lineRule="exact"/>
              <w:rPr>
                <w:sz w:val="20"/>
                <w:szCs w:val="20"/>
                <w:color w:val="auto"/>
              </w:rPr>
            </w:pPr>
            <w:r>
              <w:rPr>
                <w:rFonts w:ascii="Times New Roman" w:cs="Times New Roman" w:eastAsia="Times New Roman" w:hAnsi="Times New Roman"/>
                <w:sz w:val="18"/>
                <w:szCs w:val="18"/>
                <w:color w:val="auto"/>
              </w:rPr>
              <w:t>Item 1.</w:t>
            </w:r>
          </w:p>
        </w:tc>
        <w:tc>
          <w:tcPr>
            <w:tcW w:w="9440" w:type="dxa"/>
            <w:vAlign w:val="bottom"/>
            <w:gridSpan w:val="23"/>
          </w:tcPr>
          <w:p>
            <w:pPr>
              <w:spacing w:after="0" w:line="194" w:lineRule="exact"/>
              <w:rPr>
                <w:sz w:val="20"/>
                <w:szCs w:val="20"/>
                <w:color w:val="auto"/>
              </w:rPr>
            </w:pPr>
            <w:r>
              <w:rPr>
                <w:rFonts w:ascii="Times New Roman" w:cs="Times New Roman" w:eastAsia="Times New Roman" w:hAnsi="Times New Roman"/>
                <w:sz w:val="18"/>
                <w:szCs w:val="18"/>
                <w:color w:val="0000FF"/>
              </w:rPr>
              <w:t>Business</w:t>
            </w:r>
          </w:p>
        </w:tc>
        <w:tc>
          <w:tcPr>
            <w:tcW w:w="66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gridSpan w:val="3"/>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44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Risk Factors</w:t>
            </w: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gridSpan w:val="3"/>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1B.</w:t>
            </w:r>
          </w:p>
        </w:tc>
        <w:tc>
          <w:tcPr>
            <w:tcW w:w="206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FF"/>
                <w:w w:val="99"/>
              </w:rPr>
              <w:t>Unresolved Staff Comments</w:t>
            </w:r>
          </w:p>
        </w:tc>
        <w:tc>
          <w:tcPr>
            <w:tcW w:w="7380" w:type="dxa"/>
            <w:vAlign w:val="bottom"/>
            <w:gridSpan w:val="12"/>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196"/>
        </w:trPr>
        <w:tc>
          <w:tcPr>
            <w:tcW w:w="1140" w:type="dxa"/>
            <w:vAlign w:val="bottom"/>
            <w:gridSpan w:val="3"/>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1C.</w:t>
            </w:r>
          </w:p>
        </w:tc>
        <w:tc>
          <w:tcPr>
            <w:tcW w:w="1020" w:type="dxa"/>
            <w:vAlign w:val="bottom"/>
            <w:tcBorders>
              <w:bottom w:val="single" w:sz="8" w:color="0000FF"/>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FF"/>
                <w:w w:val="98"/>
              </w:rPr>
              <w:t>Cybersecurity</w:t>
            </w:r>
          </w:p>
        </w:tc>
        <w:tc>
          <w:tcPr>
            <w:tcW w:w="8420" w:type="dxa"/>
            <w:vAlign w:val="bottom"/>
            <w:gridSpan w:val="18"/>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196"/>
        </w:trPr>
        <w:tc>
          <w:tcPr>
            <w:tcW w:w="1140" w:type="dxa"/>
            <w:vAlign w:val="bottom"/>
            <w:gridSpan w:val="3"/>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74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98"/>
              </w:rPr>
              <w:t>Properties</w:t>
            </w:r>
          </w:p>
        </w:tc>
        <w:tc>
          <w:tcPr>
            <w:tcW w:w="8700" w:type="dxa"/>
            <w:vAlign w:val="bottom"/>
            <w:gridSpan w:val="21"/>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196"/>
        </w:trPr>
        <w:tc>
          <w:tcPr>
            <w:tcW w:w="1140" w:type="dxa"/>
            <w:vAlign w:val="bottom"/>
            <w:gridSpan w:val="3"/>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134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FF"/>
                <w:w w:val="98"/>
              </w:rPr>
              <w:t>Legal Proceedings</w:t>
            </w:r>
          </w:p>
        </w:tc>
        <w:tc>
          <w:tcPr>
            <w:tcW w:w="8100" w:type="dxa"/>
            <w:vAlign w:val="bottom"/>
            <w:gridSpan w:val="16"/>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196"/>
        </w:trPr>
        <w:tc>
          <w:tcPr>
            <w:tcW w:w="1140" w:type="dxa"/>
            <w:vAlign w:val="bottom"/>
            <w:gridSpan w:val="3"/>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44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Mine Safety Disclosures</w:t>
            </w: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434"/>
        </w:trPr>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140" w:type="dxa"/>
            <w:vAlign w:val="bottom"/>
            <w:gridSpan w:val="3"/>
          </w:tcPr>
          <w:p>
            <w:pPr>
              <w:ind w:left="20"/>
              <w:spacing w:after="0" w:line="194" w:lineRule="exact"/>
              <w:rPr>
                <w:sz w:val="20"/>
                <w:szCs w:val="20"/>
                <w:color w:val="auto"/>
              </w:rPr>
            </w:pPr>
            <w:r>
              <w:rPr>
                <w:rFonts w:ascii="Times New Roman" w:cs="Times New Roman" w:eastAsia="Times New Roman" w:hAnsi="Times New Roman"/>
                <w:sz w:val="18"/>
                <w:szCs w:val="18"/>
                <w:color w:val="auto"/>
              </w:rPr>
              <w:t>Item 5.</w:t>
            </w:r>
          </w:p>
        </w:tc>
        <w:tc>
          <w:tcPr>
            <w:tcW w:w="8100" w:type="dxa"/>
            <w:vAlign w:val="bottom"/>
            <w:tcBorders>
              <w:bottom w:val="single" w:sz="8" w:color="0000EE"/>
            </w:tcBorders>
            <w:gridSpan w:val="22"/>
          </w:tcPr>
          <w:p>
            <w:pPr>
              <w:spacing w:after="0" w:line="194" w:lineRule="exact"/>
              <w:rPr>
                <w:sz w:val="20"/>
                <w:szCs w:val="20"/>
                <w:color w:val="auto"/>
              </w:rPr>
            </w:pPr>
            <w:r>
              <w:rPr>
                <w:rFonts w:ascii="Times New Roman" w:cs="Times New Roman" w:eastAsia="Times New Roman" w:hAnsi="Times New Roman"/>
                <w:sz w:val="18"/>
                <w:szCs w:val="18"/>
                <w:color w:val="0000FF"/>
                <w:w w:val="99"/>
              </w:rPr>
              <w:t>Market for Registrant’s Common Equity, Related Stockholder Matters and Issuer Purchases of Equity Securities</w:t>
            </w:r>
          </w:p>
        </w:tc>
        <w:tc>
          <w:tcPr>
            <w:tcW w:w="1340" w:type="dxa"/>
            <w:vAlign w:val="bottom"/>
          </w:tcPr>
          <w:p>
            <w:pPr>
              <w:spacing w:after="0"/>
              <w:rPr>
                <w:sz w:val="16"/>
                <w:szCs w:val="16"/>
                <w:color w:val="auto"/>
              </w:rPr>
            </w:pPr>
          </w:p>
        </w:tc>
        <w:tc>
          <w:tcPr>
            <w:tcW w:w="66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196"/>
        </w:trPr>
        <w:tc>
          <w:tcPr>
            <w:tcW w:w="1140" w:type="dxa"/>
            <w:vAlign w:val="bottom"/>
            <w:gridSpan w:val="3"/>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80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w w:val="98"/>
              </w:rPr>
              <w:t>[Reserved]</w:t>
            </w:r>
          </w:p>
        </w:tc>
        <w:tc>
          <w:tcPr>
            <w:tcW w:w="8640" w:type="dxa"/>
            <w:vAlign w:val="bottom"/>
            <w:gridSpan w:val="20"/>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196"/>
        </w:trPr>
        <w:tc>
          <w:tcPr>
            <w:tcW w:w="1140" w:type="dxa"/>
            <w:vAlign w:val="bottom"/>
            <w:gridSpan w:val="3"/>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7.</w:t>
            </w:r>
          </w:p>
        </w:tc>
        <w:tc>
          <w:tcPr>
            <w:tcW w:w="944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196"/>
        </w:trPr>
        <w:tc>
          <w:tcPr>
            <w:tcW w:w="1140" w:type="dxa"/>
            <w:vAlign w:val="bottom"/>
            <w:gridSpan w:val="3"/>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7A.</w:t>
            </w:r>
          </w:p>
        </w:tc>
        <w:tc>
          <w:tcPr>
            <w:tcW w:w="4360" w:type="dxa"/>
            <w:vAlign w:val="bottom"/>
            <w:tcBorders>
              <w:top w:val="single" w:sz="8" w:color="0000EE"/>
              <w:bottom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2100" w:type="dxa"/>
            <w:vAlign w:val="bottom"/>
            <w:tcBorders>
              <w:top w:val="single" w:sz="8" w:color="0000EE"/>
            </w:tcBorders>
            <w:gridSpan w:val="3"/>
          </w:tcPr>
          <w:p>
            <w:pPr>
              <w:spacing w:after="0"/>
              <w:rPr>
                <w:sz w:val="17"/>
                <w:szCs w:val="17"/>
                <w:color w:val="auto"/>
              </w:rPr>
            </w:pPr>
          </w:p>
        </w:tc>
        <w:tc>
          <w:tcPr>
            <w:tcW w:w="2980" w:type="dxa"/>
            <w:vAlign w:val="bottom"/>
            <w:gridSpan w:val="4"/>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196"/>
        </w:trPr>
        <w:tc>
          <w:tcPr>
            <w:tcW w:w="1140" w:type="dxa"/>
            <w:vAlign w:val="bottom"/>
            <w:gridSpan w:val="3"/>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8.</w:t>
            </w:r>
          </w:p>
        </w:tc>
        <w:tc>
          <w:tcPr>
            <w:tcW w:w="944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gridSpan w:val="6"/>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gridSpan w:val="3"/>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9.</w:t>
            </w:r>
          </w:p>
        </w:tc>
        <w:tc>
          <w:tcPr>
            <w:tcW w:w="6520" w:type="dxa"/>
            <w:vAlign w:val="bottom"/>
            <w:tcBorders>
              <w:bottom w:val="single" w:sz="8" w:color="0000EE"/>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FF"/>
                <w:w w:val="99"/>
              </w:rPr>
              <w:t>Changes in and Disagreements With Accountants on Accounting and Financial Disclosure</w:t>
            </w:r>
          </w:p>
        </w:tc>
        <w:tc>
          <w:tcPr>
            <w:tcW w:w="2920" w:type="dxa"/>
            <w:vAlign w:val="bottom"/>
            <w:gridSpan w:val="3"/>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196"/>
        </w:trPr>
        <w:tc>
          <w:tcPr>
            <w:tcW w:w="1140" w:type="dxa"/>
            <w:vAlign w:val="bottom"/>
            <w:gridSpan w:val="3"/>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9A.</w:t>
            </w:r>
          </w:p>
        </w:tc>
        <w:tc>
          <w:tcPr>
            <w:tcW w:w="178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FF"/>
                <w:w w:val="99"/>
              </w:rPr>
              <w:t>Controls and Procedures</w:t>
            </w:r>
          </w:p>
        </w:tc>
        <w:tc>
          <w:tcPr>
            <w:tcW w:w="7660" w:type="dxa"/>
            <w:vAlign w:val="bottom"/>
            <w:gridSpan w:val="14"/>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196"/>
        </w:trPr>
        <w:tc>
          <w:tcPr>
            <w:tcW w:w="1140" w:type="dxa"/>
            <w:vAlign w:val="bottom"/>
            <w:gridSpan w:val="3"/>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9B.</w:t>
            </w:r>
          </w:p>
        </w:tc>
        <w:tc>
          <w:tcPr>
            <w:tcW w:w="132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FF"/>
                <w:w w:val="98"/>
              </w:rPr>
              <w:t>Other Information</w:t>
            </w:r>
          </w:p>
        </w:tc>
        <w:tc>
          <w:tcPr>
            <w:tcW w:w="8120" w:type="dxa"/>
            <w:vAlign w:val="bottom"/>
            <w:gridSpan w:val="17"/>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196"/>
        </w:trPr>
        <w:tc>
          <w:tcPr>
            <w:tcW w:w="1140" w:type="dxa"/>
            <w:vAlign w:val="bottom"/>
            <w:gridSpan w:val="3"/>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9C.</w:t>
            </w:r>
          </w:p>
        </w:tc>
        <w:tc>
          <w:tcPr>
            <w:tcW w:w="944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434"/>
        </w:trPr>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PART III</w:t>
            </w:r>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140" w:type="dxa"/>
            <w:vAlign w:val="bottom"/>
            <w:gridSpan w:val="3"/>
          </w:tcPr>
          <w:p>
            <w:pPr>
              <w:ind w:left="20"/>
              <w:spacing w:after="0" w:line="194" w:lineRule="exact"/>
              <w:rPr>
                <w:sz w:val="20"/>
                <w:szCs w:val="20"/>
                <w:color w:val="auto"/>
              </w:rPr>
            </w:pPr>
            <w:r>
              <w:rPr>
                <w:rFonts w:ascii="Times New Roman" w:cs="Times New Roman" w:eastAsia="Times New Roman" w:hAnsi="Times New Roman"/>
                <w:sz w:val="18"/>
                <w:szCs w:val="18"/>
                <w:color w:val="auto"/>
              </w:rPr>
              <w:t>Item 10.</w:t>
            </w:r>
          </w:p>
        </w:tc>
        <w:tc>
          <w:tcPr>
            <w:tcW w:w="4100" w:type="dxa"/>
            <w:vAlign w:val="bottom"/>
            <w:tcBorders>
              <w:bottom w:val="single" w:sz="8" w:color="0000EE"/>
            </w:tcBorders>
            <w:gridSpan w:val="15"/>
          </w:tcPr>
          <w:p>
            <w:pPr>
              <w:spacing w:after="0" w:line="194" w:lineRule="exact"/>
              <w:rPr>
                <w:sz w:val="20"/>
                <w:szCs w:val="20"/>
                <w:color w:val="auto"/>
              </w:rPr>
            </w:pPr>
            <w:r>
              <w:rPr>
                <w:rFonts w:ascii="Times New Roman" w:cs="Times New Roman" w:eastAsia="Times New Roman" w:hAnsi="Times New Roman"/>
                <w:sz w:val="18"/>
                <w:szCs w:val="18"/>
                <w:color w:val="0000FF"/>
                <w:w w:val="99"/>
              </w:rPr>
              <w:t>Directors, Executive Officers and Corporate Governance</w:t>
            </w:r>
          </w:p>
        </w:tc>
        <w:tc>
          <w:tcPr>
            <w:tcW w:w="5340" w:type="dxa"/>
            <w:vAlign w:val="bottom"/>
            <w:gridSpan w:val="8"/>
          </w:tcPr>
          <w:p>
            <w:pPr>
              <w:spacing w:after="0"/>
              <w:rPr>
                <w:sz w:val="16"/>
                <w:szCs w:val="16"/>
                <w:color w:val="auto"/>
              </w:rPr>
            </w:pPr>
          </w:p>
        </w:tc>
        <w:tc>
          <w:tcPr>
            <w:tcW w:w="66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196"/>
        </w:trPr>
        <w:tc>
          <w:tcPr>
            <w:tcW w:w="1140" w:type="dxa"/>
            <w:vAlign w:val="bottom"/>
            <w:gridSpan w:val="3"/>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11.</w:t>
            </w:r>
          </w:p>
        </w:tc>
        <w:tc>
          <w:tcPr>
            <w:tcW w:w="944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Executive Compensation</w:t>
            </w: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60" w:type="dxa"/>
            <w:vAlign w:val="bottom"/>
            <w:gridSpan w:val="8"/>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60" w:type="dxa"/>
            <w:vAlign w:val="bottom"/>
            <w:gridSpan w:val="5"/>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gridSpan w:val="3"/>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12.</w:t>
            </w:r>
          </w:p>
        </w:tc>
        <w:tc>
          <w:tcPr>
            <w:tcW w:w="7300" w:type="dxa"/>
            <w:vAlign w:val="bottom"/>
            <w:tcBorders>
              <w:bottom w:val="single" w:sz="8" w:color="0000EE"/>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FF"/>
                <w:w w:val="99"/>
              </w:rPr>
              <w:t>Security Ownership of Certain Beneficial Owners and Management and Related Stockholder Matters</w:t>
            </w:r>
          </w:p>
        </w:tc>
        <w:tc>
          <w:tcPr>
            <w:tcW w:w="2140" w:type="dxa"/>
            <w:vAlign w:val="bottom"/>
            <w:gridSpan w:val="2"/>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196"/>
        </w:trPr>
        <w:tc>
          <w:tcPr>
            <w:tcW w:w="1140" w:type="dxa"/>
            <w:vAlign w:val="bottom"/>
            <w:gridSpan w:val="3"/>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13.</w:t>
            </w:r>
          </w:p>
        </w:tc>
        <w:tc>
          <w:tcPr>
            <w:tcW w:w="5460" w:type="dxa"/>
            <w:vAlign w:val="bottom"/>
            <w:tcBorders>
              <w:bottom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FF"/>
                <w:w w:val="99"/>
              </w:rPr>
              <w:t>Certain Relationships and Related Transactions, and Director Independence</w:t>
            </w:r>
          </w:p>
        </w:tc>
        <w:tc>
          <w:tcPr>
            <w:tcW w:w="3980" w:type="dxa"/>
            <w:vAlign w:val="bottom"/>
            <w:gridSpan w:val="5"/>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196"/>
        </w:trPr>
        <w:tc>
          <w:tcPr>
            <w:tcW w:w="1140" w:type="dxa"/>
            <w:vAlign w:val="bottom"/>
            <w:gridSpan w:val="3"/>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14.</w:t>
            </w:r>
          </w:p>
        </w:tc>
        <w:tc>
          <w:tcPr>
            <w:tcW w:w="944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Principal Accounting Fees and Services</w:t>
            </w: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434"/>
        </w:trPr>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140" w:type="dxa"/>
            <w:vAlign w:val="bottom"/>
            <w:gridSpan w:val="3"/>
          </w:tcPr>
          <w:p>
            <w:pPr>
              <w:ind w:left="20"/>
              <w:spacing w:after="0" w:line="194" w:lineRule="exact"/>
              <w:rPr>
                <w:sz w:val="20"/>
                <w:szCs w:val="20"/>
                <w:color w:val="auto"/>
              </w:rPr>
            </w:pPr>
            <w:r>
              <w:rPr>
                <w:rFonts w:ascii="Times New Roman" w:cs="Times New Roman" w:eastAsia="Times New Roman" w:hAnsi="Times New Roman"/>
                <w:sz w:val="18"/>
                <w:szCs w:val="18"/>
                <w:color w:val="auto"/>
              </w:rPr>
              <w:t>Item 15.</w:t>
            </w:r>
          </w:p>
        </w:tc>
        <w:tc>
          <w:tcPr>
            <w:tcW w:w="9440" w:type="dxa"/>
            <w:vAlign w:val="bottom"/>
            <w:gridSpan w:val="23"/>
          </w:tcPr>
          <w:p>
            <w:pPr>
              <w:spacing w:after="0" w:line="194" w:lineRule="exact"/>
              <w:rPr>
                <w:sz w:val="20"/>
                <w:szCs w:val="20"/>
                <w:color w:val="auto"/>
              </w:rPr>
            </w:pPr>
            <w:r>
              <w:rPr>
                <w:rFonts w:ascii="Times New Roman" w:cs="Times New Roman" w:eastAsia="Times New Roman" w:hAnsi="Times New Roman"/>
                <w:sz w:val="18"/>
                <w:szCs w:val="18"/>
                <w:color w:val="0000FF"/>
              </w:rPr>
              <w:t>Exhibits, Financial Statement Schedules</w:t>
            </w:r>
          </w:p>
        </w:tc>
        <w:tc>
          <w:tcPr>
            <w:tcW w:w="66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196"/>
        </w:trPr>
        <w:tc>
          <w:tcPr>
            <w:tcW w:w="1140" w:type="dxa"/>
            <w:vAlign w:val="bottom"/>
            <w:gridSpan w:val="3"/>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16.</w:t>
            </w:r>
          </w:p>
        </w:tc>
        <w:tc>
          <w:tcPr>
            <w:tcW w:w="2900" w:type="dxa"/>
            <w:vAlign w:val="bottom"/>
            <w:tcBorders>
              <w:top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FF"/>
              </w:rPr>
              <w:t>Form 10-K Summary</w:t>
            </w:r>
          </w:p>
        </w:tc>
        <w:tc>
          <w:tcPr>
            <w:tcW w:w="6540" w:type="dxa"/>
            <w:vAlign w:val="bottom"/>
            <w:gridSpan w:val="10"/>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196"/>
        </w:trPr>
        <w:tc>
          <w:tcPr>
            <w:tcW w:w="1140" w:type="dxa"/>
            <w:vAlign w:val="bottom"/>
            <w:gridSpan w:val="3"/>
          </w:tcPr>
          <w:p>
            <w:pPr>
              <w:ind w:left="120"/>
              <w:spacing w:after="0" w:line="196" w:lineRule="exact"/>
              <w:rPr>
                <w:sz w:val="20"/>
                <w:szCs w:val="20"/>
                <w:color w:val="auto"/>
              </w:rPr>
            </w:pPr>
            <w:r>
              <w:rPr>
                <w:rFonts w:ascii="Times New Roman" w:cs="Times New Roman" w:eastAsia="Times New Roman" w:hAnsi="Times New Roman"/>
                <w:sz w:val="18"/>
                <w:szCs w:val="18"/>
                <w:color w:val="0000FF"/>
              </w:rPr>
              <w:t>Signatures</w:t>
            </w:r>
          </w:p>
        </w:tc>
        <w:tc>
          <w:tcPr>
            <w:tcW w:w="6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669"/>
        </w:trPr>
        <w:tc>
          <w:tcPr>
            <w:tcW w:w="120" w:type="dxa"/>
            <w:vAlign w:val="bottom"/>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260" w:type="dxa"/>
            <w:vAlign w:val="bottom"/>
          </w:tcPr>
          <w:p>
            <w:pPr>
              <w:spacing w:after="0"/>
              <w:rPr>
                <w:sz w:val="24"/>
                <w:szCs w:val="24"/>
                <w:color w:val="auto"/>
              </w:rPr>
            </w:pPr>
          </w:p>
        </w:tc>
        <w:tc>
          <w:tcPr>
            <w:tcW w:w="4900" w:type="dxa"/>
            <w:vAlign w:val="bottom"/>
            <w:gridSpan w:val="17"/>
          </w:tcPr>
          <w:p>
            <w:pPr>
              <w:ind w:left="4440"/>
              <w:spacing w:after="0"/>
              <w:rPr>
                <w:sz w:val="20"/>
                <w:szCs w:val="20"/>
                <w:color w:val="auto"/>
              </w:rPr>
            </w:pPr>
            <w:r>
              <w:rPr>
                <w:rFonts w:ascii="Times New Roman" w:cs="Times New Roman" w:eastAsia="Times New Roman" w:hAnsi="Times New Roman"/>
                <w:sz w:val="18"/>
                <w:szCs w:val="18"/>
                <w:color w:val="auto"/>
              </w:rPr>
              <w:t>1</w:t>
            </w: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Note on the Presentation</w:t>
      </w:r>
    </w:p>
    <w:p>
      <w:pPr>
        <w:spacing w:after="0" w:line="121" w:lineRule="exact"/>
        <w:rPr>
          <w:sz w:val="20"/>
          <w:szCs w:val="20"/>
          <w:color w:val="auto"/>
        </w:rPr>
      </w:pPr>
    </w:p>
    <w:p>
      <w:pPr>
        <w:ind w:firstLine="747"/>
        <w:spacing w:after="0" w:line="258" w:lineRule="auto"/>
        <w:rPr>
          <w:sz w:val="20"/>
          <w:szCs w:val="20"/>
          <w:color w:val="auto"/>
        </w:rPr>
      </w:pPr>
      <w:r>
        <w:rPr>
          <w:rFonts w:ascii="Times New Roman" w:cs="Times New Roman" w:eastAsia="Times New Roman" w:hAnsi="Times New Roman"/>
          <w:sz w:val="18"/>
          <w:szCs w:val="18"/>
          <w:color w:val="auto"/>
        </w:rPr>
        <w:t>Unless otherwise indicated or the context otherwise requires, references in this Annual Report on Form 10-K to (i) “Petco,” “our company,” “we,” “our,” and “us,” or like terms, refer to Petco Health and Wellness Company, Inc. and/or its subsidiaries, individually and/or collectively, and (ii) “common stock” refer to our Class A common stock, our Class B-1 common stock and our Class B-2 common stock, collectively. References to our certificate of incorporation and bylaws are to our second amended and restated certificate of incorporation, as amended, and our third amended and restated bylaws, respectively.</w:t>
      </w:r>
    </w:p>
    <w:p>
      <w:pPr>
        <w:spacing w:after="0" w:line="183" w:lineRule="exact"/>
        <w:rPr>
          <w:sz w:val="20"/>
          <w:szCs w:val="20"/>
          <w:color w:val="auto"/>
        </w:rPr>
      </w:pPr>
    </w:p>
    <w:p>
      <w:pPr>
        <w:jc w:val="both"/>
        <w:ind w:right="180" w:firstLine="749"/>
        <w:spacing w:after="0" w:line="266" w:lineRule="auto"/>
        <w:rPr>
          <w:sz w:val="20"/>
          <w:szCs w:val="20"/>
          <w:color w:val="auto"/>
        </w:rPr>
      </w:pPr>
      <w:r>
        <w:rPr>
          <w:rFonts w:ascii="Times New Roman" w:cs="Times New Roman" w:eastAsia="Times New Roman" w:hAnsi="Times New Roman"/>
          <w:sz w:val="18"/>
          <w:szCs w:val="18"/>
          <w:color w:val="auto"/>
        </w:rPr>
        <w:t>We are currently indirectly controlled by certain funds (the “CVC Funds”) that are advised and/or managed by CVC Capital Partners (“CVC”) and Canada Pension Plan Investment Board, a Canadian company (together with its affiliates, “CPP Investments” and, together with the CVC Funds, our “Sponsors”). Our Sponsors primarily exercise their control through Scooby Aggregator, LP (our “Principal Stockholder”).</w:t>
      </w:r>
    </w:p>
    <w:p>
      <w:pPr>
        <w:spacing w:after="0" w:line="176" w:lineRule="exact"/>
        <w:rPr>
          <w:sz w:val="20"/>
          <w:szCs w:val="20"/>
          <w:color w:val="auto"/>
        </w:rPr>
      </w:pPr>
    </w:p>
    <w:p>
      <w:pPr>
        <w:ind w:right="240" w:firstLine="749"/>
        <w:spacing w:after="0" w:line="266" w:lineRule="auto"/>
        <w:rPr>
          <w:sz w:val="20"/>
          <w:szCs w:val="20"/>
          <w:color w:val="auto"/>
        </w:rPr>
      </w:pPr>
      <w:r>
        <w:rPr>
          <w:rFonts w:ascii="Times New Roman" w:cs="Times New Roman" w:eastAsia="Times New Roman" w:hAnsi="Times New Roman"/>
          <w:sz w:val="18"/>
          <w:szCs w:val="18"/>
          <w:color w:val="auto"/>
        </w:rPr>
        <w:t>We report on the basis of a 52- or 53-week fiscal year, which ends on the Saturday closest to January 31. References to “fiscal year” mean the year in which that fiscal year began. For example, references to fiscal 2025 refer to the fiscal year beginning February 2, 2025 and ending January 31, 2026.</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Industry and Market Data</w:t>
      </w:r>
    </w:p>
    <w:p>
      <w:pPr>
        <w:spacing w:after="0" w:line="229"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This Annual Report on Form 10-K includes market data and forecasts with respect to the pet care industry. Although we are responsible for all of the disclosure contained in this Annual Report on Form 10-K, in some cases we rely on and refer to market data and certain industry forecasts that were obtained from third-party surveys, market research, consultant surveys, publicly available information and industry publications and surveys that we believe to be reliable. Unless otherwise indicated, all market and industry data and other statistical information and forecasts contained in this Annual Report on Form 10-K are based on independent industry publications, government publications, reports by market research firms or other published independent sources, such as Packaged Facts, and other externally obtained data that we believe to be reliable. Some market and industry data, and statistical information and forecasts, are also based on management’s estimates, which are derived from our review of internal surveys as well as the independent sources referred to above. Any such market data, information or forecast may prove to be inaccurate because of the method by which we obtain it or because it cannot always be verified with complete certainty given the limits on the availability and reliability of raw data, the voluntary nature of the data gathering process, and other limitations and uncertainties, including those discussed under the caption “Risk Factors” in Part I, Item 1A of this Annual Report on Form 10-K. As a result, although we believe that these sources are reliable, we have not independently verified the information.</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21"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This Annual Report on Form 10-K contains “forward-looking statements” within the meaning of the Private Securities Litigation Reform Act of 1995, as contained in Section 27A of the Securities Act of 1933, as amended (the “Securities Act”), and Section 21E of the Securities Exchange Act of 1934, as amended (the “Exchange Act”), concerning expectations, beliefs, plans, objectives, goals, strategies, future events or performance, and underlying assumptions and other statements that are not statements of historical fact, including, but not limited to, statements regarding: our expectations with respect to our revenue, expenses, profitability, and other operating results; our growth plans; our ability to compete effectively in the markets in which we participate; the execution on our transformation initiatives; and the impact of certain macroeconomic factors, including tariffs, inflationary and interest rate pressures, consumer spending patterns, global supply chain constraints, and global economic and geopolitical developments, on our business. Forward-looking and other statements in this Annual Report on Form 10-K may also address our progress, plans, and goals with respect to sustainability initiatives, and the inclusion of such statements is not an indication that these contents are necessarily material to investors or required to be disclosed in our filings with the U.S. Securities and Exchange Commission (the “SEC”). Such plans and goals may change, and statements regarding such plans and goals are not guarantees or promises that they will be met. In addition, historical, current, and forward-looking sustainability-related statements may be based on standards for measuring progress that are still developing, internal controls and processes that continue to evolve, and assumptions that are subject to change in the future.</w:t>
      </w:r>
    </w:p>
    <w:p>
      <w:pPr>
        <w:spacing w:after="0" w:line="79"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Such forward-looking statements can generally be identified by the use of forward-looking terms such as “believes,” “expects,” “may,” “intends,” “will,” “shall,” “should,” “anticipates,” “opportunity,” “illustrative”, or the negative thereof or other variations thereon or comparable terminology. Although we believe that the expectations and assumptions reflected in these statements are reasonable, there can be no assurance that these expectations will prove to be correct or that any forward-looking results will occur or be realized. Nothing contained in this Annual Report on Form 10-K is, or should be relied upon as, a promise or representation or warranty as to any future matter, including any matter in respect of our operations or business or financial condition. All forward-looking statements are based on current expectations and assumptions about future events that may or may not be correct or necessarily take place and that are by their nature subject to significant uncertainties and contingencies, many of which are outside of our control.</w:t>
      </w:r>
    </w:p>
    <w:p>
      <w:pPr>
        <w:spacing w:after="0" w:line="81"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Forward-looking statements are subject to many risks, uncertainties, and other factors that could cause actual results or events to differ materially from the potential results or events discussed in such forward-looking statements, including, without limitation, those identified in this Annual Report on Form 10-K as well as the following: (i) increased competition (including from multi-channel retailers, mass and grocery retailers, and e-Commerce providers); (ii) reduced consumer demand for our products and/or services; (iii) our reliance on key vendors; (iv) our ability to attract and retain qualified employees; (v) risks arising from statutory, regulatory and/or legal developments; (vi) macroeconomic pressures in the markets in which we operate, including inflation, prevailing interest rates, and the impact of tariffs; (vii) failure to effectively manage our costs; (viii) our reliance on our information technology systems; (ix) our ability to prevent or effectively respond to a data privacy or security breach; (x) our ability to effectively manage or integrate strategic ventures, alliances, or acquisitions and realize the anticipated benefits of such transactions; (xi) economic or regulatory developments that might affect our ability to provide attractive promotional financing; (xii) business interruptions and other supply chain issues; (xiii) catastrophic events, political tensions, conflicts and wars (such as the ongoing conflicts in Ukraine and the Middle East), government shutdowns, health crises, and pandemics; (xiv) our ability to maintain positive brand perception and recognition; (xv) product safety and quality concerns; (xvi) changes to labor or employment laws or regulations; (xvii) our ability to effectively manage our real estate portfolio; (xviii) constraints in the capital markets or our vendor credit terms; (xix) changes in our credit ratings; (xx) impairments of the carrying value of our goodwill and other intangible assets; (xxi) our ability to successfully implement our operational adjustments, achieve the expected benefits of our cost action plans, and drive improved profitability; (xxii) our ability to deliver sustainable, profitable growth; and (xxiii) the other risks, uncertainties, and other factors identified herein under “Risk Factors” and “Management’s Discussion and Analysis of Financial Condition and Results of Operations.” The occurrence of any such factors could significantly alter the results set forth in these statements.</w:t>
      </w:r>
    </w:p>
    <w:p>
      <w:pPr>
        <w:spacing w:after="0" w:line="193"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We caution that the foregoing list of risks, uncertainties, and other factors is not complete, and forward-looking statements speak only as of the date they are made. We undertake no duty to update publicly any such forward-looking statement, whether as a result of new information, future events, or otherwise, except as may be required by applicable law, regulation, or other competent legal authority.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4" w:name="page5"/>
    <w:bookmarkEnd w:id="4"/>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In addition, statements such as “we believe” and similar statements reflect our beliefs and opinions on the relevant subject. These statements are based on information available to us as of the date of this Annual Report on Form 10-K. While we believe that information provides a reasonable basis for these statements, that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spacing w:after="0" w:line="2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Risk Factors Summary</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Investing in our securities involves a high degree of risk. The following is a summary of the principal factors that make an investment in our securities speculative or risky, all of which are more fully described below in the section titled “Risk Factors.” This summary should be read in conjunction with the “Risk Factors” section and should not be relied upon as an exhaustive summary of the material risks facing our business. In addition to the following summary, you should consider the information set forth in the “Risk Factors” section and the other information contained in this Annual Report on Form 10-K before investing in our securities.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Business</w:t>
      </w:r>
    </w:p>
    <w:p>
      <w:pPr>
        <w:spacing w:after="0" w:line="121" w:lineRule="exact"/>
        <w:rPr>
          <w:sz w:val="20"/>
          <w:szCs w:val="20"/>
          <w:color w:val="auto"/>
        </w:rPr>
      </w:pPr>
    </w:p>
    <w:p>
      <w:pPr>
        <w:ind w:left="1020" w:right="14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decline in consumer spending or a change in consumer preferences or demographics could reduce our sales or profitability and adversely affect our business.</w:t>
      </w:r>
    </w:p>
    <w:p>
      <w:pPr>
        <w:spacing w:after="0" w:line="53" w:lineRule="exact"/>
        <w:rPr>
          <w:rFonts w:ascii="Times New Roman" w:cs="Times New Roman" w:eastAsia="Times New Roman" w:hAnsi="Times New Roman"/>
          <w:sz w:val="18"/>
          <w:szCs w:val="18"/>
          <w:color w:val="auto"/>
        </w:rPr>
      </w:pPr>
    </w:p>
    <w:p>
      <w:pPr>
        <w:ind w:left="1020" w:right="30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growth of our business depends in part on our ability to accurately predict consumer trends, successfully introduce new products and services, improve existing products and services, and expand into new offerings.</w:t>
      </w:r>
    </w:p>
    <w:p>
      <w:pPr>
        <w:spacing w:after="0" w:line="53" w:lineRule="exact"/>
        <w:rPr>
          <w:rFonts w:ascii="Times New Roman" w:cs="Times New Roman" w:eastAsia="Times New Roman" w:hAnsi="Times New Roman"/>
          <w:sz w:val="18"/>
          <w:szCs w:val="18"/>
          <w:color w:val="auto"/>
        </w:rPr>
      </w:pPr>
    </w:p>
    <w:p>
      <w:pPr>
        <w:ind w:left="1020" w:right="6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in the markets in which we operate, including internet-based competition, is strong and if we are unable to compete effectively, our ability to generate sales may suffer and our operating income and net income could decline.</w:t>
      </w:r>
    </w:p>
    <w:p>
      <w:pPr>
        <w:spacing w:after="0" w:line="53" w:lineRule="exact"/>
        <w:rPr>
          <w:rFonts w:ascii="Times New Roman" w:cs="Times New Roman" w:eastAsia="Times New Roman" w:hAnsi="Times New Roman"/>
          <w:sz w:val="18"/>
          <w:szCs w:val="18"/>
          <w:color w:val="auto"/>
        </w:rPr>
      </w:pPr>
    </w:p>
    <w:p>
      <w:pPr>
        <w:ind w:left="1020" w:right="40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execute our growth strategies successfully or manage and sustain our growth and, as a result, our business may be adversely affected.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at times, experienced difficulties recruiting and retaining skilled veterinarians due to shortages that could disrupt our business.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various risks as an e-commerce retailer.</w:t>
      </w:r>
    </w:p>
    <w:p>
      <w:pPr>
        <w:spacing w:after="0" w:line="117" w:lineRule="exact"/>
        <w:rPr>
          <w:rFonts w:ascii="Times New Roman" w:cs="Times New Roman" w:eastAsia="Times New Roman" w:hAnsi="Times New Roman"/>
          <w:sz w:val="18"/>
          <w:szCs w:val="18"/>
          <w:color w:val="auto"/>
        </w:rPr>
      </w:pPr>
    </w:p>
    <w:p>
      <w:pPr>
        <w:ind w:left="1020" w:right="20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generate or obtain sufficient capital to finance our growth strategies, we may be unable to sustain our growth and our business may be adversely affected.</w:t>
      </w:r>
    </w:p>
    <w:p>
      <w:pPr>
        <w:spacing w:after="0" w:line="53" w:lineRule="exact"/>
        <w:rPr>
          <w:rFonts w:ascii="Times New Roman" w:cs="Times New Roman" w:eastAsia="Times New Roman" w:hAnsi="Times New Roman"/>
          <w:sz w:val="18"/>
          <w:szCs w:val="18"/>
          <w:color w:val="auto"/>
        </w:rPr>
      </w:pPr>
    </w:p>
    <w:p>
      <w:pPr>
        <w:ind w:left="1020" w:right="300" w:hanging="503"/>
        <w:spacing w:after="0" w:line="266"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disruption, malfunction, or increased costs in the operation, expansion, or replenishment of our distribution centers or our supply chain would affect our ability to deliver to our locations and e-commerce customers or increase our expenses, which could harm our sales and profitability.</w:t>
      </w:r>
    </w:p>
    <w:p>
      <w:pPr>
        <w:spacing w:after="0" w:line="67" w:lineRule="exact"/>
        <w:rPr>
          <w:rFonts w:ascii="Times New Roman" w:cs="Times New Roman" w:eastAsia="Times New Roman" w:hAnsi="Times New Roman"/>
          <w:sz w:val="18"/>
          <w:szCs w:val="18"/>
          <w:color w:val="auto"/>
        </w:rPr>
      </w:pPr>
    </w:p>
    <w:p>
      <w:pPr>
        <w:ind w:left="1020" w:right="200" w:hanging="503"/>
        <w:spacing w:after="0" w:line="266"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occasionally seek to grow our business through acquisitions of or investments in new or complementary businesses, products, or services, or through strategic ventures, and the failure to successfully identify these opportunities, manage and integrate these acquisitions, investments, or alliances, or to achieve an adequate return on these investments, could have an adverse effect on us.</w:t>
      </w:r>
    </w:p>
    <w:p>
      <w:pPr>
        <w:spacing w:after="0" w:line="67" w:lineRule="exact"/>
        <w:rPr>
          <w:rFonts w:ascii="Times New Roman" w:cs="Times New Roman" w:eastAsia="Times New Roman" w:hAnsi="Times New Roman"/>
          <w:sz w:val="18"/>
          <w:szCs w:val="18"/>
          <w:color w:val="auto"/>
        </w:rPr>
      </w:pPr>
    </w:p>
    <w:p>
      <w:pPr>
        <w:ind w:left="1020" w:right="70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publicity arising from claims that we do not properly care for animals we handle or sell could adversely affect how we are perceived by the public and reduce our sales and profitability.</w:t>
      </w:r>
    </w:p>
    <w:p>
      <w:pPr>
        <w:spacing w:after="0" w:line="53" w:lineRule="exact"/>
        <w:rPr>
          <w:rFonts w:ascii="Times New Roman" w:cs="Times New Roman" w:eastAsia="Times New Roman" w:hAnsi="Times New Roman"/>
          <w:sz w:val="18"/>
          <w:szCs w:val="18"/>
          <w:color w:val="auto"/>
        </w:rPr>
      </w:pPr>
    </w:p>
    <w:p>
      <w:pPr>
        <w:ind w:left="1020" w:right="6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quarterly operating results may fluctuate due to the timing of expenses, new pet care center openings, pet care center closures, and other factors.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Pet consumables safety, quality, and health concerns could adversely affect our business.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attract and retain quality employees and experienced management personnel could adversely affect our performance.</w:t>
      </w:r>
    </w:p>
    <w:p>
      <w:pPr>
        <w:spacing w:after="0" w:line="117" w:lineRule="exact"/>
        <w:rPr>
          <w:rFonts w:ascii="Times New Roman" w:cs="Times New Roman" w:eastAsia="Times New Roman" w:hAnsi="Times New Roman"/>
          <w:sz w:val="18"/>
          <w:szCs w:val="18"/>
          <w:color w:val="auto"/>
        </w:rPr>
      </w:pPr>
    </w:p>
    <w:p>
      <w:pPr>
        <w:ind w:left="1020" w:right="20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results may be adversely affected by serious disruptions or catastrophic events, including public health issues, geopolitical events, and severe weather.</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9" w:right="37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Legal and Regulatory Matters</w:t>
      </w:r>
    </w:p>
    <w:p>
      <w:pPr>
        <w:spacing w:after="0" w:line="121" w:lineRule="exact"/>
        <w:rPr>
          <w:sz w:val="20"/>
          <w:szCs w:val="20"/>
          <w:color w:val="auto"/>
        </w:rPr>
      </w:pPr>
    </w:p>
    <w:p>
      <w:pPr>
        <w:ind w:left="520" w:right="380"/>
        <w:spacing w:after="0" w:line="266" w:lineRule="auto"/>
        <w:rPr>
          <w:sz w:val="20"/>
          <w:szCs w:val="20"/>
          <w:color w:val="auto"/>
        </w:rPr>
      </w:pPr>
      <w:r>
        <w:rPr>
          <w:rFonts w:ascii="Times New Roman" w:cs="Times New Roman" w:eastAsia="Times New Roman" w:hAnsi="Times New Roman"/>
          <w:sz w:val="18"/>
          <w:szCs w:val="18"/>
          <w:color w:val="auto"/>
        </w:rPr>
        <w:t>Failure to comply with governmental regulations or the expansion of existing or the enactment of new laws or regulations applicable to our veterinary services could adversely affect our business and our financial condition or lead to fines, litigation, or our inability to offer veterinary products or services in certain states.</w:t>
      </w:r>
    </w:p>
    <w:p>
      <w:pPr>
        <w:spacing w:after="0" w:line="68" w:lineRule="exact"/>
        <w:rPr>
          <w:sz w:val="20"/>
          <w:szCs w:val="20"/>
          <w:color w:val="auto"/>
        </w:rPr>
      </w:pPr>
    </w:p>
    <w:p>
      <w:pPr>
        <w:ind w:left="1020" w:hanging="503"/>
        <w:spacing w:after="0" w:line="266"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marketing programs, e-commerce initiatives, and use of personal information are governed by an evolving set of laws and enforcement trends, and changes in privacy laws or trends, or our failure to comply with existing or future laws, could substantially harm our business and results of operations.</w:t>
      </w:r>
    </w:p>
    <w:p>
      <w:pPr>
        <w:spacing w:after="0" w:line="67" w:lineRule="exact"/>
        <w:rPr>
          <w:rFonts w:ascii="Times New Roman" w:cs="Times New Roman" w:eastAsia="Times New Roman" w:hAnsi="Times New Roman"/>
          <w:sz w:val="18"/>
          <w:szCs w:val="18"/>
          <w:color w:val="auto"/>
        </w:rPr>
      </w:pPr>
    </w:p>
    <w:p>
      <w:pPr>
        <w:ind w:left="1020" w:right="200" w:hanging="503"/>
        <w:spacing w:after="0" w:line="266"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establish, maintain, protect, and enforce our intellectual property and proprietary rights or prevent third parties from making unauthorized use of our technology or our brand could harm our competitive position or require us to incur significant expenses to enforce our rights.</w:t>
      </w:r>
    </w:p>
    <w:p>
      <w:pPr>
        <w:spacing w:after="0" w:line="67" w:lineRule="exact"/>
        <w:rPr>
          <w:rFonts w:ascii="Times New Roman" w:cs="Times New Roman" w:eastAsia="Times New Roman" w:hAnsi="Times New Roman"/>
          <w:sz w:val="18"/>
          <w:szCs w:val="18"/>
          <w:color w:val="auto"/>
        </w:rPr>
      </w:pPr>
    </w:p>
    <w:p>
      <w:pPr>
        <w:ind w:left="1020" w:right="28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party to routine litigation arising in the ordinary course of business and may become involved in additional litigation, all of which requires time and attention from certain members of management and can result in significant legal expenses.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environmental, health, and safety laws and regulations that could result in costs to us.</w:t>
      </w:r>
    </w:p>
    <w:p>
      <w:pPr>
        <w:spacing w:after="0" w:line="117"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fail to comply with various state or federal regulations covering the dispensing and/or administration of prescription pet medications, including controlled substances, through our veterinary services businesses, which may subject us to reprimands, sanctions, probations, fines, or suspensions.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Indebtedness</w:t>
      </w:r>
    </w:p>
    <w:p>
      <w:pPr>
        <w:spacing w:after="0" w:line="121" w:lineRule="exact"/>
        <w:rPr>
          <w:sz w:val="20"/>
          <w:szCs w:val="20"/>
          <w:color w:val="auto"/>
        </w:rPr>
      </w:pPr>
    </w:p>
    <w:p>
      <w:pPr>
        <w:ind w:left="1020" w:right="64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substantial indebtedness could adversely affect our cash flows and prevent us from fulfilling our obligations under existing debt agreements.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agreements governing our indebtedness include restrictive covenants that limit our operating flexibility, which could harm our long-term interests.</w:t>
      </w:r>
    </w:p>
    <w:p>
      <w:pPr>
        <w:spacing w:after="0" w:line="53" w:lineRule="exact"/>
        <w:rPr>
          <w:rFonts w:ascii="Times New Roman" w:cs="Times New Roman" w:eastAsia="Times New Roman" w:hAnsi="Times New Roman"/>
          <w:sz w:val="18"/>
          <w:szCs w:val="18"/>
          <w:color w:val="auto"/>
        </w:rPr>
      </w:pPr>
    </w:p>
    <w:p>
      <w:pPr>
        <w:ind w:left="1020" w:right="4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comply with the covenants contained in the Indenture, Term Loan Credit Agreement and ABL Credit Agreement, including as a result of events beyond our control, could result in an event of default that could cause repayment of our debt to be accelerated.</w:t>
      </w:r>
    </w:p>
    <w:p>
      <w:pPr>
        <w:spacing w:after="0" w:line="53" w:lineRule="exact"/>
        <w:rPr>
          <w:rFonts w:ascii="Times New Roman" w:cs="Times New Roman" w:eastAsia="Times New Roman" w:hAnsi="Times New Roman"/>
          <w:sz w:val="18"/>
          <w:szCs w:val="18"/>
          <w:color w:val="auto"/>
        </w:rPr>
      </w:pPr>
    </w:p>
    <w:p>
      <w:pPr>
        <w:ind w:left="1020" w:right="18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borrowings permitted under the ABL Revolving Credit Facility may fluctuate significantly, which may adversely affect our liquidity, results of operations, and financial position.</w:t>
      </w:r>
    </w:p>
    <w:p>
      <w:pPr>
        <w:spacing w:after="0" w:line="53" w:lineRule="exact"/>
        <w:rPr>
          <w:rFonts w:ascii="Times New Roman" w:cs="Times New Roman" w:eastAsia="Times New Roman" w:hAnsi="Times New Roman"/>
          <w:sz w:val="18"/>
          <w:szCs w:val="18"/>
          <w:color w:val="auto"/>
        </w:rPr>
      </w:pPr>
    </w:p>
    <w:p>
      <w:pPr>
        <w:ind w:left="1020" w:right="20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need to repay or refinance borrowings under the First Lien Term Loan and ABL Revolving Credit Facility prior to maturity of the Senior Secured Notes.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Class A Common Stock</w:t>
      </w:r>
    </w:p>
    <w:p>
      <w:pPr>
        <w:spacing w:after="0" w:line="121" w:lineRule="exact"/>
        <w:rPr>
          <w:sz w:val="20"/>
          <w:szCs w:val="20"/>
          <w:color w:val="auto"/>
        </w:rPr>
      </w:pPr>
    </w:p>
    <w:p>
      <w:pPr>
        <w:ind w:left="1020" w:hanging="503"/>
        <w:spacing w:after="0" w:line="28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Sponsors have significant influence over us, including control over decisions that require the approval of stockholders, which could limit your ability to influence the outcome of matters submitted to stockholders for a vote.</w:t>
      </w:r>
    </w:p>
    <w:p>
      <w:pPr>
        <w:spacing w:after="0" w:line="53" w:lineRule="exact"/>
        <w:rPr>
          <w:rFonts w:ascii="Times New Roman" w:cs="Times New Roman" w:eastAsia="Times New Roman" w:hAnsi="Times New Roman"/>
          <w:sz w:val="18"/>
          <w:szCs w:val="18"/>
          <w:color w:val="auto"/>
        </w:rPr>
      </w:pPr>
    </w:p>
    <w:p>
      <w:pPr>
        <w:ind w:left="1020" w:right="300" w:hanging="503"/>
        <w:spacing w:after="0" w:line="266"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 “controlled company” within the meaning of the Nasdaq rules and, as a result, qualify for, and rely on, exemptions from certain corporate governance requirements. Accordingly, the holders of our Class A common stock do not have the same protections as those afforded to stockholders of companies that are subject to such governance requirements.</w:t>
      </w:r>
    </w:p>
    <w:p>
      <w:pPr>
        <w:spacing w:after="0" w:line="67" w:lineRule="exact"/>
        <w:rPr>
          <w:rFonts w:ascii="Times New Roman" w:cs="Times New Roman" w:eastAsia="Times New Roman" w:hAnsi="Times New Roman"/>
          <w:sz w:val="18"/>
          <w:szCs w:val="18"/>
          <w:color w:val="auto"/>
        </w:rPr>
      </w:pPr>
    </w:p>
    <w:p>
      <w:pPr>
        <w:ind w:left="1020" w:right="720" w:hanging="503"/>
        <w:spacing w:after="0" w:line="28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 holding company with nominal net worth and will depend on dividends and distributions from our subsidiaries to pay any dividends.</w:t>
      </w:r>
    </w:p>
    <w:p>
      <w:pPr>
        <w:spacing w:after="0" w:line="53" w:lineRule="exact"/>
        <w:rPr>
          <w:rFonts w:ascii="Times New Roman" w:cs="Times New Roman" w:eastAsia="Times New Roman" w:hAnsi="Times New Roman"/>
          <w:sz w:val="18"/>
          <w:szCs w:val="18"/>
          <w:color w:val="auto"/>
        </w:rPr>
      </w:pPr>
    </w:p>
    <w:p>
      <w:pPr>
        <w:ind w:left="1020" w:right="180" w:hanging="503"/>
        <w:spacing w:after="0" w:line="28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ratings downgrade or other negative action by a ratings organization could adversely affect the trading price of the shares of our Class A common stock.</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Risk Factors</w:t>
      </w:r>
    </w:p>
    <w:p>
      <w:pPr>
        <w:spacing w:after="0" w:line="121" w:lineRule="exact"/>
        <w:rPr>
          <w:sz w:val="20"/>
          <w:szCs w:val="20"/>
          <w:color w:val="auto"/>
        </w:rPr>
      </w:pPr>
    </w:p>
    <w:p>
      <w:pPr>
        <w:ind w:left="1020" w:hanging="503"/>
        <w:spacing w:after="0" w:line="28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significant portion of our total outstanding shares may be sold into the market, which could cause the market price of our Class A common stock to drop significantly, even if our business is doing well.</w:t>
      </w:r>
    </w:p>
    <w:p>
      <w:pPr>
        <w:spacing w:after="0" w:line="53" w:lineRule="exact"/>
        <w:rPr>
          <w:rFonts w:ascii="Times New Roman" w:cs="Times New Roman" w:eastAsia="Times New Roman" w:hAnsi="Times New Roman"/>
          <w:sz w:val="18"/>
          <w:szCs w:val="18"/>
          <w:color w:val="auto"/>
        </w:rPr>
      </w:pPr>
    </w:p>
    <w:p>
      <w:pPr>
        <w:ind w:left="1020" w:right="620" w:hanging="503"/>
        <w:spacing w:after="0" w:line="28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operating and financial performance in any given period does not meet the guidance that we have provided to the public or the expectations of our investors and analysts, our Class A common stock price may decline.</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3" w:right="379" w:bottom="1440" w:gutter="0" w:footer="0" w:header="0"/>
        </w:sectPr>
      </w:pPr>
    </w:p>
    <w:bookmarkStart w:id="6" w:name="page7"/>
    <w:bookmarkEnd w:id="6"/>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Company</w:t>
      </w:r>
    </w:p>
    <w:p>
      <w:pPr>
        <w:spacing w:after="0" w:line="121" w:lineRule="exact"/>
        <w:rPr>
          <w:sz w:val="20"/>
          <w:szCs w:val="20"/>
          <w:color w:val="auto"/>
        </w:rPr>
      </w:pPr>
    </w:p>
    <w:p>
      <w:pPr>
        <w:jc w:val="both"/>
        <w:ind w:right="40" w:firstLine="509"/>
        <w:spacing w:after="0" w:line="258" w:lineRule="auto"/>
        <w:rPr>
          <w:sz w:val="20"/>
          <w:szCs w:val="20"/>
          <w:color w:val="auto"/>
        </w:rPr>
      </w:pPr>
      <w:r>
        <w:rPr>
          <w:rFonts w:ascii="Times New Roman" w:cs="Times New Roman" w:eastAsia="Times New Roman" w:hAnsi="Times New Roman"/>
          <w:sz w:val="18"/>
          <w:szCs w:val="18"/>
          <w:color w:val="auto"/>
        </w:rPr>
        <w:t>Founded in 1965, Petco is a leading pet specialty retailer focused on improving the lives of pets, pet parents, and our own Petco partners. Building on more than 60 years of service to pets and the people who love and care for them, we serve our customers as a fully-integrated, omnichannel provider of pet products, services, and solutions. Our ecosystem provides our customers with a comprehensive offering of products and services to fulfill all their pets’ needs through our approximately 1,400 pet care centers across the United States and Puerto Rico, our digital channel, and our flexible fulfillment options. Additionally, we operate approximately 150 pet care centers in Mexico and 2 in Chile through a joint venture.</w:t>
      </w:r>
    </w:p>
    <w:p>
      <w:pPr>
        <w:spacing w:after="0" w:line="75"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Our product offering leverages a broad assortment of national brands, owned brands, and exclusive merchandise, providing customers with a wide variety of nutritional options at a range of price points. Our product offering is complemented by a wide variety of pet care supplies and companion animals. In addition, our owned product assortment, including WholeHearted, Reddy, So Phresh, and Well &amp; Good, serves as a significant driver of sales, customer loyalty, and repeat purchasing and was a meaningful contributor to enterprise sales in fiscal 2025.</w:t>
      </w:r>
    </w:p>
    <w:p>
      <w:pPr>
        <w:spacing w:after="0" w:line="72" w:lineRule="exact"/>
        <w:rPr>
          <w:sz w:val="20"/>
          <w:szCs w:val="20"/>
          <w:color w:val="auto"/>
        </w:rPr>
      </w:pPr>
    </w:p>
    <w:p>
      <w:pPr>
        <w:ind w:right="220" w:firstLine="509"/>
        <w:spacing w:after="0" w:line="258" w:lineRule="auto"/>
        <w:rPr>
          <w:sz w:val="20"/>
          <w:szCs w:val="20"/>
          <w:color w:val="auto"/>
        </w:rPr>
      </w:pPr>
      <w:r>
        <w:rPr>
          <w:rFonts w:ascii="Times New Roman" w:cs="Times New Roman" w:eastAsia="Times New Roman" w:hAnsi="Times New Roman"/>
          <w:sz w:val="18"/>
          <w:szCs w:val="18"/>
          <w:color w:val="auto"/>
        </w:rPr>
        <w:t>We integrate our product offering with our services business, comprised of veterinary care, grooming, and training, with a focus on treating the whole pet, including their physical, mental, and social well-being. As of January 31, 2026, we had approximately 300 full service veterinary hospitals in our network and operated approximately 1,600 Vetco clinics on a weekly basis. We are able to benefit from certain structural advantages compared to stand-alone veterinary care providers by integrating our hospitals into existing pet care centers. This provides additional basket opportunities and allows for, among other things, data sharing advantages across our ecosystem.</w:t>
      </w:r>
    </w:p>
    <w:p>
      <w:pPr>
        <w:spacing w:after="0" w:line="183"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Our strategy is powered by a multi-channel platform. Our more than 26,000 passionate and knowledgeable store employees, together with our full suite of wholly owned services, enable us to create a fun, convenient, and unique experience for our customers and their pets.</w:t>
      </w:r>
    </w:p>
    <w:p>
      <w:pPr>
        <w:spacing w:after="0" w:line="162"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Layered onto our in-store and services offerings, we are focused on continually improving both our digital capabilities as well as our membership offering and creating a digital-to-store experience designed to minimize friction for our customers. Petco.com, our e-Commerce site, and the Petco app, our personalized mobile app, together serve as hubs for pet parents to book appointments and manage all of their pets’ needs, while enabling them to shop wherever, whenever, and however they want. With many of our customers shopping both in-store and online, we are well positioned to serve pet parents wherever they are through our interconnected ecosystem, where we offer the convenience of repeat delivery, buy online and pickup in store, curbside pick-up, same day delivery, and ship from store, thus continuing to strengthen our position as the place “Where the Pets Go.”</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Industry Dynamics</w:t>
      </w:r>
    </w:p>
    <w:p>
      <w:pPr>
        <w:spacing w:after="0" w:line="121" w:lineRule="exact"/>
        <w:rPr>
          <w:sz w:val="20"/>
          <w:szCs w:val="20"/>
          <w:color w:val="auto"/>
        </w:rPr>
      </w:pPr>
    </w:p>
    <w:p>
      <w:pPr>
        <w:ind w:right="220" w:firstLine="509"/>
        <w:spacing w:after="0" w:line="261" w:lineRule="auto"/>
        <w:rPr>
          <w:sz w:val="20"/>
          <w:szCs w:val="20"/>
          <w:color w:val="auto"/>
        </w:rPr>
      </w:pPr>
      <w:r>
        <w:rPr>
          <w:rFonts w:ascii="Times New Roman" w:cs="Times New Roman" w:eastAsia="Times New Roman" w:hAnsi="Times New Roman"/>
          <w:sz w:val="18"/>
          <w:szCs w:val="18"/>
          <w:color w:val="auto"/>
        </w:rPr>
        <w:t>The U.S. pet care industry is large, serving millions of households with pets, and has exhibited steady growth driven by an increase in the pet population and ongoing trends in pet humanization and premiumization. Due to the essential, repeat nature of pet products and services, the industry has demonstrated resilience across various economic cycles. However, in recent years we have observed increased competition and softening discretionary spending with us, creating a challenging operating environment.</w:t>
      </w:r>
    </w:p>
    <w:p>
      <w:pPr>
        <w:spacing w:after="0" w:line="288" w:lineRule="exact"/>
        <w:rPr>
          <w:sz w:val="20"/>
          <w:szCs w:val="20"/>
          <w:color w:val="auto"/>
        </w:rPr>
      </w:pPr>
    </w:p>
    <w:p>
      <w:pPr>
        <w:ind w:right="40" w:firstLine="749"/>
        <w:spacing w:after="0" w:line="281" w:lineRule="auto"/>
        <w:rPr>
          <w:sz w:val="20"/>
          <w:szCs w:val="20"/>
          <w:color w:val="auto"/>
        </w:rPr>
      </w:pPr>
      <w:r>
        <w:rPr>
          <w:rFonts w:ascii="Times New Roman" w:cs="Times New Roman" w:eastAsia="Times New Roman" w:hAnsi="Times New Roman"/>
          <w:sz w:val="17"/>
          <w:szCs w:val="17"/>
          <w:color w:val="auto"/>
        </w:rPr>
        <w:t>In fiscal 2025, with new leadership in place, we embarked on a purposeful strategy to strengthen our fundamentals with a specific focus on driving improved profitability and cash flow. This strategy is anchored on four key pillars: providing a trusted store experience for our customers; offering new, trend-driven products that complement our evergreen assortment; scaling our unique and competitively differentiated services offering; and powering it all with an integrated omni-channel experience driven by a revamped membership offering, repeat delivery, and seamless digital-to-store engagement.</w:t>
      </w:r>
    </w:p>
    <w:p>
      <w:pPr>
        <w:spacing w:after="0" w:line="272" w:lineRule="exact"/>
        <w:rPr>
          <w:sz w:val="20"/>
          <w:szCs w:val="20"/>
          <w:color w:val="auto"/>
        </w:rPr>
      </w:pPr>
    </w:p>
    <w:p>
      <w:pPr>
        <w:ind w:right="60" w:firstLine="749"/>
        <w:spacing w:after="0" w:line="261" w:lineRule="auto"/>
        <w:rPr>
          <w:sz w:val="20"/>
          <w:szCs w:val="20"/>
          <w:color w:val="auto"/>
        </w:rPr>
      </w:pPr>
      <w:r>
        <w:rPr>
          <w:rFonts w:ascii="Times New Roman" w:cs="Times New Roman" w:eastAsia="Times New Roman" w:hAnsi="Times New Roman"/>
          <w:sz w:val="18"/>
          <w:szCs w:val="18"/>
          <w:color w:val="auto"/>
        </w:rPr>
        <w:t>Our execution in fiscal 2025 brought our four strategic pillars to life. We drove differentiated growth in our merchandise offering by expanding our portfolio of owned brands and exclusive products, helping to position Petco as the go-to destination for premium and innovative pet nutrition and supplies. We continued to scale our vet services, opening new, state-of-the-art veterinary hospitals in our pet care centers and expanding our Vetco clinics, making essential veterinary care more accessible and affordable, while also enhancing our grooming offerings,</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89" w:right="379" w:bottom="1440" w:gutter="0" w:footer="0" w:header="0"/>
        </w:sectPr>
      </w:pPr>
    </w:p>
    <w:bookmarkStart w:id="7" w:name="page8"/>
    <w:bookmarkEnd w:id="7"/>
    <w:p>
      <w:pPr>
        <w:jc w:val="both"/>
        <w:ind w:right="660"/>
        <w:spacing w:after="0" w:line="282" w:lineRule="auto"/>
        <w:rPr>
          <w:sz w:val="20"/>
          <w:szCs w:val="20"/>
          <w:color w:val="auto"/>
        </w:rPr>
      </w:pPr>
      <w:r>
        <w:rPr>
          <w:rFonts w:ascii="Times New Roman" w:cs="Times New Roman" w:eastAsia="Times New Roman" w:hAnsi="Times New Roman"/>
          <w:sz w:val="18"/>
          <w:szCs w:val="18"/>
          <w:color w:val="auto"/>
        </w:rPr>
        <w:t>creating indispensable, recurring relationships with pet parents. Finally, we powered these initiatives with our differentiated digital engine, making significant progress in improving our mobile app and e-commerce platforms in an effort to deliver a seamless, integrated omnichannel experience.</w:t>
      </w:r>
    </w:p>
    <w:p>
      <w:pPr>
        <w:spacing w:after="0" w:line="270" w:lineRule="exact"/>
        <w:rPr>
          <w:sz w:val="20"/>
          <w:szCs w:val="20"/>
          <w:color w:val="auto"/>
        </w:rPr>
      </w:pPr>
    </w:p>
    <w:p>
      <w:pPr>
        <w:ind w:right="40" w:firstLine="749"/>
        <w:spacing w:after="0" w:line="255" w:lineRule="auto"/>
        <w:rPr>
          <w:sz w:val="20"/>
          <w:szCs w:val="20"/>
          <w:color w:val="auto"/>
        </w:rPr>
      </w:pPr>
      <w:r>
        <w:rPr>
          <w:rFonts w:ascii="Times New Roman" w:cs="Times New Roman" w:eastAsia="Times New Roman" w:hAnsi="Times New Roman"/>
          <w:sz w:val="18"/>
          <w:szCs w:val="18"/>
          <w:color w:val="auto"/>
        </w:rPr>
        <w:t>This disciplined execution of our strategy resulted in an improved financial profile in fiscal 2025, as demonstrated by our strong year-over-year growth in net income and Adjusted EBITDA, as well as significant operating income and free cash flow generation year-over-year. We believe the significant progress that we made in fiscal 2025 demonstrates our ability to execute on our priorities, creating a strong foundation for future success. As we look ahead to fiscal 2026, our focus is to build on this momentum in returning Petco to sustainable, profitable growth. We plan to continue to execute against our four pillars, with a commitment to operational excellence and providing the comprehensive care that pet parents expect from us. By leveraging our unique, integrated model of merchandise, services, and veterinary care, we are confident in our ability to capture the significant opportunities that lie ahead and deliver sustainable, long-term value for our shareholders.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Marketing and Advertising</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In fiscal 2025, we continued to evolve our marketing and media strategy, with a heightened focus on efficiency, return on investments, and disciplined promotional activity. We grew our in-house retail media network to enable advertising activities across paid and owned channels, and enhanced our search engine optimization capabilities through the launch of our in-house content hub. We also refined our pricing and promotional strategies and optimized overall marketing spend and channel mix to prioritize high-margin customer engagement, by leveraging data-driven insights. Our marketing efforts capitalize our integrated ecosystem and competitive positioning to drive customer acquisition, monetization, and retention while strengthening brand resonance and customer experience through targeted campaigns and in-store engagement initiatives.</w:t>
      </w:r>
    </w:p>
    <w:p>
      <w:pPr>
        <w:spacing w:after="0" w:line="79" w:lineRule="exact"/>
        <w:rPr>
          <w:sz w:val="20"/>
          <w:szCs w:val="20"/>
          <w:color w:val="auto"/>
        </w:rPr>
      </w:pPr>
    </w:p>
    <w:p>
      <w:pPr>
        <w:ind w:right="320" w:firstLine="509"/>
        <w:spacing w:after="0" w:line="261" w:lineRule="auto"/>
        <w:rPr>
          <w:sz w:val="20"/>
          <w:szCs w:val="20"/>
          <w:color w:val="auto"/>
        </w:rPr>
      </w:pPr>
      <w:r>
        <w:rPr>
          <w:rFonts w:ascii="Times New Roman" w:cs="Times New Roman" w:eastAsia="Times New Roman" w:hAnsi="Times New Roman"/>
          <w:sz w:val="18"/>
          <w:szCs w:val="18"/>
          <w:color w:val="auto"/>
        </w:rPr>
        <w:t>In fiscal 2026, we plan to further integrate and share data between our services business and the rest of our stores to enable improved customer recommendations and marketing effectiveness. This includes continued investment in data-driven personalization, loyalty analytics, and marketing-mix insights that are designed to improve campaign effectiveness and long-term customer value. We expect these capabilities to support our sustainable, profitability-focused growth.</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Partners</w:t>
      </w:r>
    </w:p>
    <w:p>
      <w:pPr>
        <w:spacing w:after="0" w:line="121" w:lineRule="exact"/>
        <w:rPr>
          <w:sz w:val="20"/>
          <w:szCs w:val="20"/>
          <w:color w:val="auto"/>
        </w:rPr>
      </w:pPr>
    </w:p>
    <w:p>
      <w:pPr>
        <w:ind w:right="40" w:firstLine="467"/>
        <w:spacing w:after="0" w:line="255" w:lineRule="auto"/>
        <w:rPr>
          <w:sz w:val="20"/>
          <w:szCs w:val="20"/>
          <w:color w:val="auto"/>
        </w:rPr>
      </w:pPr>
      <w:r>
        <w:rPr>
          <w:rFonts w:ascii="Times New Roman" w:cs="Times New Roman" w:eastAsia="Times New Roman" w:hAnsi="Times New Roman"/>
          <w:sz w:val="18"/>
          <w:szCs w:val="18"/>
          <w:color w:val="auto"/>
        </w:rPr>
        <w:t>Our employees, who we call Petco partners, are our most significant asset, critical to the delivery of our transformation and our continued progress. As of January 31, 2026, we had over 29,000 total partners. Our over 26,000 pet care center partners offer a level of customer engagement and content that is differentiated in retail and grounded in a true passion for pets. Our partners are primarily employed on an at-will basis and are compensated through base salary and incentive programs. We strive for our partners to grow and develop in their careers, and offer competitive compensation and benefits programs, incentive compensation, and a range of health and wellness offerings. Though we have encountered a small number of union campaigns, none have been successful to date and, accordingly, none of our partners are represented by labor unions or covered by collective bargaining agreements. We consider our relationship with our partners to be good.</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Culture</w:t>
      </w:r>
    </w:p>
    <w:p>
      <w:pPr>
        <w:spacing w:after="0" w:line="229" w:lineRule="exact"/>
        <w:rPr>
          <w:sz w:val="20"/>
          <w:szCs w:val="20"/>
          <w:color w:val="auto"/>
        </w:rPr>
      </w:pPr>
    </w:p>
    <w:p>
      <w:pPr>
        <w:ind w:right="20" w:firstLine="469"/>
        <w:spacing w:after="0" w:line="261" w:lineRule="auto"/>
        <w:rPr>
          <w:sz w:val="20"/>
          <w:szCs w:val="20"/>
          <w:color w:val="auto"/>
        </w:rPr>
      </w:pPr>
      <w:r>
        <w:rPr>
          <w:rFonts w:ascii="Times New Roman" w:cs="Times New Roman" w:eastAsia="Times New Roman" w:hAnsi="Times New Roman"/>
          <w:sz w:val="18"/>
          <w:szCs w:val="18"/>
          <w:color w:val="auto"/>
        </w:rPr>
        <w:t>We strive to create an environment that values diverse backgrounds and identities. We believe that an inclusive workplace can unlock diversity of perspectives which in turn can enable critical innovation, creative problem solving and high engagement that is key to our mission of improving the lives of pets, pet parents, and our Petco partners. Embedded in our values is the fundamental belief that we are all accepted as we are, and this sentiment is reinforced in teams across our company.</w:t>
      </w:r>
    </w:p>
    <w:p>
      <w:pPr>
        <w:spacing w:after="0" w:line="180" w:lineRule="exact"/>
        <w:rPr>
          <w:sz w:val="20"/>
          <w:szCs w:val="20"/>
          <w:color w:val="auto"/>
        </w:rPr>
      </w:pPr>
    </w:p>
    <w:p>
      <w:pPr>
        <w:ind w:right="180" w:firstLine="469"/>
        <w:spacing w:after="0" w:line="261" w:lineRule="auto"/>
        <w:rPr>
          <w:sz w:val="20"/>
          <w:szCs w:val="20"/>
          <w:color w:val="auto"/>
        </w:rPr>
      </w:pPr>
      <w:r>
        <w:rPr>
          <w:rFonts w:ascii="Times New Roman" w:cs="Times New Roman" w:eastAsia="Times New Roman" w:hAnsi="Times New Roman"/>
          <w:sz w:val="18"/>
          <w:szCs w:val="18"/>
          <w:color w:val="auto"/>
        </w:rPr>
        <w:t>To better serve our diverse customers across our more than 1,500 pet care centers across the United States, Mexico, and Puerto Rico, we are intentional about bringing the skillsets and experiences that help us meet the needs of all pets and pet parents. From attracting bilingual talent that help us serve multicultural market segments to finding experiences that help us innovate in a competitive and changing industry, we continue to evaluate and enhance our recruiting and development strategies to find and build the best talent possible. As the need for pet care</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8" w:name="page9"/>
    <w:bookmarkEnd w:id="8"/>
    <w:p>
      <w:pPr>
        <w:ind w:right="680"/>
        <w:spacing w:after="0" w:line="282" w:lineRule="auto"/>
        <w:rPr>
          <w:sz w:val="20"/>
          <w:szCs w:val="20"/>
          <w:color w:val="auto"/>
        </w:rPr>
      </w:pPr>
      <w:r>
        <w:rPr>
          <w:rFonts w:ascii="Times New Roman" w:cs="Times New Roman" w:eastAsia="Times New Roman" w:hAnsi="Times New Roman"/>
          <w:sz w:val="18"/>
          <w:szCs w:val="18"/>
          <w:color w:val="auto"/>
        </w:rPr>
        <w:t>grows, we also collaborate with community and industry associations to inspire the next generation of doctors and expand the field of veterinarian medicine.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Partner Communities</w:t>
      </w:r>
    </w:p>
    <w:p>
      <w:pPr>
        <w:spacing w:after="0" w:line="229" w:lineRule="exact"/>
        <w:rPr>
          <w:sz w:val="20"/>
          <w:szCs w:val="20"/>
          <w:color w:val="auto"/>
        </w:rPr>
      </w:pPr>
    </w:p>
    <w:p>
      <w:pPr>
        <w:ind w:right="60" w:firstLine="467"/>
        <w:spacing w:after="0" w:line="261" w:lineRule="auto"/>
        <w:rPr>
          <w:sz w:val="20"/>
          <w:szCs w:val="20"/>
          <w:color w:val="auto"/>
        </w:rPr>
      </w:pPr>
      <w:r>
        <w:rPr>
          <w:rFonts w:ascii="Times New Roman" w:cs="Times New Roman" w:eastAsia="Times New Roman" w:hAnsi="Times New Roman"/>
          <w:sz w:val="18"/>
          <w:szCs w:val="18"/>
          <w:color w:val="auto"/>
        </w:rPr>
        <w:t>We believe that building and supporting connections between our partners creates a more fulfilling and enjoyable workplace experience and enables us to tap into the diverse expertise of our partners. Petco’s seven Partner Resource Groups are partner-led and organized, and lead this effort by fostering community and a sense of belonging by facilitating engagement activities to increase cross-cultural awareness, educate partners on issues involving a variety of topics, and help our business better reach our diverse customer base.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and Benefits</w:t>
      </w:r>
    </w:p>
    <w:p>
      <w:pPr>
        <w:spacing w:after="0" w:line="121" w:lineRule="exact"/>
        <w:rPr>
          <w:sz w:val="20"/>
          <w:szCs w:val="20"/>
          <w:color w:val="auto"/>
        </w:rPr>
      </w:pPr>
    </w:p>
    <w:p>
      <w:pPr>
        <w:ind w:right="60" w:firstLine="469"/>
        <w:spacing w:after="0" w:line="261" w:lineRule="auto"/>
        <w:rPr>
          <w:sz w:val="20"/>
          <w:szCs w:val="20"/>
          <w:color w:val="auto"/>
        </w:rPr>
      </w:pPr>
      <w:r>
        <w:rPr>
          <w:rFonts w:ascii="Times New Roman" w:cs="Times New Roman" w:eastAsia="Times New Roman" w:hAnsi="Times New Roman"/>
          <w:sz w:val="18"/>
          <w:szCs w:val="18"/>
          <w:color w:val="auto"/>
        </w:rPr>
        <w:t>We provide competitive compensation and benefits programs to help meet the needs of our partners and their families. In addition to base cash compensation, we offer our partners a mix of annual bonuses, equity awards, various incentive plans, an Employee Stock Purchase Plan, a 401(k) Plan, healthcare and insurance benefits, health savings and flexible spending accounts, paid time off, and family leave. In addition, we offer a range of webinars, trainings, and subscriptions to support our partners’ total wellbeing.</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Talent Development</w:t>
      </w:r>
    </w:p>
    <w:p>
      <w:pPr>
        <w:spacing w:after="0" w:line="121" w:lineRule="exact"/>
        <w:rPr>
          <w:sz w:val="20"/>
          <w:szCs w:val="20"/>
          <w:color w:val="auto"/>
        </w:rPr>
      </w:pPr>
    </w:p>
    <w:p>
      <w:pPr>
        <w:ind w:right="220" w:firstLine="469"/>
        <w:spacing w:after="0" w:line="258" w:lineRule="auto"/>
        <w:rPr>
          <w:sz w:val="20"/>
          <w:szCs w:val="20"/>
          <w:color w:val="auto"/>
        </w:rPr>
      </w:pPr>
      <w:r>
        <w:rPr>
          <w:rFonts w:ascii="Times New Roman" w:cs="Times New Roman" w:eastAsia="Times New Roman" w:hAnsi="Times New Roman"/>
          <w:sz w:val="18"/>
          <w:szCs w:val="18"/>
          <w:color w:val="auto"/>
        </w:rPr>
        <w:t>We invest significant resources to attract, develop, and retain top talent. In recent years, we have introduced foundational leadership development training for all new General Managers and above, provided comprehensive pet health and wellness certifications in all pet care centers, and continuously develop our partners’ customer engagement skills. In fiscal 2025, we proudly provided over 300,000 hours of training to our pet care center partners. In addition, over 40% of open Store General Manager and District Manager positions were filled by internal candidates, either through lateral moves or promotions.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Distribution</w:t>
      </w:r>
    </w:p>
    <w:p>
      <w:pPr>
        <w:spacing w:after="0" w:line="121"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We currently have seven primary and two regional distribution centers in our network, which are located in various parts of the United States, that handle almost all distribution for our company. In addition, our ship-from-store, same day delivery, BOPUS, and curbside programs enhance our distribution networks.</w:t>
      </w:r>
    </w:p>
    <w:p>
      <w:pPr>
        <w:spacing w:after="0" w:line="176"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The majority of relationships we have with third-party domestic transportation and logistics providers are governed by non-exclusive agreements that do not obligate us to minimum volume or fees, and such agreements may generally be terminated by either party on 45 to 60 days’ prior written notice. However, the Company has agreements with three significant domestic transportation and logistics providers that have certain minimum volume requirements and/or cannot be terminated early without penalty.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Vendor Arrangements</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As of the end of fiscal 2025, we had approximately 680 active merchandise vendors. Our top 10 vendors represented approximately 40% of our annual sales, and no single vendor accounted for more than 10% of our sales. In addition, we primarily sell the products we carry directly to consumers and purchase our products predominantly from our direct vendors rather than through third-party distributors. As such, we do not materially rely on third-party distributors to conduct our overall business. Our policy is to onboard our vendors using a standardized process to confirm their adherence to our applicable standards, policies, and procedures, including those relating to legal compliance, standard payment terms, and product quality. These relationships are typically governed by our standard vendor terms and conditions, under which we submit purchase orders to our vendors specifying the types, quantities, and agreed prices for merchandise that we intend to purchase from them. These agreements do not typically have minimum order requirements or exclusivity obligations for either party. Our terms and conditions do not have a set term, but instead allow us to terminate the relationship for convenience at any time upon written notice to the vendor. Our vendors generally may terminate the relationship on 90-days’ written notice but are obligated to fulfill or perform any purchase order accepted prior to such notice.</w:t>
      </w:r>
    </w:p>
    <w:p>
      <w:pPr>
        <w:spacing w:after="0" w:line="1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Our Trademarks and Other Intellectual Property</w:t>
      </w:r>
    </w:p>
    <w:p>
      <w:pPr>
        <w:spacing w:after="0" w:line="121"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We believe that our rights in our intellectual property, including trademarks and domain names, as well as contractual provisions and restrictions on access to our proprietary technology, are important to our operations and marketing efforts to develop brand recognition and differentiate our brand from our competitors. We own a number of trademarks that have been registered, or for which registration applications are pending, in the United States and certain foreign jurisdictions. These trademarks include Bond &amp; Co., EveryYay, Good 2 Go, Good Lovin’, Imagitarium, Leaps &amp; Bounds, Petco, Petco Love, Petco Park, Reddy, Ruff &amp; Mews, So Phresh, Vetco, Well &amp; Good, Where the Pets Go, WholeHearted, You &amp; Me, Youly, Vital Care Core, and Vital Care Premier. The current registrations of these trademarks are effective for varying periods of time and may be renewed periodically, provided that we, as the registered owner, or our licensees where applicable, comply with all applicable renewal requirements including, where necessary, the continued use of the trademarks in connection with similar goods. We expect to pursue additional trademark registrations to the extent we believe they would be beneficial and cost-effective.</w:t>
      </w:r>
    </w:p>
    <w:p>
      <w:pPr>
        <w:spacing w:after="0" w:line="188"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In addition to trademark protection, we own numerous domain names, including petco.com. We also enter into, and rely on, confidentiality and proprietary rights agreements with our employees, consultants, contractors, and business partners to protect our trade secrets, proprietary technology, and other confidential information. We further control the use of our proprietary technology and intellectual property through provisions in both our customer terms of use on our website and in our vendor terms and conditions.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121"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We are subject to a broad range of federal, state, local, and foreign laws and regulations intended to protect public health, animal welfare, natural resources, and the environment. Our operations, including our owned brand manufacturing outsourcing partners, are subject to regulation by the Occupational Safety and Health Administration (“OSHA”), the U.S. Food and Drug Administration (the “FDA”), the U.S. Department of Agriculture (the “USDA”), the Drug Enforcement Administration (the “DEA”), and by various other federal, state, local, and foreign authorities regarding the sale, processing, packaging, storage, distribution, advertising, labeling, and import of our products, including food safety standards. For more information, please read “Risk Factors—Risks Related to Legal and Regulatory Matters—Our operations are subject to extensive governmental regulation, and we may incur material liabilities under, or costs in order to comply with, existing or future laws and regulations. Our failure to comply with such laws and regulations may result in enforcements, recalls, and other adverse actions that could disrupt our operations and adversely affect our financial results.”</w:t>
      </w:r>
    </w:p>
    <w:p>
      <w:pPr>
        <w:spacing w:after="0" w:line="192"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The FDA regulates animal feed, including pet food, under the Federal Food, Drug, and Cosmetic Act, (the “FFDCA”), and its implementing regulations. Although pet foods are not required to obtain premarket approval from the FDA, the FFDCA requires that all animal foods are safe for consumption, produced under sanitary conditions, contain no harmful substances, and are truthfully labeled. Most states also require that pet foods distributed in the state be registered or licensed with the appropriate state regulatory agency. In addition, most facilities that manufacture, process, pack, or hold foods, including pet foods, must register with the FDA and renew their registration every two years, and are subject to periodic FDA inspection. This includes most foreign, as well as domestic facilities. Registration must occur before the facility begins its pet food manufacturing, processing, packing, or holding operations.</w:t>
      </w:r>
    </w:p>
    <w:p>
      <w:pPr>
        <w:spacing w:after="0" w:line="189"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The labeling of pet foods is regulated by both the FDA and certain state regulatory authorities. FDA regulations require proper identification of the product, a net quantity statement, a statement of the name and place of business of the manufacturer or distributor, and proper listing of all the ingredients in order of predominance by weight. Most states also enforce their own labeling regulations, many of which are based on model definitions and guidelines developed by the Association of American Feed Control Officials (the “AAFCO”). AAFCO is a voluntary, non-governmental membership association of local, state, and federal agencies that are charged with regulation of the sale and distribution of animal feed, including pet foods. The degree of oversight of the implementation of these regulations varies by state, but typically includes a state review and approval of each product label as a condition of sale in that state.</w:t>
      </w:r>
    </w:p>
    <w:p>
      <w:pPr>
        <w:spacing w:after="0" w:line="189"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The FDA also regulates the inclusion of specific claims in pet food labeling. For example, pet food products that are labeled or marketed with claims that may suggest that they are intended to treat or prevent disease in pets would potentially meet the statutory definitions of both a food and a drug. The FDA has issued guidance regarding products that provide nutrients in support of an animal’s daily nutrient needs but which are also labeled as being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color w:val="auto"/>
        </w:rPr>
        <w:t>intended for use to diagnose, cure, mitigate, treat, or prevent disease, thereby meeting the statutory definitions of both a food and a drug.</w:t>
      </w:r>
    </w:p>
    <w:p>
      <w:pPr>
        <w:spacing w:after="0" w:line="225"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Under Section 423 of the FFDCA, the FDA may require the recall of an animal feed product if there is a reasonable probability that the product is adulterated or misbranded and the use of or exposure to the product will cause serious adverse health consequences or death. In addition, pet food manufacturers may voluntarily recall or withdraw their products from the market.</w:t>
      </w:r>
    </w:p>
    <w:p>
      <w:pPr>
        <w:spacing w:after="0" w:line="176"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Certain states have laws, rules, and regulations that require that veterinary medical practices be either wholly owned or majority owned by licensed veterinarians and that corporations that are not wholly owned or majority owned by licensed veterinarians refrain from providing, or holding themselves out as providers of, veterinary medical care, or directly employing or otherwise exercising control over veterinarians providing such care. In these states and jurisdictions, we provide management and other administrative services to veterinary practices rather than owning such practices or directly employing the veterinarians providing medical care. Although we believe that we have structured our operations to comply with our understanding of the veterinary medicine laws of each state and jurisdiction in which we operate, interpretive legal precedent and regulatory guidance varies by jurisdiction and is often sparse and not fully developed.</w:t>
      </w:r>
    </w:p>
    <w:p>
      <w:pPr>
        <w:spacing w:after="0" w:line="189"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In addition, all of the states in which we operate veterinary facilities impose various registration permit and/or licensing requirements. To fulfill these requirements, we have registered each of our facilities with appropriate governmental agencies and, where required, have appointed a licensed veterinarian to act on behalf of each facility. All veterinarians practicing in our animal wellness centers are required to maintain valid state licenses to practice and veterinarians practicing in our full-service hospitals are required to maintain valid licenses with the DEA. We are also required to comply with state laws governing the dispensing of prescription pet medications by our veterinarians. Additionally, our pet insurance plans must be registered with certain state departments of insurance and comply with their requirements.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Petco Love</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Petco Love is a nonprofit organization changing lives by making communities and pet families closer, stronger, and healthier. It is an independent 501(c)(3) nonprofit organization supported by contributions from us, Petco customers, corporate partners, and individual donors. Since its founding in 1999, Petco Love has inspired and empowered animal welfare organizations to make a difference, investing more than $430 million in adoption and medical care programs, reuniting lost pets, spay/neuter services, pet cancer research, service and therapy animals, and numerous other lifesaving initiatives. Through the Think Adoption First program, Petco Love partners with our pet care centers and animal welfare organizations across the country to increase pet adoptions, helping more than 7 million pets to date find their new loving families.</w:t>
      </w:r>
    </w:p>
    <w:p>
      <w:pPr>
        <w:spacing w:after="0" w:line="79" w:lineRule="exact"/>
        <w:rPr>
          <w:sz w:val="20"/>
          <w:szCs w:val="20"/>
          <w:color w:val="auto"/>
        </w:rPr>
      </w:pPr>
    </w:p>
    <w:p>
      <w:pPr>
        <w:jc w:val="both"/>
        <w:ind w:right="140" w:firstLine="509"/>
        <w:spacing w:after="0" w:line="266" w:lineRule="auto"/>
        <w:rPr>
          <w:sz w:val="20"/>
          <w:szCs w:val="20"/>
          <w:color w:val="auto"/>
        </w:rPr>
      </w:pPr>
      <w:r>
        <w:rPr>
          <w:rFonts w:ascii="Times New Roman" w:cs="Times New Roman" w:eastAsia="Times New Roman" w:hAnsi="Times New Roman"/>
          <w:sz w:val="18"/>
          <w:szCs w:val="18"/>
          <w:color w:val="auto"/>
        </w:rPr>
        <w:t>In April 2021, Petco Love launched Petco Love Lost, a national lost and found pet database that uses image recognition technology to help reunite lost pets with their families should they ever go missing. To date, more than 3,300 animal welfare organizations and pet industry partners across the U.S. utilize the platform, and Petco Love Lost has helped return over 200,000 pets to their loving homes.</w:t>
      </w:r>
    </w:p>
    <w:p>
      <w:pPr>
        <w:spacing w:after="0" w:line="66" w:lineRule="exact"/>
        <w:rPr>
          <w:sz w:val="20"/>
          <w:szCs w:val="20"/>
          <w:color w:val="auto"/>
        </w:rPr>
      </w:pPr>
    </w:p>
    <w:p>
      <w:pPr>
        <w:ind w:right="140" w:firstLine="509"/>
        <w:spacing w:after="0" w:line="267" w:lineRule="auto"/>
        <w:rPr>
          <w:sz w:val="20"/>
          <w:szCs w:val="20"/>
          <w:color w:val="auto"/>
        </w:rPr>
      </w:pPr>
      <w:r>
        <w:rPr>
          <w:rFonts w:ascii="Times New Roman" w:cs="Times New Roman" w:eastAsia="Times New Roman" w:hAnsi="Times New Roman"/>
          <w:sz w:val="18"/>
          <w:szCs w:val="18"/>
          <w:color w:val="auto"/>
        </w:rPr>
        <w:t xml:space="preserve">Launched in August 2021, Petco Love’s </w:t>
      </w:r>
      <w:r>
        <w:rPr>
          <w:rFonts w:ascii="Times New Roman" w:cs="Times New Roman" w:eastAsia="Times New Roman" w:hAnsi="Times New Roman"/>
          <w:sz w:val="18"/>
          <w:szCs w:val="18"/>
          <w:i w:val="1"/>
          <w:iCs w:val="1"/>
          <w:color w:val="auto"/>
        </w:rPr>
        <w:t>Vaccinated and Loved</w:t>
      </w:r>
      <w:r>
        <w:rPr>
          <w:rFonts w:ascii="Times New Roman" w:cs="Times New Roman" w:eastAsia="Times New Roman" w:hAnsi="Times New Roman"/>
          <w:sz w:val="18"/>
          <w:szCs w:val="18"/>
          <w:color w:val="auto"/>
        </w:rPr>
        <w:t xml:space="preserve"> initiative provides free pet vaccines to its partners. To date, more than 4 million vaccines have been distributed. Providing these much-needed vaccinations in under-resourced communities is something Petco Love believes gives more pets the best chance to live long and healthy lives.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21"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Our commercial website is petco.com, and our investor relations website is ir.petco.com. We promptly make available on our investor relations website, free of charge, the reports that we file or furnish with the SEC, corporate governance information (including our Code of Business Conduct and Ethics and Principles of Corporate Governance) and select press releases. We file annual reports on Form 10-K, quarterly reports on Form 10-Q, current reports on Form 8-K, proxy and information statements, and amendments to reports filed or furnished pursuant to Sections 13(a), 14, and 15(d) of the Exchange Act. The SEC maintains a website at sec.gov that contains reports, proxy and information statements, and other information regarding Petco and other issuers that file electronically with the SEC.</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9" w:right="37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9"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i w:val="1"/>
          <w:iCs w:val="1"/>
          <w:color w:val="auto"/>
        </w:rPr>
        <w:t>Investing in our securities involves uncertainty and risk due to a variety of factors. You should carefully consider the risks described below with all of the other information included in this Annual Report on Form 10-K. Statements in this section are based on the Company’s beliefs and opinions regarding matters that could materially adversely affect the Company in the future. References to past events are provided by way of example only and are not intended to be a complete listing or a representation as to whether or not such factors have occurred in the past. Further, the risks and uncertainties described below are not the only ones we face and should not be considered a complete statement of all potential risks or uncertainties that the Company faces or may face in the future. Additional risks not presently known to us or that we currently deem immaterial may also materially affect our business. If any of the following risks were to occur, our business, financial condition, and results of operations could be materially adversely affected. In that case, the trading price of our Class A common stock could decline, and you could lose all or part of your investment. For a summary of these risks, please read “Risk Factors Summary,” which immediately precedes Part I, Item 1 of this Annual Report on Form 10-K.</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117"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decline in consumer spending or a change in consumer preferences or demographics could reduce our sales or profitability and adversely affect our business.</w:t>
      </w:r>
    </w:p>
    <w:p>
      <w:pPr>
        <w:spacing w:after="0" w:line="5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Our sales depend on consumer spending, which is influenced by numerous factors beyond our control, including general economic conditions, disruption or volatility in global financial markets, changes in interest rates, inflation, the availability of discretionary income and credit, weather, consumer confidence, and unemployment levels. We have experienced, and could continue to experience, declines in sales of certain products and services and changes in the types of products and services purchased during economic downturns. Our business could be harmed by any material decline in the amount of consumer spending, which could reduce our sales, or a decrease in the sales of higher-margin products and services, which could reduce our profitability and adversely affect our business. For instance, an increase in price sensitivity in discretionary consumer spending due in part to persistent inflation has negatively impacted sales of discretionary items, which has had, and could continue to have, an adverse effect on our profitability.</w:t>
      </w:r>
    </w:p>
    <w:p>
      <w:pPr>
        <w:spacing w:after="0" w:line="189" w:lineRule="exact"/>
        <w:rPr>
          <w:sz w:val="20"/>
          <w:szCs w:val="20"/>
          <w:color w:val="auto"/>
        </w:rPr>
      </w:pPr>
    </w:p>
    <w:p>
      <w:pPr>
        <w:ind w:right="120" w:firstLine="509"/>
        <w:spacing w:after="0" w:line="253" w:lineRule="auto"/>
        <w:rPr>
          <w:sz w:val="20"/>
          <w:szCs w:val="20"/>
          <w:color w:val="auto"/>
        </w:rPr>
      </w:pPr>
      <w:r>
        <w:rPr>
          <w:rFonts w:ascii="Times New Roman" w:cs="Times New Roman" w:eastAsia="Times New Roman" w:hAnsi="Times New Roman"/>
          <w:sz w:val="18"/>
          <w:szCs w:val="18"/>
          <w:color w:val="auto"/>
        </w:rPr>
        <w:t>We have also benefited from increasing pet ownership, discretionary spending on pets, and trends in humanization and premiumization in the pet industry, as well as favorable pet ownership demographics. To the extent these trends continue to slow or reverse, our sales and profitability would continue to be adversely affected. Specifically, spending on non-discretionary items has declined due in part to persistent inflation, which has adversely impacted our profitability. Further, in response to shifting consumer demand, beginning in fiscal 2023 we broadened our assortment to include more national brand products, which are typically lower priced and less profitable, in addition to taking strategic pricing actions throughout our broader assortment of merchandise. Though sales of such products have been significant, if we do not increase the average basket size of customers purchasing such products, or we are unsuccessful in transitioning such customers into higher margin products over time, then our profitability could be adversely affected. The success of our business depends in part on our ability to identify and respond to evolving trends in demographics and consumer preferences. Failure to timely identify or effectively respond to changing consumer tastes, preferences, spending patterns, and pet care needs could adversely affect our relationship with our customers, the demand for our products and services, our market share, and our profitability.</w:t>
      </w:r>
    </w:p>
    <w:p>
      <w:pPr>
        <w:spacing w:after="0" w:line="298"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growth of our business depends in part on our ability to accurately predict consumer trends, successfully introduce new products and services, improve existing products and services, and expand into new offerings.</w:t>
      </w:r>
    </w:p>
    <w:p>
      <w:pPr>
        <w:spacing w:after="0" w:line="51"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Our growth depends, in part, on our ability to successfully introduce, improve, and reposition our products and services to meet the requirements of pet parents. This, in turn, depends on our ability to predict and respond to evolving consumer trends, demands, and preferences. For instance, in fiscal 2025, we grew our merchandise offering by expanding our portfolio of owned brands and exclusive products in an effort to position Petco as the go-to destination for premium and innovative pet nutrition and supplies.</w:t>
      </w:r>
    </w:p>
    <w:p>
      <w:pPr>
        <w:spacing w:after="0" w:line="72"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Our ability to innovate is affected by the technical capability of our product development staff and third-party consultants in developing and testing new products, including complying with governmental regulations, our attractiveness as a partner for outside research and development scientists and entrepreneurs, the success of our management and sales team in introducing and marketing new products and service offerings, and our ability to leverage our digital and data capabilities to gather and respond to consumer feedback. Additionally, the development and introduction of innovative new products and services and expansion into new offerings involves considerable</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2" w:name="page13"/>
    <w:bookmarkEnd w:id="12"/>
    <w:p>
      <w:pPr>
        <w:ind w:right="640"/>
        <w:spacing w:after="0" w:line="282" w:lineRule="auto"/>
        <w:rPr>
          <w:sz w:val="20"/>
          <w:szCs w:val="20"/>
          <w:color w:val="auto"/>
        </w:rPr>
      </w:pPr>
      <w:r>
        <w:rPr>
          <w:rFonts w:ascii="Times New Roman" w:cs="Times New Roman" w:eastAsia="Times New Roman" w:hAnsi="Times New Roman"/>
          <w:sz w:val="18"/>
          <w:szCs w:val="18"/>
          <w:color w:val="auto"/>
        </w:rPr>
        <w:t>costs. Any new product, service, or offering may not generate sufficient customer interest and sales to become profitable or to cover the costs of its development and promotion and, as a result, may adversely impact our results of operations, including our profitability.</w:t>
      </w:r>
    </w:p>
    <w:p>
      <w:pPr>
        <w:spacing w:after="0" w:line="162"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We may be unable to determine with accuracy when or whether any of our products or services now under development will be launched, and we may be unable to develop or otherwise acquire product candidates or products. Additionally, we cannot predict whether any such products or services, once launched, will be commercially successful. If we are unable to successfully develop or otherwise acquire new products or services, our business, financial condition, and results of operations may be materially adversely affected.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continued success is substantially dependent on positive perceptions of Petco, including our owned or exclusive brands.</w:t>
      </w:r>
    </w:p>
    <w:p>
      <w:pPr>
        <w:spacing w:after="0" w:line="121"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We believe that one of the reasons our customers prefer to shop at Petco, and that our partners choose Petco as a place of employment, is the reputation we have built over many years of serving our primary constituencies: customers; partners; and the communities in which we operate. These are core elements of the Petco mission and brand. To be successful in the future, we must continue to preserve, grow, and leverage the value of our reputation and our brand. Reputational value is based in large part on perceptions of subjective qualities, and even isolated incidents (even if based on rumor or misunderstanding) that erode trust and confidence, particularly if they result in adverse publicity or widespread reaction on social media, governmental investigations, or litigation, can have an adverse impact on these perceptions and lead to adverse effects on our business, including decreased comparable sales, consumer boycotts, loss of new pet care center development opportunities, lower partner morale and productivity, or partner recruiting and retention difficulties.</w:t>
      </w:r>
    </w:p>
    <w:p>
      <w:pPr>
        <w:spacing w:after="0" w:line="192" w:lineRule="exact"/>
        <w:rPr>
          <w:sz w:val="20"/>
          <w:szCs w:val="20"/>
          <w:color w:val="auto"/>
        </w:rPr>
      </w:pPr>
    </w:p>
    <w:p>
      <w:pPr>
        <w:ind w:right="200" w:firstLine="509"/>
        <w:spacing w:after="0" w:line="261" w:lineRule="auto"/>
        <w:rPr>
          <w:sz w:val="20"/>
          <w:szCs w:val="20"/>
          <w:color w:val="auto"/>
        </w:rPr>
      </w:pPr>
      <w:r>
        <w:rPr>
          <w:rFonts w:ascii="Times New Roman" w:cs="Times New Roman" w:eastAsia="Times New Roman" w:hAnsi="Times New Roman"/>
          <w:sz w:val="18"/>
          <w:szCs w:val="18"/>
          <w:color w:val="auto"/>
        </w:rPr>
        <w:t>In addition, we sell many products under our owned or private label brands. Maintaining consistent product quality, competitive pricing, and availability of our branded products for our customers is essential to developing and maintaining customer loyalty and brand awareness. These products often have higher margins than national brand products. If one or more of these brands experience a loss of consumer acceptance or confidence, our sales and gross margin could be adversely affected.</w:t>
      </w:r>
    </w:p>
    <w:p>
      <w:pPr>
        <w:spacing w:after="0" w:line="284"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Competition in the markets in which we operate, including internet-based competition, is strong and if we are unable to compete effectively, our ability to generate sales may suffer and our operating income and net income could decline.</w:t>
      </w:r>
    </w:p>
    <w:p>
      <w:pPr>
        <w:spacing w:after="0" w:line="51"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The pet care industry is highly competitive. We compete with a number of specialty pet store chains and independent pet stores. We also compete with online retailers, supermarkets, warehouse clubs, and mass merchants. The pet care industry has become increasingly competitive due to the expansion of pet-related product and service offerings by certain supermarkets, warehouse clubs, other retail merchandisers, and online retailers, and the entrance of additional independent pet stores with unique product and service offerings and other pet specialty retailers into the pet food and pet supply market, some of which have developed store formats similar to ours. Some competitors are larger and have access to greater capital and the ability to invest more resources than we do.</w:t>
      </w:r>
    </w:p>
    <w:p>
      <w:pPr>
        <w:spacing w:after="0" w:line="187"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We have been facing greater competition from national, regional, local, and online retailers. In particular, major competitors have sought to gain or retain market share by reducing prices or by introducing additional products or services, and this has required us to reduce prices on certain products or services and introduce new offerings in order to remain competitive, which could negatively affect our profitability and/or require a change in our operating strategies.</w:t>
      </w:r>
    </w:p>
    <w:p>
      <w:pPr>
        <w:spacing w:after="0" w:line="180" w:lineRule="exact"/>
        <w:rPr>
          <w:sz w:val="20"/>
          <w:szCs w:val="20"/>
          <w:color w:val="auto"/>
        </w:rPr>
      </w:pPr>
    </w:p>
    <w:p>
      <w:pPr>
        <w:ind w:right="200" w:firstLine="509"/>
        <w:spacing w:after="0" w:line="261" w:lineRule="auto"/>
        <w:rPr>
          <w:sz w:val="20"/>
          <w:szCs w:val="20"/>
          <w:color w:val="auto"/>
        </w:rPr>
      </w:pPr>
      <w:r>
        <w:rPr>
          <w:rFonts w:ascii="Times New Roman" w:cs="Times New Roman" w:eastAsia="Times New Roman" w:hAnsi="Times New Roman"/>
          <w:sz w:val="18"/>
          <w:szCs w:val="18"/>
          <w:color w:val="auto"/>
        </w:rPr>
        <w:t>Sustained change in consumer preferences could decrease the attractiveness of what we believe to be our competitive advantages, including our extensive product assortment, premium product offerings, omnichannel capabilities, owned service offerings, and a unique customer experience, which could adversely affect our business and results of operations. Further, if we fail to otherwise positively differentiate our customer experience from that of our competitors, our business and results of operations could be adversely affected.</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3" w:name="page14"/>
    <w:bookmarkEnd w:id="13"/>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execute our growth strategies successfully or manage and sustain our growth and, as a result, our business may be adversely affected.</w:t>
      </w:r>
    </w:p>
    <w:p>
      <w:pPr>
        <w:spacing w:after="0" w:line="5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Our strategies include, among other things, developing compelling products that are new and trend-driven, offering our customers an engaging store experience that is supported by passionate and trusted in-store employees, expanding our veterinary, training, and grooming service offerings, building out our digital and data capabilities in an effort to provide a seamless omnichannel experience, growing our market share in consumables like fresh/frozen and in services like veterinary care, grooming, and training, enhancing our owned brand portfolio, streamlining floor-level processes and store manager responsibilities in our pet care centers, and introducing new offerings to better connect with our customers. However, we may not be able to execute on these strategies as effectively as anticipated. Our ability to execute on these strategies depends on a number of factors, including:</w:t>
      </w:r>
    </w:p>
    <w:p>
      <w:pPr>
        <w:spacing w:after="0" w:line="79" w:lineRule="exact"/>
        <w:rPr>
          <w:sz w:val="20"/>
          <w:szCs w:val="20"/>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we have adequate capital resources to expand our offerings and build out our digital and data capabilities;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include veterinary services in our existing pet care centers or in our remodeled or relocated pet care centers;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relocate our pet care centers and obtain favorable sites and negotiate acceptable lease terms;</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hire, train, and retain skilled personnel, including veterinarians, information technology professionals, owned brand merchants, groomers, and trainers;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acceptance in new markets, as well as our ability to withstand competition in such markets; and</w:t>
      </w:r>
    </w:p>
    <w:p>
      <w:pPr>
        <w:spacing w:after="0" w:line="117" w:lineRule="exact"/>
        <w:rPr>
          <w:rFonts w:ascii="Times New Roman" w:cs="Times New Roman" w:eastAsia="Times New Roman" w:hAnsi="Times New Roman"/>
          <w:sz w:val="18"/>
          <w:szCs w:val="18"/>
          <w:color w:val="auto"/>
        </w:rPr>
      </w:pPr>
    </w:p>
    <w:p>
      <w:pPr>
        <w:ind w:left="1020" w:right="380" w:hanging="503"/>
        <w:spacing w:after="0" w:line="282"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upgrade our information and other operating systems and to make use of the data that we collect through these systems to offer better products and services to our customers.</w:t>
      </w:r>
    </w:p>
    <w:p>
      <w:pPr>
        <w:spacing w:after="0" w:line="162" w:lineRule="exact"/>
        <w:rPr>
          <w:sz w:val="20"/>
          <w:szCs w:val="20"/>
          <w:color w:val="auto"/>
        </w:rPr>
      </w:pPr>
    </w:p>
    <w:p>
      <w:pPr>
        <w:ind w:right="320" w:firstLine="509"/>
        <w:spacing w:after="0" w:line="261" w:lineRule="auto"/>
        <w:rPr>
          <w:sz w:val="20"/>
          <w:szCs w:val="20"/>
          <w:color w:val="auto"/>
        </w:rPr>
      </w:pPr>
      <w:r>
        <w:rPr>
          <w:rFonts w:ascii="Times New Roman" w:cs="Times New Roman" w:eastAsia="Times New Roman" w:hAnsi="Times New Roman"/>
          <w:sz w:val="18"/>
          <w:szCs w:val="18"/>
          <w:color w:val="auto"/>
        </w:rPr>
        <w:t>Our existing locations may not maintain their current levels of sales and profitability, and our growth strategies may not generate sales levels necessary to achieve pet care center level profitability comparable to that of our existing locations. To the extent that we are unable to execute on our growth strategies in accordance with our expectations, our sales growth would come primarily from the organic growth of existing product and service offerings.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at times, experienced difficulties recruiting and retaining skilled veterinarians due to shortages that could disrupt our business.</w:t>
      </w:r>
    </w:p>
    <w:p>
      <w:pPr>
        <w:spacing w:after="0" w:line="121"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The successful growth of our veterinary services business depends significantly on our ability to recruit and retain skilled veterinarians and other veterinary technical staff. We face competition from other veterinary service providers in the labor market for veterinarians and veterinary technical staff, from time to time, we have experienced shortages of skilled veterinarians in markets in which we operate, or desire to operate, our veterinary service businesses, which has required us or our affiliated veterinary practices to increase wages and enhance benefits to recruit and retain enough qualified veterinarians and veterinary technical staff to adequately staff our veterinary services operations. If we are unable to recruit and retain qualified veterinarians and veterinary technical staff, or to control our labor costs, our business, financial condition, and results of operations may be materially adversely affected.</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various risks as an e-commerce retailer.</w:t>
      </w:r>
    </w:p>
    <w:p>
      <w:pPr>
        <w:spacing w:after="0" w:line="121"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As part of our growth strategy, we seek to further integrate our in-store and online operations and have made, and expect to continue to make, significant investments to integrate and grow our e-commerce business. We may require additional capital in the future to sustain or grow our e-commerce business. Business risks related to our e-commerce business include our inability to keep pace with rapid technological change, failure in our security procedures or operational controls, failure or inadequacy in our systems or labor resource levels to effectively process customer orders in a timely manner, government regulation and legal uncertainties with respect to e-commerce, and collection of sales or other taxes by one or more states or foreign jurisdictions. If any of these risks materialize, they could have an adverse effect on our business.</w:t>
      </w:r>
    </w:p>
    <w:p>
      <w:pPr>
        <w:spacing w:after="0" w:line="18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13" w:right="399" w:bottom="1440" w:gutter="0" w:footer="0" w:header="0"/>
        </w:sectPr>
      </w:pPr>
    </w:p>
    <w:bookmarkStart w:id="14" w:name="page15"/>
    <w:bookmarkEnd w:id="14"/>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Additionally, customer expectations about the methods by which they purchase and receive products or services are also becoming more demanding. Customers routinely use technology and a variety of electronic devices and digital platforms to rapidly compare products and prices, read product reviews, determine real-time product availability, and purchase products. Once products are purchased, customers are seeking alternate options for delivery of those products, and they often expect quick, timely, and low-price or free delivery and/or convenient pickup options. In addition, if there are changes in the usage and functioning of search engines or decreases in consumer use of search engines, for example, as a result of the continued development of AI technology, this could negatively impact our websites. We must continually anticipate and adapt to these changes in the purchasing process.</w:t>
      </w:r>
    </w:p>
    <w:p>
      <w:pPr>
        <w:spacing w:after="0" w:line="18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In some circumstances, increased transactions through our website may result in reduced customer traffic in our pet care centers, particularly as customers take advantage of buy online and pick up in store, curbside pickup, and home delivery services available for online orders when making certain types of purchases, such as for bulk orders, repeat deliveries, or heavy pet products. There is a risk that any such reduced customer traffic may reduce the sales of certain products and services in our pet care centers. The cost of shipping online orders, incuding the availability of promotional shipping of online and “extended aisle” orders increases our costs and could adversely affect our profitability.</w:t>
      </w:r>
    </w:p>
    <w:p>
      <w:pPr>
        <w:spacing w:after="0" w:line="183"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In addition, as other internet retailers have increased market share in recent years, we have faced increased competition, and may continue to face increased competition in the future, from internet retailers who enter the market. Our failure to positively differentiate our product and services offerings or customer experience from these internet retailers, including offering competitive pricing for our products, could have a material adverse effect on our business, financial condition, and results of operations.</w:t>
      </w:r>
    </w:p>
    <w:p>
      <w:pPr>
        <w:spacing w:after="0" w:line="284"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generate or obtain sufficient capital to finance our growth strategies, we may be unable to sustain our growth and our business may be adversely affected.</w:t>
      </w:r>
    </w:p>
    <w:p>
      <w:pPr>
        <w:spacing w:after="0" w:line="51"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Our growth rate depends, to a large degree, on the availability of adequate capital to fund the expansion of our offerings, including veterinary services, digital capabilities, and enhancing our store experience, which in turn will depend in large part on cash flow generated by our business and the availability of equity and debt capital. We cannot assure you that we will be able to maintain sufficient cash flow or obtain sufficient equity or debt capital on acceptable terms, or at all, to support our expansion plans.</w:t>
      </w:r>
    </w:p>
    <w:p>
      <w:pPr>
        <w:spacing w:after="0" w:line="180"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Moreover, the First Lien Credit Agreement, dated as of March 4, 2021, as amended by the First Amendment to Credit Agreement, dated as of December 12, 2022, as further amended by the Second Amendment to Credit Agreement, dated as of February 2, 2026 (as amended from time to time, the “Term Loan Credit Agreement”), among the Company, the lenders from time to time party thereto, and the Administrative Agent, governing the First Lien Term Loan, the ABL Credit Agreement, dated as of March 4, 2021, as amended by the First Amendment to ABL Credit Agreement, dated as of December 12, 2022, as further amended by the Second Amendment to ABL Credit Agreement, dated as of March 29, 2024 (as amended from time to time, the “ABL Credit Agreement”), among the Company, the lenders from time to time party thereto, and the Administrative Agent, governing the ABL Revolving Credit Facility, and the Indenture, dated as of February 2, 2026 (the “Indenture”), among the Company, the guarantors from time to time party thereto, and the trustee and collateral agent party thereto, governing our Senior Secured Notes, contain provisions that restrict the amount of debt we may incur in the future, and certain other covenants that may restrict or impair our growth plans. If we are not successful in generating or obtaining sufficient capital, we may be unable to invest in our growth, which may adversely affect our results of operations.</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depend on key personnel, and if we lose the services of any of our executive officers, we may not be able to run our business effectively.</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We are dependent upon the efforts of our key personnel, including our executive officers, and from time to time, there have been, and in the future may be, changes to our management team resulting from the hiring, departure or realignment of executive functions. The departure of any of our key personnel could affect our ability to run our business effectively or without disruption. Our success will, in part, depend on our ability to retain our current management and to develop, attract, and retain qualified personnel in the future. Competition for senior management personnel is intense with increasingly aggressive compensation packages, and we cannot assure you that we can retain our key personnel or that our succession planning will prove effective. Furthermore, significant declines in our stock price have reduced the retention value of our outstanding share-based awards, which could</w:t>
      </w:r>
    </w:p>
    <w:p>
      <w:pPr>
        <w:spacing w:after="0" w:line="18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09" w:right="399" w:bottom="1440" w:gutter="0" w:footer="0" w:header="0"/>
        </w:sectPr>
      </w:pPr>
    </w:p>
    <w:bookmarkStart w:id="15" w:name="page16"/>
    <w:bookmarkEnd w:id="15"/>
    <w:p>
      <w:pPr>
        <w:ind w:right="140"/>
        <w:spacing w:after="0" w:line="261" w:lineRule="auto"/>
        <w:rPr>
          <w:sz w:val="20"/>
          <w:szCs w:val="20"/>
          <w:color w:val="auto"/>
        </w:rPr>
      </w:pPr>
      <w:r>
        <w:rPr>
          <w:rFonts w:ascii="Times New Roman" w:cs="Times New Roman" w:eastAsia="Times New Roman" w:hAnsi="Times New Roman"/>
          <w:sz w:val="18"/>
          <w:szCs w:val="18"/>
          <w:color w:val="auto"/>
        </w:rPr>
        <w:t>impact the competitiveness of our compensation over time. The loss of a member of senior management requires the remaining executive officers and our board of directors to divert immediate and substantial attention to seeking a replacement. The inability to fill vacancies in our key personnel positions, including executive positions, on a timely basis could adversely affect our ability to implement our business strategy and be disruptive to our business, which would negatively impact our results of operations.</w:t>
      </w:r>
    </w:p>
    <w:p>
      <w:pPr>
        <w:spacing w:after="0" w:line="284"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loss of any of our key merchandise vendors, or of any of our exclusive distribution arrangements with certain of our vendors, could negatively impact our business.</w:t>
      </w:r>
    </w:p>
    <w:p>
      <w:pPr>
        <w:spacing w:after="0" w:line="51" w:lineRule="exact"/>
        <w:rPr>
          <w:sz w:val="20"/>
          <w:szCs w:val="20"/>
          <w:color w:val="auto"/>
        </w:rPr>
      </w:pPr>
    </w:p>
    <w:p>
      <w:pPr>
        <w:jc w:val="both"/>
        <w:ind w:right="100" w:firstLine="509"/>
        <w:spacing w:after="0" w:line="266" w:lineRule="auto"/>
        <w:rPr>
          <w:sz w:val="20"/>
          <w:szCs w:val="20"/>
          <w:color w:val="auto"/>
        </w:rPr>
      </w:pPr>
      <w:r>
        <w:rPr>
          <w:rFonts w:ascii="Times New Roman" w:cs="Times New Roman" w:eastAsia="Times New Roman" w:hAnsi="Times New Roman"/>
          <w:sz w:val="18"/>
          <w:szCs w:val="18"/>
          <w:color w:val="auto"/>
        </w:rPr>
        <w:t>We purchase significant amounts of products from a number of vendors with limited supply capabilities. There can be no assurance that our current pet food or supply vendors will be able to accommodate growth and expansion of our business. An inability of our existing vendors to provide products or other product supply disruptions that may occur in the future could impair our business, financial condition, and results of operations.</w:t>
      </w:r>
    </w:p>
    <w:p>
      <w:pPr>
        <w:spacing w:after="0" w:line="68"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We generally do not maintain long-term supply contracts with our merchandise vendors. Thus, most vendors could discontinue selling to us at any time. Although we do not materially rely on any particular vendor, the loss of any of our significant vendors of pet food, particularly owned brand pet food, or pet supplies that we offer could have a negative impact on our business, financial condition, and results of operations. For more information regarding our vendors, please read “Business—Vendor Arrangements.”</w:t>
      </w:r>
    </w:p>
    <w:p>
      <w:pPr>
        <w:spacing w:after="0" w:line="180"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We continually seek to expand our base of pet food and supply vendors and to identify new pet products. If we are unable to identify or enter into distribution relationships with new vendors or to replace the loss of any of our existing vendors, we may experience a competitive disadvantage, our business may be disrupted, and our results of operations may be adversely affected.</w:t>
      </w:r>
    </w:p>
    <w:p>
      <w:pPr>
        <w:spacing w:after="0" w:line="176"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Many of the premium pet food brands that we purchase are not widely carried in supermarkets, warehouse clubs, or mass merchants. If any premium pet food manufacturers were to make premium pet food products widely available in supermarkets or through mass merchants, or if the premium brands currently available to supermarkets and mass merchants were to increase their market share at the expense of the premium brands sold only through specialty pet food and supplies retailers, our ability to attract and retain customers or our competitive position may suffer. Further, if supermarkets, warehouse clubs, or mass merchants begin offering any of these premium pet food brands at lower prices, our sales and gross margin could be adversely affected.</w:t>
      </w:r>
    </w:p>
    <w:p>
      <w:pPr>
        <w:spacing w:after="0" w:line="187" w:lineRule="exact"/>
        <w:rPr>
          <w:sz w:val="20"/>
          <w:szCs w:val="20"/>
          <w:color w:val="auto"/>
        </w:rPr>
      </w:pPr>
    </w:p>
    <w:p>
      <w:pPr>
        <w:jc w:val="both"/>
        <w:ind w:right="100" w:firstLine="509"/>
        <w:spacing w:after="0" w:line="261" w:lineRule="auto"/>
        <w:rPr>
          <w:sz w:val="20"/>
          <w:szCs w:val="20"/>
          <w:color w:val="auto"/>
        </w:rPr>
      </w:pPr>
      <w:r>
        <w:rPr>
          <w:rFonts w:ascii="Times New Roman" w:cs="Times New Roman" w:eastAsia="Times New Roman" w:hAnsi="Times New Roman"/>
          <w:sz w:val="18"/>
          <w:szCs w:val="18"/>
          <w:color w:val="auto"/>
        </w:rPr>
        <w:t>Some of the pet food brands and product lines we currently purchase and offer for sale to our customers are not offered by our closest pet specialty competitor. However, in most cases, we have not entered into formal exclusivity agreements with the vendors for such brands. In certain circumstances, in the event these vendors choose to enter into distribution arrangements with other specialty pet retailers or other competitors our sales could suffer and our business could be adversely affected.</w:t>
      </w:r>
    </w:p>
    <w:p>
      <w:pPr>
        <w:spacing w:after="0" w:line="180"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Our principal vendors currently provide us with certain incentives such as volume purchasing, trade discounts, cooperative advertising, and market development funds. A reduction or discontinuance of these incentives would increase our costs and could reduce our profitability.</w:t>
      </w:r>
    </w:p>
    <w:p>
      <w:pPr>
        <w:spacing w:after="0" w:line="266"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various risks related to health epidemics, pandemics, and similar outbreaks, which may materially and adversely affect our business, financial position, results of operations, and cash flows.</w:t>
      </w:r>
    </w:p>
    <w:p>
      <w:pPr>
        <w:spacing w:after="0" w:line="51"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Our business and financial results have been, and could be in the future, adversely affected by health epidemics, pandemics, and similar outbreaks. Despite our efforts to manage these matters, their ultimate effects also depend on factors beyond our knowledge or control, including the duration, severity, and recurrence of any outbreak and actions taken to contain its spread and mitigate its public health effects. Health epidemics, pandemics, and similar outbreaks may adversely affect our business, financial position, results of operations, and cash flows, including by resulting in (i) significant volatility in demand for our products and services, (ii) changes in consumer behavior and preferences, (iii) disruptions of our manufacturing and supply chain operations, (iv) disruption of our cost saving programs and restructuring initiatives, (v) limitations on our employees’ ability to work and travel, and (vi) changes to economic or political conditions in markets in which we operate.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16" w:name="page17"/>
    <w:bookmarkEnd w:id="16"/>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disruption, malfunction, or increased costs in the operation, expansion, or replenishment of our distribution centers or our supply chain would affect our ability to deliver to our locations and e-commerce customers or increase our expenses, which could harm our sales and profitability.</w:t>
      </w:r>
    </w:p>
    <w:p>
      <w:pPr>
        <w:spacing w:after="0" w:line="51"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Our vendors generally ship merchandise to one or more of our distribution centers, which receive and allocate merchandise to our locations and e-commerce customers. The success of our pet care centers depends on their timely receipt of merchandise. If any shipped merchandise were to be delayed because of the impact of severe weather, tariffs, or other disruptions on transnational shipping, particularly from our vendors in Asia, our operations would likely be significantly disrupted. Disruption to shipping and transportation channels due to slowdowns or work stoppages at ports on the West Coast of the United States have occurred in the past, and to the extent they occur in the future, could cause us to rely more heavily on airfreight to achieve timely delivery to our customers, resulting in significantly higher freight costs. Further, increased transportation costs, including tariffs and sustained increases in fuel costs, have resulted in higher operating costs in the past. We may not be able to pass all or any portion of these higher costs on to our customers or adjust our pricing structure in a timely manner in order to remain competitive, either of which could have a material adverse effect on our results of operations.</w:t>
      </w:r>
    </w:p>
    <w:p>
      <w:pPr>
        <w:spacing w:after="0" w:line="188"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In the past we have faced labor shortages at several of our distribution centers, which has adversely affected our results of operations. If any of our distribution centers were to shut down, suffer substantial labor shortages, or lose significant capacity for any reason, our operations would likely be significantly disrupted. We compete with other retailers for the supply of personnel to staff our distribution centers, some of whom are larger than us and have access to greater capital resources than we do. If we are unable to successfully recruit and retain personnel to staff our distribution centers, we may face labor shortages or be forced to increase wages and enhance benefits for such personnel, which may have an adverse effect on our results of operations. In addition, any interruption or malfunction in our distribution operations, including, but not limited to, the loss of a key vendor that provides transportation of merchandise to or from our distribution centers, labor shortages, or regulatory issues with respect to any of our distribution centers, could adversely affect our sales and results of operations. Previous interruptions in our inventory supply chain have resulted in certain out-of-stock or excess merchandise inventory levels, and could adversely affect our ability to make timely deliveries to e-commerce customers, as well as our sales and results of operations.</w:t>
      </w:r>
    </w:p>
    <w:p>
      <w:pPr>
        <w:spacing w:after="0" w:line="292" w:lineRule="exact"/>
        <w:rPr>
          <w:sz w:val="20"/>
          <w:szCs w:val="20"/>
          <w:color w:val="auto"/>
        </w:rPr>
      </w:pPr>
    </w:p>
    <w:p>
      <w:pPr>
        <w:ind w:right="4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occasionally seek to grow our business through acquisitions of, or investments in, new or complementary businesses, products, or services, or through strategic ventures, and the failure to successfully identify these opportunities, manage and integrate these acquisitions, investments, or alliances, or to achieve an adequate return on these investments, could have an adverse effect on us.</w:t>
      </w:r>
    </w:p>
    <w:p>
      <w:pPr>
        <w:spacing w:after="0" w:line="67"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The pet care industry is highly fragmented. We have completed acquisitions in the past and may pursue expansion and acquisition opportunities in the future, including veterinary hospitals. If we are unable to manage acquisitions, investments, or strategic ventures, or integrate any acquired businesses, services, or technologies effectively, we may not realize the expected benefits from the transaction relative to the consideration paid, and our business, financial condition, and results of operations may be adversely affected. To be successful, the integration process requires us to achieve the benefits of combining the companies, including generating operating efficiencies and synergies, successfully integrating personnel, and eliminating or reducing redundant costs. This integration process involves inherent uncertainties, and we cannot assure you that the anticipated benefits of these acquisitions will be fully realized without incurring unanticipated costs or diverting management’s attention from our core operations. Additionally, acquisitions and other transactions may be subject to regulatory challenges from antitrust or other regulatory authorities that may be lengthy and/or costly and may ultimately block, delay or impose conditions (such as divestitures, ownership or operational restrictions or other structural or behavioral remedies) on the completion of transactions or the integration of acquired operations.</w:t>
      </w:r>
    </w:p>
    <w:p>
      <w:pPr>
        <w:spacing w:after="0" w:line="194" w:lineRule="exact"/>
        <w:rPr>
          <w:sz w:val="20"/>
          <w:szCs w:val="20"/>
          <w:color w:val="auto"/>
        </w:rPr>
      </w:pPr>
    </w:p>
    <w:p>
      <w:pPr>
        <w:ind w:right="340" w:firstLine="509"/>
        <w:spacing w:after="0" w:line="261" w:lineRule="auto"/>
        <w:rPr>
          <w:sz w:val="20"/>
          <w:szCs w:val="20"/>
          <w:color w:val="auto"/>
        </w:rPr>
      </w:pPr>
      <w:r>
        <w:rPr>
          <w:rFonts w:ascii="Times New Roman" w:cs="Times New Roman" w:eastAsia="Times New Roman" w:hAnsi="Times New Roman"/>
          <w:sz w:val="18"/>
          <w:szCs w:val="18"/>
          <w:color w:val="auto"/>
        </w:rPr>
        <w:t>From time to time we also make strategic investments. These investments typically involve many of the same risks posed by acquisitions, particularly those risks associated with the diversion of our resources, the inability of the new venture to generate sufficient revenues or a return on our investment, the management of relationships with third parties, and potential expenses. Strategic ventures have the added risk that the other strategic venture partners may have economic, business, or legal interests or objectives that are inconsistent with our interests and objectives.</w:t>
      </w:r>
    </w:p>
    <w:p>
      <w:pPr>
        <w:spacing w:after="0" w:line="180"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We may also be unsuccessful in identifying and evaluating business, legal, or financial risks as part of the due diligence process associated with a particular transaction. Furthermore, acquired entities or businesses may have differing or inadequate controls, procedures, or policies, including those related to financial reporting, disclosure, practice management, handling of controlled substances, and cyber and information security, which could expose us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17" w:name="page18"/>
    <w:bookmarkEnd w:id="17"/>
    <w:p>
      <w:pPr>
        <w:spacing w:after="0" w:line="255" w:lineRule="auto"/>
        <w:rPr>
          <w:sz w:val="20"/>
          <w:szCs w:val="20"/>
          <w:color w:val="auto"/>
        </w:rPr>
      </w:pPr>
      <w:r>
        <w:rPr>
          <w:rFonts w:ascii="Times New Roman" w:cs="Times New Roman" w:eastAsia="Times New Roman" w:hAnsi="Times New Roman"/>
          <w:sz w:val="18"/>
          <w:szCs w:val="18"/>
          <w:color w:val="auto"/>
        </w:rPr>
        <w:t>to additional risks and potentially increase anticipated costs or time to integrate the business. In addition, some investments may result in the incurrence of debt or may have contingent consideration components that may require us to pay additional amounts in the future in relation to future performance results of the subject business. If we do enter into agreements with respect to these transactions, we may fail to complete them due to factors such as failure to obtain regulatory or other approvals. We may be unable to realize the full benefits from these transactions, such as increased net sales or enhanced efficiencies, within the timeframes that we expect, or at all. These events could divert attention from our other businesses and adversely affect our business, financial condition, and results of operations. Any future acquisitions also could result in potentially dilutive issuances of equity securities, the incurrence of additional debt, or the assumption of contingent liabilities.</w:t>
      </w:r>
    </w:p>
    <w:p>
      <w:pPr>
        <w:spacing w:after="0" w:line="293"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reputation and business may be harmed if our or our vendors’ computer network security or any of the databases containing customer, employee, or other personal information maintained by us or our third-party providers is compromised, which could materially adversely affect our results of operations.</w:t>
      </w:r>
    </w:p>
    <w:p>
      <w:pPr>
        <w:spacing w:after="0" w:line="67"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We collect, store, and/or transmit proprietary or confidential information regarding our customers, employees, job applicants, and others, including credit card information and personally identifiable information. We also collect, store, and transmit employees’ health information in order to administer employee benefits, accommodate disabilities and injuries, and to comply with public health requirements. The protection of customer, employee, and company data in the information technology systems we use (including those maintained by third-party providers) is critical. In the normal course of business, we are and have been the target of malicious cyber-attack attempts and have experienced other cybersecurity incidents.</w:t>
      </w:r>
    </w:p>
    <w:p>
      <w:pPr>
        <w:spacing w:after="0" w:line="183" w:lineRule="exact"/>
        <w:rPr>
          <w:sz w:val="20"/>
          <w:szCs w:val="20"/>
          <w:color w:val="auto"/>
        </w:rPr>
      </w:pPr>
    </w:p>
    <w:p>
      <w:pPr>
        <w:ind w:right="60" w:firstLine="509"/>
        <w:spacing w:after="0" w:line="267" w:lineRule="auto"/>
        <w:rPr>
          <w:sz w:val="20"/>
          <w:szCs w:val="20"/>
          <w:color w:val="auto"/>
        </w:rPr>
      </w:pPr>
      <w:r>
        <w:rPr>
          <w:rFonts w:ascii="Times New Roman" w:cs="Times New Roman" w:eastAsia="Times New Roman" w:hAnsi="Times New Roman"/>
          <w:sz w:val="17"/>
          <w:szCs w:val="17"/>
          <w:color w:val="auto"/>
        </w:rPr>
        <w:t>While to date, we do not believe such identified cybersecurity incidents have been material to us, including to our reputation or business operations, or had a material financial impact on us, we cannot assure you that such incidents or future cyber-incidents will not expose us to material liability. Security could be compromised and confidential information, such as customer credit card numbers or account information, employee information, or other personally identifiable information that we or our vendors collect, transmit, or store, could be misappropriated or system disruptions could occur. In addition, cyber-attacks such as ransomware or phishing attacks could lock us out of our information systems and disrupt our operations. We may not have the resources or technical sophistication to anticipate or prevent rapidly evolving types of cyber-attacks. Attacks may be targeted at us, our customers, our employees, our vendors, or others who have entrusted us with information. Actual or anticipated attacks may cause us to incur increasing costs, including costs to deploy additional personnel and protection technologies, train employees, and engage third-party experts and consultants. Advances in computer capabilities, including as a result of artificial intelligence ("AI"), supercomputing, new technological discoveries, or other developments may result in the breach or compromise of the technology used or maintained by us to protect transactions or other sensitive data. In addition, data and security breaches could also occur as a result of systems misconfigurations as well as non-technical issues, such as intentional or inadvertent breaches by our employees or by persons with whom we have commercial relationships, that result in the unauthorized release or availability of personal or confidential information. Additionally, it may take considerable time for us to investigate and evaluate the full impact of cybersecurity incidents, particularly for sophisticated or widespread attacks. These factors may inhibit our ability to provide prompt, full, and/or reliable information about the incident to our customers, partners, regulators, and the public. Any compromise or breach of our or our vendors’ computer network security could result in a violation of applicable privacy and other laws, costly investigations, litigation, including class actions, and notification, as well as potential regulatory or other actions by governmental agencies and harm to our brand, business, and results of operations. As a result of any of the foregoing, we could experience adverse publicity, loss of sales, the cost of remedial measures, including substantial legal fees, and significant expenditures to reimburse third parties for damages, each of which could adversely impact our results of operations. While we maintain cyber and crime insurance, any such insurance may not be sufficient to cover actual losses, may not apply to the circumstances relating to any particular loss or incident, or may become materially more costly over time.</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9" w:right="359" w:bottom="1440" w:gutter="0" w:footer="0" w:header="0"/>
        </w:sectPr>
      </w:pPr>
    </w:p>
    <w:bookmarkStart w:id="18" w:name="page19"/>
    <w:bookmarkEnd w:id="18"/>
    <w:p>
      <w:pPr>
        <w:ind w:firstLine="509"/>
        <w:spacing w:after="0" w:line="253" w:lineRule="auto"/>
        <w:rPr>
          <w:sz w:val="20"/>
          <w:szCs w:val="20"/>
          <w:color w:val="auto"/>
        </w:rPr>
      </w:pPr>
      <w:r>
        <w:rPr>
          <w:rFonts w:ascii="Times New Roman" w:cs="Times New Roman" w:eastAsia="Times New Roman" w:hAnsi="Times New Roman"/>
          <w:sz w:val="18"/>
          <w:szCs w:val="18"/>
          <w:color w:val="auto"/>
        </w:rPr>
        <w:t>The techniques used by criminals to obtain unauthorized access to sensitive data change frequently and often cannot be recognized until launched against a target. Accordingly, we or our vendors may not be able to anticipate these frequently changing techniques or implement adequate preventive measures for all of them. Failure by us or our vendors to comply with data security requirements, including the CCPA’s (as modified by the CPRA) “reasonable security” requirement in light of the private right of action, or rectify a security issue may result in class action litigation, fines, and the imposition of restrictions on our ability to accept payment cards, which could adversely affect our operations. We cannot assure you that we or our vendors will be able to satisfy the Payment Card Industry (“PCI”) Data Security Standard (“PCI DSS”). In addition, PCI is controlled by a limited number of vendors that have the ability to impose changes in fee structures and operational requirements without negotiation. Such changes in fees and operational requirements may result in our failure to comply with PCI DSS, as well as significant unanticipated expenses. Any unauthorized access into our customers’ or employees’ sensitive information, or other data handled by or on behalf of us, even if we are compliant with industry security standards, could put us at a competitive disadvantage, result in deterioration of our customers’ or employees’ confidence in us, and subject us to potential litigation, liability, fines, and penalties and consent decrees, which could require us to expend significant resources related to remediation or result in a disruption of our operations, any of which could have a material adverse effect on our business, financial condition, and results of operations.</w:t>
      </w:r>
    </w:p>
    <w:p>
      <w:pPr>
        <w:spacing w:after="0" w:line="294"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information systems or infrastructure or those of our vendors fail to perform as designed or are interrupted for a significant period of time, our business could be adversely affected.</w:t>
      </w:r>
    </w:p>
    <w:p>
      <w:pPr>
        <w:spacing w:after="0" w:line="51"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The efficient operation of our business is dependent on our information systems and those of our vendors. In particular, we rely on our information systems to effectively manage our financial and operational data, to maintain our in-stock positions, and to transact the sale of our products in our pet care centers and online. The failure of our information systems or those of our vendors to perform as designed, the loss of data, or any interruption of our information systems or those of our vendors for an extended period of time could disrupt our business.</w:t>
      </w:r>
    </w:p>
    <w:p>
      <w:pPr>
        <w:spacing w:after="0" w:line="180"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Our operations also depend on our ability to maintain and protect the computer systems we use to manage our purchase orders, pet care center inventory levels, web applications, accounting functions, and other critical aspects of our business. Our systems and those of our vendors are vulnerable to damage from extreme weather, fire, floods, earthquakes, power loss, telecommunications failures, terrorist and cyber-attacks, employee error, and similar events. Our disaster recovery planning and those of our vendors may not be sufficient to adequately respond to any such events. In addition, we may have inadequate insurance coverage to compensate for any related losses and expenses. Any of these events could damage our reputation, disrupt our business, supply chain, or sales, and be expensive to remedy.</w:t>
      </w:r>
    </w:p>
    <w:p>
      <w:pPr>
        <w:spacing w:after="0" w:line="187" w:lineRule="exact"/>
        <w:rPr>
          <w:sz w:val="20"/>
          <w:szCs w:val="20"/>
          <w:color w:val="auto"/>
        </w:rPr>
      </w:pPr>
    </w:p>
    <w:p>
      <w:pPr>
        <w:ind w:right="140" w:firstLine="509"/>
        <w:spacing w:after="0" w:line="256" w:lineRule="auto"/>
        <w:rPr>
          <w:sz w:val="20"/>
          <w:szCs w:val="20"/>
          <w:color w:val="auto"/>
        </w:rPr>
      </w:pPr>
      <w:r>
        <w:rPr>
          <w:rFonts w:ascii="Times New Roman" w:cs="Times New Roman" w:eastAsia="Times New Roman" w:hAnsi="Times New Roman"/>
          <w:sz w:val="18"/>
          <w:szCs w:val="18"/>
          <w:color w:val="auto"/>
        </w:rPr>
        <w:t>We continue to invest in our information systems and IT infrastructure. Enhancement to or replacement of our major financial or operational information systems could have a significant impact on our ability to conduct our business operations and increase our risk of loss resulting from disruptions of normal operating processes and procedures that may occur during the implementation of new information systems. It may also require us to divest resources to ensure that implementation is successful. We can make no assurances that the costs of investments in our information systems will not exceed estimates, that the systems will be implemented without material disruption, or that the systems will be as beneficial as predicted. If any of these events occur, our results of operations could be adversely affected.</w:t>
      </w:r>
    </w:p>
    <w:p>
      <w:pPr>
        <w:spacing w:after="0" w:line="291"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Negative publicity arising from claims that we do not properly care for animals we handle or sell could adversely affect how we are perceived by the public and reduce our sales and profitability.</w:t>
      </w:r>
    </w:p>
    <w:p>
      <w:pPr>
        <w:spacing w:after="0" w:line="5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From time to time, we receive claims or complaints alleging that we do not properly care for some of the pets we handle or for companion animals we handle and sell, which may include dogs, cats, birds, fish, reptiles, and other small animals. Deaths, illnesses, or injuries sometimes occur while animals are in our care. As a result, we may be subject to claims that our animal care practices, including grooming, training, veterinary, and other services, or the related training of our associates or handling of animals by them, do not provide the proper level of care. Any such claims or complaints, as well as any related news reports or reports on social media, even if inaccurate or untrue, could cause negative publicity, which in turn could harm our business and have a material adverse effect on our results of operations. In addition, legislative or regulatory initiatives in certain jurisdictions restricting the retail sale of pets, could expand to additional markets, and if adopted at scale, could adversely affect our sales, operations, and financial results.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i w:val="1"/>
          <w:iCs w:val="1"/>
          <w:color w:val="auto"/>
        </w:rPr>
        <w:t>Our international operations and evolving foreign trade policy may result in additional market risks, which may adversely affect our business.</w:t>
      </w:r>
    </w:p>
    <w:p>
      <w:pPr>
        <w:spacing w:after="0" w:line="121"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As our international operations grow, they may require greater management and financial resources. International operations require the integration of personnel with varying cultural and business backgrounds and an understanding of the relevant differences in the cultural, legal, and regulatory environments. Our results may be increasingly affected by the risks of our international activities, including:</w:t>
      </w:r>
    </w:p>
    <w:p>
      <w:pPr>
        <w:spacing w:after="0" w:line="68" w:lineRule="exact"/>
        <w:rPr>
          <w:sz w:val="20"/>
          <w:szCs w:val="20"/>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anticipating or responding to the impact that local culture and market forces may have on local consumer preferences and trends;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currency exchanges rates;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international staffing and employment issues;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imposition of taxes, duties, tariffs, or other trade barriers;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shipping or customs delays;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difficulty in utilizing and enforcing our intellectual property rights;</w:t>
      </w:r>
    </w:p>
    <w:p>
      <w:pPr>
        <w:spacing w:after="0" w:line="117" w:lineRule="exact"/>
        <w:rPr>
          <w:rFonts w:ascii="Times New Roman" w:cs="Times New Roman" w:eastAsia="Times New Roman" w:hAnsi="Times New Roman"/>
          <w:sz w:val="18"/>
          <w:szCs w:val="18"/>
          <w:color w:val="auto"/>
        </w:rPr>
      </w:pPr>
    </w:p>
    <w:p>
      <w:pPr>
        <w:ind w:left="1020" w:right="160" w:hanging="503"/>
        <w:spacing w:after="0" w:line="282"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burden of complying with foreign laws, including regulatory regimes, tax laws, privacy laws, labor and employment laws, and financial accounting standards;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and economic instability and developments;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issues or disputes arising with our joint venture partners, if any, in such operations; and</w:t>
      </w:r>
    </w:p>
    <w:p>
      <w:pPr>
        <w:spacing w:after="0" w:line="117" w:lineRule="exact"/>
        <w:rPr>
          <w:rFonts w:ascii="Times New Roman" w:cs="Times New Roman" w:eastAsia="Times New Roman" w:hAnsi="Times New Roman"/>
          <w:sz w:val="18"/>
          <w:szCs w:val="18"/>
          <w:color w:val="auto"/>
        </w:rPr>
      </w:pPr>
    </w:p>
    <w:p>
      <w:pPr>
        <w:ind w:left="1020" w:right="20" w:hanging="503"/>
        <w:spacing w:after="0" w:line="266"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a health epidemic, pandemic or similar outbreak, or natural disaster or extreme weather event causes disruptions in any country where we have, or rely on, significant employee presence, facilities, or critical operations, thereby impairing our ability to manage day-to-day operations and service our customers, increasing our costs of operations, and resulting in potential losses in revenue.</w:t>
      </w:r>
    </w:p>
    <w:p>
      <w:pPr>
        <w:spacing w:after="0" w:line="176"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Moreover, our products are sourced from a wide variety of vendors, including from vendors overseas, such as China. In addition, some of the products that we purchase from vendors in the United States also depend, in whole or in part, on vendors located outside the U.S. There continues to be significant uncertainty regarding the future of international trade agreements and ultimately the United States’ consistent position on international trade. For example, the U.S. government has threatened to undertake a number of actions relating to trade with Mexico, including the closure of the border and has imposed tariffs on goods imported into the United States from Mexico, and Canada. In addition, the U.S. government has issued sanctions on Chinese companies, raised tariffs, and during 2025 imposed new tariffs on a wide range of imports of Chinese products and may impose additional tariffs in the future. Moreover, recent U.S. tariffs imposed or threatened to be imposed on China, Mexico, Canada, and other countries and any retaliatory actions taken by such countries have resulted in and are expected to continue to result in us incurring additional costs to procure a portion of the merchandise we offer. While we take steps to mitigate or avoid these increased costs and disruptions, such as through selectively raising prices on certain products or altering sourcing, our ability to do so may be limited by competitive pressures, customer acceptance, and operational and supply chain constraints, especially in the short term. Additional trade restrictions, including sanctions, tariffs, quotas, embargoes, safeguards, border shutdowns, and customs restrictions, could further increase the cost or reduce the supply of products available to us and to our vendors based in the United States and may require us to modify our supply chain organization or other current business practices or raise prices further, any of which could harm our business, financial condition, results of operations, and competitive position.</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quarterly operating results may fluctuate due to the timing of expenses, new pet care center openings, pet care center closures, and other factors.</w:t>
      </w:r>
    </w:p>
    <w:p>
      <w:pPr>
        <w:spacing w:after="0" w:line="121"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Our expansion plans, including the timing of new and remodeled pet care centers and veterinary hospitals, and related pre-opening costs, the amount of net sales contributed by new and existing pet care centers, and the timing of and estimated costs associated with pet care center closings or relocations, may cause our quarterly results of operations to fluctuate. Further, new pet care centers and service offerings tend to experience higher payroll, advertising, and other store-level expenses as a percentage of net sales than more mature pet care centers, and such openings also often contribute to lower pet care center operating margins until those pet care centers mature, which may result in quarterly fluctuations in operating results. Quarterly operating results are not necessarily accurate predictors of long-term performance.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0" w:name="page21"/>
    <w:bookmarkEnd w:id="20"/>
    <w:p>
      <w:pPr>
        <w:ind w:left="520"/>
        <w:spacing w:after="0"/>
        <w:rPr>
          <w:sz w:val="20"/>
          <w:szCs w:val="20"/>
          <w:color w:val="auto"/>
        </w:rPr>
      </w:pPr>
      <w:r>
        <w:rPr>
          <w:rFonts w:ascii="Times New Roman" w:cs="Times New Roman" w:eastAsia="Times New Roman" w:hAnsi="Times New Roman"/>
          <w:sz w:val="18"/>
          <w:szCs w:val="18"/>
          <w:color w:val="auto"/>
        </w:rPr>
        <w:t>Quarterly operating results may also vary depending on a number of factors, many of which are outside of our control, including:</w:t>
      </w:r>
    </w:p>
    <w:p>
      <w:pPr>
        <w:spacing w:after="0" w:line="117" w:lineRule="exact"/>
        <w:rPr>
          <w:sz w:val="20"/>
          <w:szCs w:val="20"/>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pricing policies or those of our competitors;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sales and channels mix and the relevant gross margins of the products and services sold;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hiring and retention of key personnel;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wage, cost, and inflationary pressures;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claims for which we are self-insured;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fuel prices or electrical rates;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acquisitions of businesses;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factors, including new or increased tariffs or other trade restrictions.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Pet consumables safety, quality, and health concerns could adversely affect our business.</w:t>
      </w:r>
    </w:p>
    <w:p>
      <w:pPr>
        <w:spacing w:after="0" w:line="121"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We could be adversely affected if consumers lose confidence in the safety and quality of our owned brand or vendor-supplied consumable pet products and supplies. Adverse publicity about these types of concerns, whether valid or not, may discourage consumers from buying the products in our locations or cause vendor production and delivery disruptions. The actual or perceived sale of contaminated pet consumables by our vendors or us could result in product liability claims against our vendors or us and a loss of consumer confidence, which could have an adverse effect on our sales and operations. In addition, if our products are alleged to pose a risk of injury or illness, or if they are alleged to have been mislabeled, misbranded, or adulterated, or to otherwise be in violation of governmental regulations, we may be subject to fines or litigation costs, and may need to find alternate ingredients for our products, delay production of our products, or discard or otherwise dispose of our products, which could adversely affect our results of operations. If this occurs after the affected product has been distributed, we may need to withdraw or recall the affected product. Given the difficulty in converting pet food customers, if we lose customers due to a loss of confidence in safety or quality, it may be difficult to reacquire such customers.</w:t>
      </w:r>
    </w:p>
    <w:p>
      <w:pPr>
        <w:spacing w:after="0" w:line="292"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Restrictions imposed in reaction to outbreaks of animal diseases or health epidemics, pandemics, and similar outbreaks, could have a material adverse effect on our business, financial condition, and results of operations.</w:t>
      </w:r>
    </w:p>
    <w:p>
      <w:pPr>
        <w:spacing w:after="0" w:line="5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If animal diseases, such as mad cow disease, foot-and-mouth disease, or highly pathogenic avian influenza, also known as “bird flu,” impact the availability of the protein-based ingredients our vendors use in products, our vendors may be required to locate alternative sources for protein-based ingredients. Those sources may not be available to sustain our sales volumes, may be costlier, and may affect the quality and nutritional value of our products. If outbreaks of mad cow disease, foot-and-mouth disease, bird flu, or any other animal disease, or the regulation or publicity resulting therefrom impacts the cost of the protein-based ingredients we have in our products, or the cost of the alternative protein-based ingredients necessary for our products as compared to our current costs, we may be required to increase the prices of our products to avoid margin deterioration. However, we may not be able to charge higher prices for our products without negatively impacting future sales volumes.</w:t>
      </w:r>
    </w:p>
    <w:p>
      <w:pPr>
        <w:spacing w:after="0" w:line="81" w:lineRule="exact"/>
        <w:rPr>
          <w:sz w:val="20"/>
          <w:szCs w:val="20"/>
          <w:color w:val="auto"/>
        </w:rPr>
      </w:pPr>
    </w:p>
    <w:p>
      <w:pPr>
        <w:ind w:right="100" w:firstLine="749"/>
        <w:spacing w:after="0" w:line="258" w:lineRule="auto"/>
        <w:rPr>
          <w:sz w:val="20"/>
          <w:szCs w:val="20"/>
          <w:color w:val="auto"/>
        </w:rPr>
      </w:pPr>
      <w:r>
        <w:rPr>
          <w:rFonts w:ascii="Times New Roman" w:cs="Times New Roman" w:eastAsia="Times New Roman" w:hAnsi="Times New Roman"/>
          <w:sz w:val="18"/>
          <w:szCs w:val="18"/>
          <w:color w:val="auto"/>
        </w:rPr>
        <w:t>The Company faces risks related to outbreaks of communicable diseases among pets including, but not limited to, canine parvo virus, kennel cough, leptospirosis, feline and canine distemper and canine influenza virus. A widespread outbreak of any communicable disease can cause decreased customer demand for the Company’s grooming, training, and veterinary services as customers avoid public spaces with other pets in order to avoid contracting the applicable disease. The future impact of any such outbreak of a communicable disease is difficult to predict and dependent on the severity, magnitude and duration of the outbreak.</w:t>
      </w:r>
    </w:p>
    <w:p>
      <w:pPr>
        <w:spacing w:after="0" w:line="18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9" w:right="379" w:bottom="1440" w:gutter="0" w:footer="0" w:header="0"/>
        </w:sectPr>
      </w:pPr>
    </w:p>
    <w:bookmarkStart w:id="21" w:name="page22"/>
    <w:bookmarkEnd w:id="21"/>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Fluctuations in the prices and availability of certain commodities, such as grains and meat protein, could materially adversely affect our operating results.</w:t>
      </w:r>
    </w:p>
    <w:p>
      <w:pPr>
        <w:spacing w:after="0" w:line="5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The pet food and supplies industry is subject to risks related to increases in the prices and availability of certain commodities used in the production of certain pet food and other pet-related products, specifically seed, wheat, and rice, as well as other materials that are used in the production of certain pet accessories. Additionally, increased human and/or pet consumption or population increases may potentially limit the supply of or increase prices for certain meat proteins, many of which are used in animal feed. Throughout 2025, costs of certain commodities continued to increase due to increased fuel prices, heightened transportation costs, tariffs and other trade restrictions, and general inflationary pressures, and at times we have resultingly observed increases in the costs we pay for certain vendor-supplied products. To help mitigate the impact of these cost increases, we have in the past implemented select price increases, which is consistent with our historical practice. However, our ability to pass on increased purchase costs both now and in the future is and will be significantly impacted by market conditions and competitive factors. If we are unable to pass on any increased purchase costs to customers, we would experience reduced margins and could experience decreased demand for our products and servicess, which could have a material adverse effect on our business, financial condition, and results of operations.</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real estate leases generally obligate us for long periods, which subjects us to various financial risks.</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We lease all of our pet care center and distribution center locations generally for long terms. While we have the right to terminate some of our leases under specified conditions by making specified payments, we may not be able to terminate a particular lease if or when we would like to do so. If we decide to close pet care centers, we are generally required to continue paying rent and operating expenses for the balance of the lease term, or to pay to exercise rights to terminate, and the performance of any of these obligations may be expensive. When we assign or sublease vacated locations, we may remain liable for the lease obligations if the assignee or sublessee does not perform. In addition, when leases for the pet care centers in our ongoing operations expire, we may be unable to negotiate renewals, either on commercially acceptable terms, or at all, which could cause us to close pet care centers. Accordingly, we are subject to the risks associated with leasing real estate, which could have a material adverse effect on our operating results.</w:t>
      </w:r>
    </w:p>
    <w:p>
      <w:pPr>
        <w:spacing w:after="0" w:line="81" w:lineRule="exact"/>
        <w:rPr>
          <w:sz w:val="20"/>
          <w:szCs w:val="20"/>
          <w:color w:val="auto"/>
        </w:rPr>
      </w:pPr>
    </w:p>
    <w:p>
      <w:pPr>
        <w:ind w:right="240" w:firstLine="509"/>
        <w:spacing w:after="0" w:line="254" w:lineRule="auto"/>
        <w:rPr>
          <w:sz w:val="20"/>
          <w:szCs w:val="20"/>
          <w:color w:val="auto"/>
        </w:rPr>
      </w:pPr>
      <w:r>
        <w:rPr>
          <w:rFonts w:ascii="Times New Roman" w:cs="Times New Roman" w:eastAsia="Times New Roman" w:hAnsi="Times New Roman"/>
          <w:sz w:val="18"/>
          <w:szCs w:val="18"/>
          <w:color w:val="auto"/>
        </w:rPr>
        <w:t>Further, the success of our pet care centers depends on a number of factors, including the sustained success of the commercial area where the pet care center is located, consumer demographics, and consumer shopping habits and patterns. Changes in consumer shopping habits and patterns, reduced customer traffic in the commercial areas where our pet care centers are located, financial difficulties of our landlords, anchor tenants, or a significant number of other retailers, and shopping center vacancies or closures could impact the profitability of our pet care centers and increase the likelihood that our landlords fail to fulfill their obligations and conditions under our lease agreements. While we have certain remedies and protections under our lease agreements, the loss of business that could result if a shopping center should close or if customer traffic were to significantly decline as a result of lost tenants or improper care of the facilities or due to macroeconomic effects could have a material adverse effect on our business, financial condition, and results of operations.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attract and retain quality employees and experienced management personnel could adversely affect our performance.</w:t>
      </w:r>
    </w:p>
    <w:p>
      <w:pPr>
        <w:spacing w:after="0" w:line="121" w:lineRule="exact"/>
        <w:rPr>
          <w:sz w:val="20"/>
          <w:szCs w:val="20"/>
          <w:color w:val="auto"/>
        </w:rPr>
      </w:pPr>
    </w:p>
    <w:p>
      <w:pPr>
        <w:ind w:firstLine="509"/>
        <w:spacing w:after="0" w:line="268" w:lineRule="auto"/>
        <w:rPr>
          <w:sz w:val="20"/>
          <w:szCs w:val="20"/>
          <w:color w:val="auto"/>
        </w:rPr>
      </w:pPr>
      <w:r>
        <w:rPr>
          <w:rFonts w:ascii="Times New Roman" w:cs="Times New Roman" w:eastAsia="Times New Roman" w:hAnsi="Times New Roman"/>
          <w:sz w:val="17"/>
          <w:szCs w:val="17"/>
          <w:color w:val="auto"/>
        </w:rPr>
        <w:t>Our performance depends on recruiting, developing, training, and retaining top talent in our support centers, partners who are capable sales associates in large numbers in our pet care centers, experienced personnel in our distribution centers, and experienced management personnel. Our ability to meet our labor needs while controlling labor costs is subject to external factors such as unemployment levels, prevailing wage rates, minimum wage legislation, inflationary pressures, the availability of qualified persons in the markets where we operate, changing demographics, behavioral changes, health and other insurance costs, and governmental labor and employment requirements. We have in the past faced labor shortages at several of our distribution centers, which adversely affected our operations. We have also faced, and could continue to face, increased wage competition and costs across our business in recruiting and retaining top talent. In recent years, various legislative movements have sought to increase the federal minimum wage in the United States and the minimum wage in a number of individual states, some of which have been successful at the state level. As federal or state minimum wage rates increase, or market pressures upwardly impact prevailing competitive wage rates, we may need to increase not only the wage rates of our minimum wage partners but also the wages paid to our other hourly partners. If we fail to offer competitive wages, we could fail to recruit and retain top talent and face labor shortages or staffing issues, and the quality of our workforce could decline, causing our customer service to suffer, while increasing our wages could cause our earnings to decrease. Moreover, failure to achieve and maintain a talented workforce and leadership team, maintain a safe and inclusive environment or promote the well-being of our employees could affect our reputation and also result in lower performance and an inability to retain valuable employees. If we do not continue to attract, train, and retain quality associates and management personnel, our performance could be adversely affected.</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i w:val="1"/>
          <w:iCs w:val="1"/>
          <w:color w:val="auto"/>
        </w:rPr>
        <w:t>Labor disputes may have an adverse effect on our operations.</w:t>
      </w:r>
    </w:p>
    <w:p>
      <w:pPr>
        <w:spacing w:after="0" w:line="121"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We are not currently party to a collective bargaining agreement with any of our employees. We have, however, experienced attempted union organizing campaigns in the past, and may continue to experience union organizing campaigns, which can be disruptive to our operations, increase our labor and operating costs, and decrease our operational flexibility. We cannot assure you that some or all of our employees will not become covered by a collective bargaining agreement or that we will not encounter labor conflicts or strikes. In addition, organized labor may benefit from new legislation or legal interpretations, as well as current or future unionization efforts among other large employers; we therefore cannot provide any assurance that we will not experience additional and/or successful union organization activity in the future. Any labor disruptions could have an adverse effect on our business or results of operations and could cause us to lose customers. Further, our responses to any union organizing efforts could negatively impact our reputation and have adverse effects on our business, including on our financial results.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Claims under our insurance plans and policies may differ from our estimates, which could adversely affect our results of operations.</w:t>
      </w:r>
    </w:p>
    <w:p>
      <w:pPr>
        <w:spacing w:after="0" w:line="121"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We use a combination of insurance and self-insurance plans to provide coverage for potential liabilities for workers’ compensation, general liability, business interruption, property damage, directors’ and officers’ liability, vehicle liability, cybersecurity and criminal incidents that we suffer, and employee health-care benefits. Our insurance coverage may not be sufficient, and any insurance proceeds may not be timely paid to us. Moreover, as insurance premiums continue to increase, we cannot be certain that insurance will continue to be available to us on economically reasonable terms, or at all. In addition, liabilities associated with the risks that are retained by us are estimated, in part, by considering historical claims experience, demographic factors, severity factors, and other actuarial assumptions, and our business, financial condition, and results of operations may be adversely affected if these assumptions are incorrect.</w:t>
      </w:r>
    </w:p>
    <w:p>
      <w:pPr>
        <w:spacing w:after="0" w:line="293"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Resistance from veterinarians to authorize prescriptions or attempts/efforts on their part to discourage pet owners from purchasing from us could cause our sales to decrease and could adversely affect our financial condition and results of operations.</w:t>
      </w:r>
    </w:p>
    <w:p>
      <w:pPr>
        <w:spacing w:after="0" w:line="51" w:lineRule="exact"/>
        <w:rPr>
          <w:sz w:val="20"/>
          <w:szCs w:val="20"/>
          <w:color w:val="auto"/>
        </w:rPr>
      </w:pPr>
    </w:p>
    <w:p>
      <w:pPr>
        <w:ind w:right="180" w:firstLine="509"/>
        <w:spacing w:after="0" w:line="255" w:lineRule="auto"/>
        <w:rPr>
          <w:sz w:val="20"/>
          <w:szCs w:val="20"/>
          <w:color w:val="auto"/>
        </w:rPr>
      </w:pPr>
      <w:r>
        <w:rPr>
          <w:rFonts w:ascii="Times New Roman" w:cs="Times New Roman" w:eastAsia="Times New Roman" w:hAnsi="Times New Roman"/>
          <w:sz w:val="18"/>
          <w:szCs w:val="18"/>
          <w:color w:val="auto"/>
        </w:rPr>
        <w:t>The laws and regulations relating to the sale and delivery of prescription pet medications vary from state to state, but generally require that prescription pet medications be dispensed with authorization from a prescribing veterinarian. Some veterinarians may decide to resist providing our customers with a copy of their pet’s prescription or resist authorizing the prescription to the pharmacy staff of our fulfillment vendor, thereby effectively preventing us from filling such prescriptions under applicable law. Certain veterinarians may decide to discourage pet owners from purchasing from internet mail order pharmacies. If the number of veterinarians who refuse to authorize prescriptions to the pharmacy staff of our fulfillment vendor increases, or if veterinarians are successful in discouraging pet owners from purchasing from us, our sales could decrease and our financial condition and results of operations may be materially adversely affected.</w:t>
      </w:r>
    </w:p>
    <w:p>
      <w:pPr>
        <w:spacing w:after="0" w:line="293"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results may be adversely affected by serious disruptions or catastrophic events, including public health issues, geopolitical events, and severe weather.</w:t>
      </w:r>
    </w:p>
    <w:p>
      <w:pPr>
        <w:spacing w:after="0" w:line="5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Geopolitical events, such as war or civil unrest in a country in which our vendors are located or dependent upon, or terrorist or military activities disrupting transportation, communication, or utility systems, local protests, and unrest and natural disasters, such as hurricanes, tornadoes, floods, earthquakes, wildfires, and other severe weather and climate conditions, whether occurring in the United States or abroad, particularly during peak seasonal periods, have disrupted and in the future could disrupt our operations or the operations of one or more of our vendors, in the affected areas, and damage or destroy one or more of our pet care centers or distribution centers located in the affected areas. Such events could also result in temporary or long-term supply chain disruptions, or cause increased transportation costs (whether due to fuel prices, fuel supply, or otherwise). For example, the ongoing conflicts in Ukraine and the Middle East have resulted, and could continue to result, in volatile commodity markets, supply chain disruptions, and increased costs for transportation, energy, packaging and raw materials and other input costs. Further, even if a severe weather event does not ultimately cause damage to any of our pet care centers or distribution centers, we expend significant efforts in anticipation of such event to protect the health and safety of our partners, guests, and the live animals that we sell and/or offer for adoption in the subject area. As a result of any such events, day-to-day operations, particularly our ability to receive products from our vendors or transport products to our pet care centers, could be adversely affected, or we could be required to close pet care</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23" w:name="page24"/>
    <w:bookmarkEnd w:id="23"/>
    <w:p>
      <w:pPr>
        <w:ind w:right="40"/>
        <w:spacing w:after="0" w:line="261" w:lineRule="auto"/>
        <w:rPr>
          <w:sz w:val="20"/>
          <w:szCs w:val="20"/>
          <w:color w:val="auto"/>
        </w:rPr>
      </w:pPr>
      <w:r>
        <w:rPr>
          <w:rFonts w:ascii="Times New Roman" w:cs="Times New Roman" w:eastAsia="Times New Roman" w:hAnsi="Times New Roman"/>
          <w:sz w:val="18"/>
          <w:szCs w:val="18"/>
          <w:color w:val="auto"/>
        </w:rPr>
        <w:t>centers or distribution centers in the affected areas or in areas served by the affected distribution center. These factors have caused and could in the future cause consumer confidence and spending to decrease or otherwise become less predictable during the particular event. Further, these factors could result in increased volatility in the United States and the global economy, including financial markets. These or other occurrences could significantly impact our operating results and financial performance.</w:t>
      </w:r>
    </w:p>
    <w:p>
      <w:pPr>
        <w:spacing w:after="0" w:line="72"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A potential result of climate change is more frequent or more severe weather events or natural disasters. To the extent such weather events or natural disasters do become more frequent or severe, disruptions to our business, including store closures and/or damage, and our vendors and costs to repair damaged facilities or maintain or resume operations could increase. The long-term impacts of climate change, whether involving physical risks (such as extreme weather conditions or rising sea levels) or transition risks (such as regulatory or technology changes or increased operating costs, including the cost of insurance) could be widespread and unpredictable. These changes over time could also affect, for example, the availability and cost of certain products, insurance, commodities (including grains and proteins), and energy (including utilities), which in turn may impact our ability to procure those certain goods or services required for the operation of our business at the quantities and levels we require or on otherwise commercially reasonable terms.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Inventory loss and theft may negatively affect the business.</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Efficient management of assets and inventory is important to our business success and profitability. Some level of inventory loss or theft is an inherent cost of the retail business and can be caused by a number of factors, including error or misconduct by employees, customers, or vendors. However, if these incidents were to increase in frequency or severity, or if we were required to invest more heavily in security and maintenance efforts, our financial results could be negatively affected.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Inflation has adversely impacted, and is expected to continue to adversely impact, our financial condition and results of operations.</w:t>
      </w:r>
    </w:p>
    <w:p>
      <w:pPr>
        <w:spacing w:after="0" w:line="229" w:lineRule="exact"/>
        <w:rPr>
          <w:sz w:val="20"/>
          <w:szCs w:val="20"/>
          <w:color w:val="auto"/>
        </w:rPr>
      </w:pPr>
    </w:p>
    <w:p>
      <w:pPr>
        <w:ind w:right="20" w:firstLine="749"/>
        <w:spacing w:after="0" w:line="254" w:lineRule="auto"/>
        <w:rPr>
          <w:sz w:val="20"/>
          <w:szCs w:val="20"/>
          <w:color w:val="auto"/>
        </w:rPr>
      </w:pPr>
      <w:r>
        <w:rPr>
          <w:rFonts w:ascii="Times New Roman" w:cs="Times New Roman" w:eastAsia="Times New Roman" w:hAnsi="Times New Roman"/>
          <w:sz w:val="18"/>
          <w:szCs w:val="18"/>
          <w:color w:val="auto"/>
        </w:rPr>
        <w:t>Inflation in the United States remained elevated throughout fiscal 2025. This is primarily believed to be the result of a multitude of factors, including elevated costs of product inputs and transportation costs, increased labor costs, and spending of excess savings, among other factors. Additionally, the imposition of tariffs on imports by the U.S. has resulted in higher input costs. We have experienced inflationary pressures in certain areas of our business, including with respect to employee wages and the cost of merchandise, and it has become increasingly difficult to mitigate such pressures through price increases. We cannot predict any future trends in the rate of inflation or associated increases in our operating costs and how that may impact our business. To the extent we are unable to recover higher operating costs resulting from inflation or otherwise mitigate the impact of such costs on our business, our revenues and gross margins could decrease, and our financial condition and results of operations could be adversely affected. Furthermore, inflation has resulted in, and may continue to result in, decreased customer spending on certain discretionary items, such as supplies and companion animal sales, which has adversely impacted our revenues and gross margins.</w:t>
      </w:r>
    </w:p>
    <w:p>
      <w:pPr>
        <w:spacing w:after="0" w:line="184"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use artificial intelligence in our business, and challenges with properly managing its use could result in harm to our brand, reputation, business or customers, and adversely affect our results of operations.</w:t>
      </w:r>
    </w:p>
    <w:p>
      <w:pPr>
        <w:spacing w:after="0" w:line="159" w:lineRule="exact"/>
        <w:rPr>
          <w:sz w:val="20"/>
          <w:szCs w:val="20"/>
          <w:color w:val="auto"/>
        </w:rPr>
      </w:pPr>
    </w:p>
    <w:p>
      <w:pPr>
        <w:ind w:right="140" w:firstLine="749"/>
        <w:spacing w:after="0" w:line="253" w:lineRule="auto"/>
        <w:rPr>
          <w:sz w:val="20"/>
          <w:szCs w:val="20"/>
          <w:color w:val="auto"/>
        </w:rPr>
      </w:pPr>
      <w:r>
        <w:rPr>
          <w:rFonts w:ascii="Times New Roman" w:cs="Times New Roman" w:eastAsia="Times New Roman" w:hAnsi="Times New Roman"/>
          <w:sz w:val="18"/>
          <w:szCs w:val="18"/>
          <w:color w:val="auto"/>
        </w:rPr>
        <w:t>We are implementing the use of AI solutions, including machine learning and generative AI tools (both internal and external) that collect, aggregate, transcribe, and analyze data to assist in the development of our services and products and in the use of internal tools that support our business. These applications may become increasingly important in our operations over time. This emerging technology presents a number of legal, compliance, privacy, security, and ethical risks inherent in its use. AI algorithms are based on machine learning and predictive analytics, which can create accuracy issues, unintended biases, and discriminatory outcomes that could harm our brand, reputation, business, or customers. Additionally, no assurance can be made that the usage of AI will assist us in being more efficient or offset the costs of its development and implementation. Further, dependence on AI without adequate safeguards to make certain business decisions may introduce additional operational vulnerabilities by producing inaccurate outcomes, recommendations, or other suggestions based on flaws in the underlying data or other unintended results. Our competitors or other third parties may incorporate AI into their business, services, and products more rapidly or more successfully than us, which could hinder our ability to compete effectively and adversely affect our results of operations. Implementing the use of AI successfully, ethically and as intended will require significant resources. In addition, the use of AI may increase regulatory, cybersecurity, intellectual property,</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24" w:name="page25"/>
    <w:bookmarkEnd w:id="24"/>
    <w:p>
      <w:pPr>
        <w:ind w:right="160"/>
        <w:spacing w:after="0" w:line="256" w:lineRule="auto"/>
        <w:rPr>
          <w:sz w:val="20"/>
          <w:szCs w:val="20"/>
          <w:color w:val="auto"/>
        </w:rPr>
      </w:pPr>
      <w:r>
        <w:rPr>
          <w:rFonts w:ascii="Times New Roman" w:cs="Times New Roman" w:eastAsia="Times New Roman" w:hAnsi="Times New Roman"/>
          <w:sz w:val="18"/>
          <w:szCs w:val="18"/>
          <w:color w:val="auto"/>
        </w:rPr>
        <w:t>consumer protection, discrimination, and data privacy risks, such as intended, unintended, or inadvertent transmission of proprietary or sensitive information, infringement on third parties' intellectual property rights, or discrimination against job applicants. The technologies underlying AI and their use cases are rapidly developing, and it is not possible to predict all of the legal, operational or technological risks related to the use of AI. While new AI initiatives, laws, and regulations are emerging and evolving, they have largely been implemented at the state and local level and what they ultimately will look like in the aggregate remains uncertain, and our obligation to comply with them could entail significant costs, negatively affect our business, or limit our ability to incorporate certain AI capabilities into our business.</w:t>
      </w:r>
    </w:p>
    <w:p>
      <w:pPr>
        <w:spacing w:after="0" w:line="183"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achieve some or all of the expected benefits of certain actions we have undertaken to enhance profitability and drive performance and such actions may adversely affect our business.</w:t>
      </w:r>
    </w:p>
    <w:p>
      <w:pPr>
        <w:spacing w:after="0" w:line="159"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We have undertaken, and may undertake in the future, actions intended to enhance our profitability and drive performance. In late fiscal 2024 we began efforts to optimize our assortment and store labor model, and take costs out of all areas of our business in an effort to enhance profitability and drive performance. Implementation of any such actions may be costly and disruptive to our business, and we may not be able to obtain the anticipated cost savings and operational improvements within the projected timing or at all. Additionally, as a result of these actions, we may experience a loss of continuity, loss of accumulated knowledge and/or inefficiency, loss of key employees and/or other retention issues during transitional periods. These actions also require a significant amount of time and focus, which may divert attention from operating and growing our business. Moreover, projections of any cost savings or other benefits associated with these actions are based on current business operations and market dynamics, and could be significantly impacted by various factors, including but not limited to general economic conditions, future investment decisions, and the market environment.</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Legal and Regulatory Matters</w:t>
      </w:r>
    </w:p>
    <w:p>
      <w:pPr>
        <w:spacing w:after="0" w:line="117"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operations are subject to extensive governmental regulation, and we may incur material liabilities under, or costs in order to comply with, existing or future laws and regulations. Our failure to comply with such laws and regulations may result in enforcements, recalls, and other adverse actions that could disrupt our operations and adversely affect our financial results.</w:t>
      </w:r>
    </w:p>
    <w:p>
      <w:pPr>
        <w:spacing w:after="0" w:line="67"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Our operations, including those of some of our vendors, are subject to federal, state, and local laws and regulations established by OSHA, the FDA, the USDA, the DEA, the U.S. Environmental Protection Agency, the Equal Employment Opportunity Commission, the National Labor Relations Board, the Federal Trade Commission ("FTC"), and by various other federal, state, local, and foreign authorities. These laws and regulations govern, among other things: our relationships with employees, including minimum wage requirements, overtime, terms and conditions of employment, working conditions, and citizenship requirements; the weights and measures of our products; the manufacturing and distribution of foods, drugs, and controlled substances intended for animal use; our businesses that provide veterinary services and pet insurance plans; the transportation, handling, and sale of small pets; emissions to air and water and the generation, handling, storage, discharge, transportation, disposal, and remediation of waste and hazardous materials; the processing, storage, distribution, safety, advertising, labeling, promotion, and import or export of our products; providing services to our customers; contracted services with various third-party providers; credit and debit card processing; the handling, security, protection, and use of personal information; and the licensing and certification of services. For more information regarding laws and regulations that we are subject to, please read “Business—Government Regulation.”</w:t>
      </w:r>
    </w:p>
    <w:p>
      <w:pPr>
        <w:spacing w:after="0" w:line="194" w:lineRule="exact"/>
        <w:rPr>
          <w:sz w:val="20"/>
          <w:szCs w:val="20"/>
          <w:color w:val="auto"/>
        </w:rPr>
      </w:pPr>
    </w:p>
    <w:p>
      <w:pPr>
        <w:ind w:right="20" w:firstLine="515"/>
        <w:spacing w:after="0" w:line="253" w:lineRule="auto"/>
        <w:rPr>
          <w:sz w:val="20"/>
          <w:szCs w:val="20"/>
          <w:color w:val="auto"/>
        </w:rPr>
      </w:pPr>
      <w:r>
        <w:rPr>
          <w:rFonts w:ascii="Times New Roman" w:cs="Times New Roman" w:eastAsia="Times New Roman" w:hAnsi="Times New Roman"/>
          <w:sz w:val="18"/>
          <w:szCs w:val="18"/>
          <w:color w:val="auto"/>
        </w:rPr>
        <w:t>Violations of or liability under applicable laws and regulations may result in administrative, civil or criminal fines, penalties, or sanctions against us, revocation or modification of applicable permits, licenses, or authorizations, environmental, health and safety investigations or remedial activities, voluntary or involuntary product recalls, warning or untitled letters or cease and desist orders against operations that are not in compliance, and/or third-party liability claims against us, among other things. Such laws and regulations generally have become more stringent over time and may become more so in the future, and we expect to incur (directly, or indirectly through our outsourced private brand manufacturing partners) significant costs to comply with current or future laws and regulations or in any required product recalls. Some of these laws and regulations are subject to varying and uncertain interpretations, application, and enforcement by courts and regulatory authorities with broad discretion, which can mean that our efforts to maintain compliance in all jurisdictions are not always successful. Liabilities under, costs of compliance with, and the impacts on us of any alleged or determined non-compliance with any such laws and regulations could materially and adversely affect our business, reputation, financial condition, and results of operations. In addition, changes in the laws and regulations to which we are subject could impose significant</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5" w:name="page26"/>
    <w:bookmarkEnd w:id="25"/>
    <w:p>
      <w:pPr>
        <w:ind w:right="60"/>
        <w:spacing w:after="0" w:line="266" w:lineRule="auto"/>
        <w:rPr>
          <w:sz w:val="20"/>
          <w:szCs w:val="20"/>
          <w:color w:val="auto"/>
        </w:rPr>
      </w:pPr>
      <w:r>
        <w:rPr>
          <w:rFonts w:ascii="Times New Roman" w:cs="Times New Roman" w:eastAsia="Times New Roman" w:hAnsi="Times New Roman"/>
          <w:sz w:val="18"/>
          <w:szCs w:val="18"/>
          <w:color w:val="auto"/>
        </w:rPr>
        <w:t>limitations and require changes to our business, which may increase our compliance expenses, make our business costlier and less efficient to conduct, and compromise our growth strategy. Although we routinely obtain broad indemnities from our vendors in respect of their products, we could be adversely affected if we were found not to be in compliance with applicable regulations and we were not made whole by our vendors.</w:t>
      </w:r>
    </w:p>
    <w:p>
      <w:pPr>
        <w:spacing w:after="0" w:line="176" w:lineRule="exact"/>
        <w:rPr>
          <w:sz w:val="20"/>
          <w:szCs w:val="20"/>
          <w:color w:val="auto"/>
        </w:rPr>
      </w:pPr>
    </w:p>
    <w:p>
      <w:pPr>
        <w:ind w:firstLine="515"/>
        <w:spacing w:after="0" w:line="253" w:lineRule="auto"/>
        <w:rPr>
          <w:sz w:val="20"/>
          <w:szCs w:val="20"/>
          <w:color w:val="auto"/>
        </w:rPr>
      </w:pPr>
      <w:r>
        <w:rPr>
          <w:rFonts w:ascii="Times New Roman" w:cs="Times New Roman" w:eastAsia="Times New Roman" w:hAnsi="Times New Roman"/>
          <w:sz w:val="18"/>
          <w:szCs w:val="18"/>
          <w:color w:val="auto"/>
        </w:rPr>
        <w:t>Among other regulatory requirements, the FDA regulates the inclusion of specific claims in pet product labeling. For example, pet food products that are labeled or marketed with claims that may suggest that they are intended to treat or prevent disease in pets would potentially meet the statutory definitions of both a food and a drug. The FDA has issued guidance containing a list of specific factors it will consider in determining whether to initiate an enforcement action against such products if they do not comply with the regulatory requirements applicable to drugs. These factors include, among other things, whether the product is only made available through or under the direction of a veterinarian and does not present a known safety risk when used as labeled. While we believe that we market our products in compliance with the policy articulated in the FDA’s guidance and in other claim-specific guidance, the FDA may disagree or may classify some of our products differently than we do, and may impose more stringent regulations which could lead to alleged regulatory violations, enforcement actions, and/or product recalls. In addition, we may produce new products in the future that may be subject to FDA pre-market review before we can market and sell such products. Our distribution centers are also subject to periodic inspection by the FDA and other governmental authorities.</w:t>
      </w:r>
    </w:p>
    <w:p>
      <w:pPr>
        <w:spacing w:after="0" w:line="194" w:lineRule="exact"/>
        <w:rPr>
          <w:sz w:val="20"/>
          <w:szCs w:val="20"/>
          <w:color w:val="auto"/>
        </w:rPr>
      </w:pPr>
    </w:p>
    <w:p>
      <w:pPr>
        <w:ind w:right="100" w:firstLine="515"/>
        <w:spacing w:after="0" w:line="256" w:lineRule="auto"/>
        <w:rPr>
          <w:sz w:val="20"/>
          <w:szCs w:val="20"/>
          <w:color w:val="auto"/>
        </w:rPr>
      </w:pPr>
      <w:r>
        <w:rPr>
          <w:rFonts w:ascii="Times New Roman" w:cs="Times New Roman" w:eastAsia="Times New Roman" w:hAnsi="Times New Roman"/>
          <w:sz w:val="18"/>
          <w:szCs w:val="18"/>
          <w:color w:val="auto"/>
        </w:rPr>
        <w:t>Currently, many states in the United States have adopted the AAFCO’s definition of the term “natural” with respect to the pet food industry, which means a feed or feed ingredient derived solely from plant, animal, or mined sources not having been produced by or subject to a chemically synthetic process and not containing any additives or processing aids that are chemically synthetic except in amounts as might occur in good manufacturing practices. Certain of our pet food products use the term “natural” in their labelling or marketing materials. As a result, we may incur material costs to comply with any new labeling requirements relating to the term “natural” and could be subject to liabilities if we fail to timely comply with such requirements, which could have a material adverse effect on our business, financial condition, and results of operations.</w:t>
      </w:r>
    </w:p>
    <w:p>
      <w:pPr>
        <w:spacing w:after="0" w:line="187" w:lineRule="exact"/>
        <w:rPr>
          <w:sz w:val="20"/>
          <w:szCs w:val="20"/>
          <w:color w:val="auto"/>
        </w:rPr>
      </w:pPr>
    </w:p>
    <w:p>
      <w:pPr>
        <w:ind w:right="60" w:firstLine="749"/>
        <w:spacing w:after="0" w:line="258" w:lineRule="auto"/>
        <w:rPr>
          <w:sz w:val="20"/>
          <w:szCs w:val="20"/>
          <w:color w:val="auto"/>
        </w:rPr>
      </w:pPr>
      <w:r>
        <w:rPr>
          <w:rFonts w:ascii="Times New Roman" w:cs="Times New Roman" w:eastAsia="Times New Roman" w:hAnsi="Times New Roman"/>
          <w:sz w:val="18"/>
          <w:szCs w:val="18"/>
          <w:color w:val="auto"/>
        </w:rPr>
        <w:t>Among the many state rules and regulations we are required to comply with is, the California Safe Drinking Water and Toxic Enforcement Act, also referred to as Proposition 65, which requires “clear and reasonable” warnings be given to persons who are exposed to chemicals known to the State of California to cause cancer or reproductive toxicity. Interpretation and application of such rules may give rise to uncertainty as to the appropriate labeling and formulation of our products. Failure by any of our co-packers or other suppliers, particularly those we do not control the manufacturing process for, to comply with Proposition 65 could lead to the Company being adversely affected by litigation or regulatory enforcement.</w:t>
      </w:r>
    </w:p>
    <w:p>
      <w:pPr>
        <w:spacing w:after="0" w:line="206"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Failure to comply with governmental regulations or the expansion of existing or the enactment of new laws or regulations applicable to our veterinary services could adversely affect our business and our financial condition or lead to fines, litigation, or our inability to offer veterinary products or services in certain states.</w:t>
      </w:r>
    </w:p>
    <w:p>
      <w:pPr>
        <w:spacing w:after="0" w:line="67"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All of the states in which we operate impose various registration, permit, and/or licensing requirements relating to the provision of veterinary products and services. To fulfill these requirements, we believe that we have registered with appropriate governmental agencies and, where required, have appointed a licensed veterinarian to act on behalf of each facility. All veterinarians practicing in our veterinary service businesses are required to maintain valid state licenses to practice.</w:t>
      </w:r>
    </w:p>
    <w:p>
      <w:pPr>
        <w:spacing w:after="0" w:line="180"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In addition, certain states have laws, rules, and regulations which require that veterinary medical practices be owned by licensed veterinarians and that corporations which are not owned by licensed veterinarians refrain from providing, or holding themselves out as providers of, veterinary medical care, or directly employing or otherwise exercising control over veterinarians providing such care. We may experience difficulty in expanding our operations into other states or jurisdictions with similar laws, rules, and regulations. Although we believe that we have structured our operations to comply with our understanding of the veterinary medicine laws of each state or jurisdiction in which we operate, interpretive legal precedent and regulatory guidance varies by jurisdiction and is sometimes sparse and not fully developed. A determination that we are in violation of applicable restrictions on the practice of veterinary medicine in any jurisdiction in which we operate could have a material adverse effect on us, particularly if we are unable to restructure our operations to comply with the requirements of that jurisdiction.</w:t>
      </w:r>
    </w:p>
    <w:p>
      <w:pPr>
        <w:spacing w:after="0" w:line="192"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We strive to comply with all applicable laws, regulations and other legal obligations applicable to any veterinary services we provide. It is possible, however, that these requirements may be interpreted and applied in a manner that is inconsistent from one jurisdiction to another or may conflict with other rules or our practices. We cannot guarantee that our practices have complied, comply, or will comply fully with all such laws, regulations,</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9" w:right="359" w:bottom="1440" w:gutter="0" w:footer="0" w:header="0"/>
        </w:sectPr>
      </w:pPr>
    </w:p>
    <w:bookmarkStart w:id="26" w:name="page27"/>
    <w:bookmarkEnd w:id="26"/>
    <w:p>
      <w:pPr>
        <w:ind w:right="60"/>
        <w:spacing w:after="0" w:line="253" w:lineRule="auto"/>
        <w:rPr>
          <w:sz w:val="20"/>
          <w:szCs w:val="20"/>
          <w:color w:val="auto"/>
        </w:rPr>
      </w:pPr>
      <w:r>
        <w:rPr>
          <w:rFonts w:ascii="Times New Roman" w:cs="Times New Roman" w:eastAsia="Times New Roman" w:hAnsi="Times New Roman"/>
          <w:sz w:val="18"/>
          <w:szCs w:val="18"/>
          <w:color w:val="auto"/>
        </w:rPr>
        <w:t>requirements, and obligations. Any failure, or perceived failure, by us to comply with our filed permits and licenses with any applicable federal-, state-, or international-related laws, industry standards or codes of conduct, regulatory guidance, orders to which we may be subject, or other legal obligations relating to privacy or consumer protection could adversely affect our reputation, brand, and business, and may result in claims, proceedings or actions against us by governmental entities or others or other liabilities. Any such claim, proceeding, or action could hurt our reputation, brand and business, force us to incur significant expenses in defending such proceedings, distract our management, increase our costs of doing business, result in a loss of customers and vendors, and may result in the imposition of monetary liability. We may also be contractually liable to indemnify and hold harmless third parties from the costs or consequences of non-compliance with any laws or regulations applicable to our veterinary services. In addition, various federal, state, and foreign legislative and regulatory bodies may expand existing laws or regulations, enact new laws or regulations, or issue revised rules or guidance applicable to our veterinary services. Any such changes may force us to incur substantial costs or require us to change our business practices. This could compromise our ability to pursue our growth strategy effectively and may adversely affect our ability to acquire customers or otherwise harm our business, financial condition, and results of operations.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 of the sale of pet insurance is subject to change, and future regulations could harm our business, operating results, and financial condition.</w:t>
      </w:r>
    </w:p>
    <w:p>
      <w:pPr>
        <w:spacing w:after="0" w:line="28" w:lineRule="exact"/>
        <w:rPr>
          <w:sz w:val="20"/>
          <w:szCs w:val="20"/>
          <w:color w:val="auto"/>
        </w:rPr>
      </w:pPr>
    </w:p>
    <w:p>
      <w:pPr>
        <w:ind w:right="300" w:firstLine="378"/>
        <w:spacing w:after="0" w:line="262" w:lineRule="auto"/>
        <w:rPr>
          <w:sz w:val="20"/>
          <w:szCs w:val="20"/>
          <w:color w:val="auto"/>
        </w:rPr>
      </w:pPr>
      <w:r>
        <w:rPr>
          <w:rFonts w:ascii="Times New Roman" w:cs="Times New Roman" w:eastAsia="Times New Roman" w:hAnsi="Times New Roman"/>
          <w:sz w:val="22"/>
          <w:szCs w:val="22"/>
          <w:color w:val="auto"/>
        </w:rPr>
        <w:t>O</w:t>
      </w:r>
      <w:r>
        <w:rPr>
          <w:rFonts w:ascii="Times New Roman" w:cs="Times New Roman" w:eastAsia="Times New Roman" w:hAnsi="Times New Roman"/>
          <w:sz w:val="17"/>
          <w:szCs w:val="17"/>
          <w:color w:val="auto"/>
        </w:rPr>
        <w:t>ur business operates in the pet insurance market. The laws and regulations governing the offer, sale, and purchase of pet insurance are subject to</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7"/>
          <w:szCs w:val="17"/>
          <w:color w:val="auto"/>
        </w:rPr>
        <w:t>change, and future changes may be adverse to our business. For example, if a jurisdiction were to alter the requirements for obtaining or maintaining an agent’s license in connection with the enrollment of a member, it could have a material adverse effect on our operations. Some states in the U.S. have adopted, and others are expected to adopt, new laws and regulations related to the pet insurance industry. It is difficult to predict how these or any other new laws and regulations will impact our business, but, in some cases, changes in insurance laws, regulations, and guidelines may require that we make significant modifications to our practices, which may be costly and difficult to implement, could harm our ability to effectively grow our pet insurance offerings, and could also harm our business, operating results and financial condition.</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risks related to online payment methods and our Petco Pay promotional financing program</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currently accept payments using a variety of methods, including, but not limited to, credit cards, debit cards, PayPal, Apple Pay, Google Pay, Samsung Pay, Klarna, and gift cards. As we offer new payment options to consumers, we may be subject to additional regulations, compliance requirements, fraud, and other risks. For certain payment methods, we pay interchange and other fees, which often increase over time and raise our operating costs and lower profitability. As a merchant that accepts debit and credit cards for payment, we are subject to PCI DSS, which contains compliance guidelines and standards with regard to the physical, administrative, and technical security requirements for storing, processing, and transmitting of individual cardholder data. By accepting debit cards for payment, we are also subject to compliance with American National Standards Institute data encryption standards and payment network security operating guidelines. Additionally, the Fair and Accurate Credit Transactions Act requires systems that print payment card receipts to employ personal account number truncation so that the cardholder’s full account number is not viewable on the slip.</w:t>
      </w:r>
    </w:p>
    <w:p>
      <w:pPr>
        <w:spacing w:after="0" w:line="80"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Failure to be PCI compliant or to meet other payment card standards may result in the imposition of financial penalties or the allocation by the card brands of the costs of fraudulent charges to us. Additionally, the Fair and Accurate Credit Transactions Act requires systems that print payment card receipts to employ personal account number truncation so that the customer’s full account number is not viewable on the slip.</w:t>
      </w:r>
    </w:p>
    <w:p>
      <w:pPr>
        <w:spacing w:after="0" w:line="176"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As our business changes, we may be subject to different rules under existing standards, which may require new assessments that involve costs above what we currently pay for compliance. In the future, as we offer new payment options to consumers, including by way of integrating emerging mobile and other payment methods, we may be subject to additional regulations, compliance requirements, licenses, and fraud. If we fail to comply with the rules or requirements of any provider of a payment method we accept, if the volume of fraud in our transactions limits or terminates our rights to use payment methods we currently accept, or if a data breach occurs relating to our payment systems, we may, among other things, be subject to fines, legal proceedings, or higher transaction fees and may lose, or face restrictions placed upon, our ability to accept credit card payments from consumers or facilitate other types of online payments. If any of these events were to occur, our business, financial condition, and results of operations could be materially and adversely affected.</w:t>
      </w:r>
    </w:p>
    <w:p>
      <w:pPr>
        <w:spacing w:after="0" w:line="192"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We also occasionally receive orders placed with fraudulent cardholder, customer, or account data. Although we have measures in place to detect, reduce, and mitigate the occurrence of such fraudulent activity, those measures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27" w:name="page28"/>
    <w:bookmarkEnd w:id="27"/>
    <w:p>
      <w:pPr>
        <w:ind w:right="300"/>
        <w:spacing w:after="0" w:line="282" w:lineRule="auto"/>
        <w:rPr>
          <w:sz w:val="20"/>
          <w:szCs w:val="20"/>
          <w:color w:val="auto"/>
        </w:rPr>
      </w:pPr>
      <w:r>
        <w:rPr>
          <w:rFonts w:ascii="Times New Roman" w:cs="Times New Roman" w:eastAsia="Times New Roman" w:hAnsi="Times New Roman"/>
          <w:sz w:val="18"/>
          <w:szCs w:val="18"/>
          <w:color w:val="auto"/>
        </w:rPr>
        <w:t>are not always effective, and we have incurred, and could in the future continue to incur, financial losses, losses of customers, and reputational harm for such fraudulent transactions, which could harm our business, financial condition, and results of operations.</w:t>
      </w:r>
    </w:p>
    <w:p>
      <w:pPr>
        <w:spacing w:after="0" w:line="266"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marketing programs, e-commerce initiatives, and use of personal information are governed by an evolving set of laws and enforcement trends, and changes in privacy laws or trends, or our failure to comply with existing or future laws, could substantially harm our business and results of operations.</w:t>
      </w:r>
    </w:p>
    <w:p>
      <w:pPr>
        <w:spacing w:after="0" w:line="67"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We collect, maintain, use, and share personal information provided to us through online activities and other consumer, employee, applicant, and business-to-business interactions in order to provide a better experience for our customers, employees, and vendors. Our current and future marketing programs depend on our ability to collect, maintain, use, and share this personal information with service providers and other vendors, and our ability to do so depends on the trust that our customers place in us and our ability to maintain that trust. Additionally, our use of consumer data is subject to the terms of our privacy policies and certain contractual restrictions in vendor contracts as well as evolving federal, state, and international laws and enforcement trends. While we strive to comply with all such regulatory and contractual obligations and believe that we are good stewards of the data of our customers, employees, vendors, and applicants, this area is rapidly evolving, and these requirements may be interpreted and applied in a manner that is inconsistent from one jurisdiction to another, may conflict with other rules, or may conflict with our practices. If we violate privacy laws, we would suffer damage to our reputation and be subject to proceedings or actions against us by governmental entities or others. Due to the rapidly evolving nature of this area of the law, we have seen an increase in claims filed against us and others by plaintiffs and state regulatory authorities alleging violations of various data privacy laws. Although no such proceeding asserted or filed against us has subjected us to material liability to date, any such proceeding or action could hurt our reputation, force us to spend significant amounts to defend our practices, distract our management, increase our costs of doing business, and result in monetary liability and/or injunctive relief impacting our marketing, analytics, and other business operations.</w:t>
      </w:r>
    </w:p>
    <w:p>
      <w:pPr>
        <w:spacing w:after="0" w:line="187"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One of the ways we track consumer data and interactions for marketing purposes, as well as advertise certain employment or independent contractor opportunities, is through the use of third-party “cookies” and similar online tracking technologies. Federal and state governmental authorities continue to evaluate the privacy implications inherent in the use of third-party cookies and other methods of online tracking (such as pixels, tags, and beacons) for behavioral advertising and other purposes. The U.S. government and various states have enacted, have considered, or are considering legislation or regulations that significantly restrict the ability of companies and individuals to engage in these activities, such as by regulating the level of consumer notice and consent required before a company can employ cookies or other electronic tracking tools or the use of data gathered with such tools. In addition, private litigants have claimed the use of these tracking technologies invades their privacy, violates privacy or other laws, or constitutes an unfair business practice. Additionally, some providers of consumer devices and web browsers have implemented, or announced plans to implement, means to make it easier for internet users to prevent the placement of cookies or to block other tracking technologies, which could, if widely adopted, result in the use of third-party cookies and other methods of online tracking becoming significantly less effective, including for behavioral advertising and recruiting purposes. The regulation of the use of these cookies and other current online tracking, recruiting, and advertising practices or a loss in our ability to make effective use of services that employ such technologies could increase our costs of operations and/or recruitment, and limit our ability to acquire new customers and/or staff on cost-effective terms and, consequently, materially and adversely affect our business, financial condition, and results of operations.</w:t>
      </w:r>
    </w:p>
    <w:p>
      <w:pPr>
        <w:spacing w:after="0" w:line="187"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In addition, various federal and state legislative and regulatory bodies, or self-regulatory organizations, continue to expand or further enforce current laws or regulations, enact new laws or regulations, or issue revised rules or guidance regarding privacy, data protection, consumer protection, and advertising. For example, in June 2018, California enacted the California Consumer Privacy Act (the “CCPA”), which took effect on January 1, 2020. The CCPA gave California residents expanded rights to access and delete their personal information, opt out of certain uses of personal information, and receive detailed information about what personal information is collected, how their personal information is used, and how that personal information is shared. The CCPA provided for civil penalties for violations enforced by the California Attorney General, as well as a private right of action for data breaches that has resulted in an increase in consumer class actions and other litigation. Further, on November 3, 2020, the California Privacy Rights Act (the “CPRA”) was voted into law by California residents and went into effect on January 1, 2023. The CPRA significantly amends the CCPA, and imposes additional data protection obligations on companies doing business in California, including additional consumer rights processes and opt outs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28" w:name="page29"/>
    <w:bookmarkEnd w:id="28"/>
    <w:p>
      <w:pPr>
        <w:ind w:right="20"/>
        <w:spacing w:after="0" w:line="252" w:lineRule="auto"/>
        <w:rPr>
          <w:sz w:val="20"/>
          <w:szCs w:val="20"/>
          <w:color w:val="auto"/>
        </w:rPr>
      </w:pPr>
      <w:r>
        <w:rPr>
          <w:rFonts w:ascii="Times New Roman" w:cs="Times New Roman" w:eastAsia="Times New Roman" w:hAnsi="Times New Roman"/>
          <w:sz w:val="18"/>
          <w:szCs w:val="18"/>
          <w:color w:val="auto"/>
        </w:rPr>
        <w:t>for certain uses of sensitive data. It also created the California Privacy Protection Agency, a new data protection agency specifically tasked to issue privacy regulations and enforce the law, which results in increased regulatory scrutiny of California businesses in the areas of data collection, protection, and security. The CCPA and CPRA marked the beginning of a trend toward more stringent state privacy legislation in the United States. Similar laws have been passed in several states, and have been proposed in additional states and at the federal level. Such laws have conflicting requirements that make compliance challenging. We have incurred and expect to continue to incur costs to adapt our systems and practices to comply with these requirements, and these costs may adversely affect our financial condition and results of operations. Additionally, our risk of regulatory enforcement, investigations, fines, and penalties increases with each state that passes similar privacy laws. Further, the FTC and many state attorneys general have interpreted existing federal and state consumer protection laws to impose evolving standards for the collection, use, dissemination, and security of other personal data. Courts may also adopt the standards for fair information practices promulgated by the FTC, which concern consumer notice, choice, security, and access. Consumer protection laws require us to publish statements that describe how we handle personal data and choices individuals may have about the way we handle their personal data. If such information that we publish is considered untrue, we could be subject to government and private claims of unfair or deceptive trade practices, which would lead to significant liabilities and consequences. Further, according to the FTC, violating consumers’ privacy rights or failing to take appropriate steps to keep consumers’ personal data secure may constitute unfair acts or practices in or affecting commerce in violation of Section 5(a) of the Federal Trade Commission Act.</w:t>
      </w:r>
    </w:p>
    <w:p>
      <w:pPr>
        <w:spacing w:after="0" w:line="197"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Each of these privacy, security, and data protection laws and regulations—and others, including the CAN-SPAM Act of 2003, regulating our use of certain electronic mail marketing and state data breach notification laws requiring notifications to state residents in certain instances—and any other such changes or new laws or regulations, could impose significant limitations, require ongoing changes to our business, or restrict our use or storage of personal information, which would increase our compliance expenses and make our business costlier or less efficient to conduct. In addition, any such changes could compromise our ability to develop an adequate marketing strategy and pursue our growth strategy effectively, which, in turn, could adversely affect our business, financial condition, and results of operations.</w:t>
      </w:r>
    </w:p>
    <w:p>
      <w:pPr>
        <w:spacing w:after="0" w:line="291" w:lineRule="exact"/>
        <w:rPr>
          <w:sz w:val="20"/>
          <w:szCs w:val="20"/>
          <w:color w:val="auto"/>
        </w:rPr>
      </w:pPr>
    </w:p>
    <w:p>
      <w:pPr>
        <w:ind w:right="8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the risk of litigation resulting from unauthorized text messages and/or telephone calls made in violation of the Telephone Consumer Protection Act and its state law equivalents.</w:t>
      </w:r>
    </w:p>
    <w:p>
      <w:pPr>
        <w:spacing w:after="0" w:line="5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We send short message service, or SMS, text messages to customers and job candidates, and make outbound telephone calls. The actual or perceived improper sending of text messages or placing of telephone calls subjects us to potential risks, including liabilities or claims relating to consumer protection laws. For example, the Telephone Consumer Protection Act of 1991, a federal statute that protects consumers from unwanted telephone calls, faxes, and text messages, restricts telemarketing and the use of automated SMS text messages and certain dialing practices without proper consent. Numerous class action suits under federal and state laws have been filed in recent years against companies who conduct SMS texting or outbound calling programs, with many resulting in multi-million-dollar settlements to the plaintiffs. Federal or state regulatory authorities or private litigants could claim that the notices and disclosures we provide, form of consents we obtain, or our SMS texting or calling practices are not adequate or violate applicable law, resulting in civil claims against us. The scope and interpretation of the laws that apply to the delivery of text messages and/or outbound calling are continuously evolving and developing. If we do not comply with these laws or regulations or if we become liable under these laws or regulations, we could face direct liability, could be required to change some portions of our business model, or could face negative publicity, and our business, financial condition, and results of operations could be adversely affected as a result. Even an unsuccessful challenge of our SMS texting or calling practices by our customers, regulatory authorities, or other third parties could result in negative publicity and could require a costly response from and defense by us.</w:t>
      </w:r>
    </w:p>
    <w:p>
      <w:pPr>
        <w:spacing w:after="0" w:line="290"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Product recalls and product liability, as well as changes in product safety and other consumer protection laws, may adversely impact our operations, merchandise offerings, reputation, financial condition, results of operations, and cash flows.</w:t>
      </w:r>
    </w:p>
    <w:p>
      <w:pPr>
        <w:spacing w:after="0" w:line="51" w:lineRule="exact"/>
        <w:rPr>
          <w:sz w:val="20"/>
          <w:szCs w:val="20"/>
          <w:color w:val="auto"/>
        </w:rPr>
      </w:pPr>
    </w:p>
    <w:p>
      <w:pPr>
        <w:ind w:right="180" w:firstLine="509"/>
        <w:spacing w:after="0" w:line="258" w:lineRule="auto"/>
        <w:rPr>
          <w:sz w:val="20"/>
          <w:szCs w:val="20"/>
          <w:color w:val="auto"/>
        </w:rPr>
      </w:pPr>
      <w:r>
        <w:rPr>
          <w:rFonts w:ascii="Times New Roman" w:cs="Times New Roman" w:eastAsia="Times New Roman" w:hAnsi="Times New Roman"/>
          <w:sz w:val="18"/>
          <w:szCs w:val="18"/>
          <w:color w:val="auto"/>
        </w:rPr>
        <w:t>We are subject to regulations by a variety of federal, state, and international regulatory authorities, including regulations regarding the safety and quality of our products. We purchase merchandise from several hundred different vendors. One or more of our vendors, including manufacturers of our owned or private label brand products, might not adhere to product safety requirements or our quality control standards, and we might not identify the deficiency before merchandise ships to our pet care centers. Any issues of product safety or allegations that our products are in violation of governmental regulations, including, but not limited to, issues involving products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29" w:name="page30"/>
    <w:bookmarkEnd w:id="29"/>
    <w:p>
      <w:pPr>
        <w:ind w:right="120"/>
        <w:spacing w:after="0" w:line="254" w:lineRule="auto"/>
        <w:rPr>
          <w:sz w:val="20"/>
          <w:szCs w:val="20"/>
          <w:color w:val="auto"/>
        </w:rPr>
      </w:pPr>
      <w:r>
        <w:rPr>
          <w:rFonts w:ascii="Times New Roman" w:cs="Times New Roman" w:eastAsia="Times New Roman" w:hAnsi="Times New Roman"/>
          <w:sz w:val="18"/>
          <w:szCs w:val="18"/>
          <w:color w:val="auto"/>
        </w:rPr>
        <w:t>manufactured in foreign countries, could cause those products to be recalled. If our vendors fail to manufacture or import merchandise that adheres to our quality control standards, product safety requirements, or applicable governmental regulations, our reputation and brands could be damaged, potentially leading to decreased sales or increases in customer litigation against us. Further, to the extent we are unable to replace any recalled products, we may have to reduce our merchandise offerings, resulting in a decrease in sales. If our vendors are unable or unwilling to recall products failing to meet our quality standards, we may be required to recall those products at a substantial cost to us. Moreover, changes in product safety or other consumer protection laws could lead to increased costs to us for certain merchandise, or additional labor costs associated with readying merchandise for sale. Long lead times on merchandise ordering cycles increase the difficulty for us to plan and prepare for potential changes to applicable laws. In the event that we are unable to timely comply with regulatory changes or regulators do not believe we are complying with current regulations applicable to us, significant fines or penalties could result, and could adversely affect our reputation, financial condition, results of operations, and cash flows.</w:t>
      </w:r>
    </w:p>
    <w:p>
      <w:pPr>
        <w:spacing w:after="0" w:line="292"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establish, maintain, protect, and enforce our intellectual property and proprietary rights or prevent third parties from making unauthorized use of our technology or our brand could harm our competitive position or require us to incur significant expenses to enforce our rights.</w:t>
      </w:r>
    </w:p>
    <w:p>
      <w:pPr>
        <w:spacing w:after="0" w:line="51" w:lineRule="exact"/>
        <w:rPr>
          <w:sz w:val="20"/>
          <w:szCs w:val="20"/>
          <w:color w:val="auto"/>
        </w:rPr>
      </w:pPr>
    </w:p>
    <w:p>
      <w:pPr>
        <w:ind w:firstLine="509"/>
        <w:spacing w:after="0" w:line="251" w:lineRule="auto"/>
        <w:rPr>
          <w:sz w:val="20"/>
          <w:szCs w:val="20"/>
          <w:color w:val="auto"/>
        </w:rPr>
      </w:pPr>
      <w:r>
        <w:rPr>
          <w:rFonts w:ascii="Times New Roman" w:cs="Times New Roman" w:eastAsia="Times New Roman" w:hAnsi="Times New Roman"/>
          <w:sz w:val="18"/>
          <w:szCs w:val="18"/>
          <w:color w:val="auto"/>
        </w:rPr>
        <w:t>Our trademarks, such as Bond &amp; Co., EveryYay, Good 2 Go, Good Lovin’, Imagitarium, Leaps &amp; Bounds, Petco, Petco Love, Petco Park, Reddy, Ruff &amp; Mews, So Phresh, Vetco, Well &amp; Good, Where the Pets Go, WholeHearted, You &amp; Me, Youly, Vital Care Core, and Vital Care Premier, are valuable assets that support our brand and consumers’ perception of our products. We rely on trademark, copyright, trade secret, patent, and other intellectual property laws, as well as nondisclosure and confidentiality agreements and other methods, to protect our trademarks, trade names, proprietary information, technologies, and processes. We might not be able to obtain broad protection in the United States for all of our intellectual property. The protection of our intellectual property rights may require the expenditure of significant financial, managerial, and operational resources. Moreover, the steps we take to protect our intellectual property may not adequately protect our rights or prevent third parties from infringing or misappropriating our proprietary rights, and we may be unable to broadly enforce all of our trademarks. Any of our patents, trademarks, or other intellectual property rights may be challenged by others or invalidated through administrative process or litigation. Our patent and trademark applications may never be granted. Additionally, the process of obtaining patent protection is expensive and time-consuming, and we may be unable to prosecute all necessary or desirable patent applications at a reasonable cost or in a timely manner. Even if issued, there can be no assurance that these patents will adequately protect our intellectual property, as the legal standards relating to the validity, enforceability, and scope of protection of patent and other intellectual property rights are uncertain. We also cannot be certain that others will not independently develop or otherwise acquire equivalent or superior technology or intellectual property rights. Further, our nondisclosure agreements and confidentiality agreements may not effectively prevent disclosure of our proprietary information, technologies, and processes and may not provide an adequate remedy in the event of unauthorized disclosure of such information, which could harm our competitive position. In addition, effective intellectual property protection may be unavailable or limited for some of our trademarks and patents in some foreign countries. We might be required to expend significant resources to monitor and protect our intellectual property rights. For example, we may need to engage in litigation or similar activities to enforce our intellectual property rights, to protect our trade secrets, or to determine the validity and scope of proprietary rights of others. However, we may be unable to discover or determine the extent of any infringement, misappropriation, or other violation of our intellectual property rights and other proprietary rights. Despite our efforts, we may be unable to prevent third parties from infringing upon, misappropriating, or otherwise violating our intellectual property rights and other proprietary rights. Any such litigation, whether or not resolved in our favor, could require us to expend significant resources and divert the efforts and attention of our management and other personnel from our business operations. If we fail to protect our intellectual property, our business, financial condition, and results of operations may be materially adversely affected.</w:t>
      </w:r>
    </w:p>
    <w:p>
      <w:pPr>
        <w:spacing w:after="0" w:line="309" w:lineRule="exact"/>
        <w:rPr>
          <w:sz w:val="20"/>
          <w:szCs w:val="20"/>
          <w:color w:val="auto"/>
        </w:rPr>
      </w:pPr>
    </w:p>
    <w:p>
      <w:pPr>
        <w:ind w:right="6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intellectual property infringement claims or other allegations, which could result in substantial damages and diversion of management’s efforts and attention.</w:t>
      </w:r>
    </w:p>
    <w:p>
      <w:pPr>
        <w:spacing w:after="0" w:line="51" w:lineRule="exact"/>
        <w:rPr>
          <w:sz w:val="20"/>
          <w:szCs w:val="20"/>
          <w:color w:val="auto"/>
        </w:rPr>
      </w:pPr>
    </w:p>
    <w:p>
      <w:pPr>
        <w:ind w:right="320" w:firstLine="509"/>
        <w:spacing w:after="0" w:line="258" w:lineRule="auto"/>
        <w:rPr>
          <w:sz w:val="20"/>
          <w:szCs w:val="20"/>
          <w:color w:val="auto"/>
        </w:rPr>
      </w:pPr>
      <w:r>
        <w:rPr>
          <w:rFonts w:ascii="Times New Roman" w:cs="Times New Roman" w:eastAsia="Times New Roman" w:hAnsi="Times New Roman"/>
          <w:sz w:val="18"/>
          <w:szCs w:val="18"/>
          <w:color w:val="auto"/>
        </w:rPr>
        <w:t>We have obligations with respect to the non-use and non-disclosure of third-party intellectual property. The steps we take to prevent misappropriation, infringement, or other violations of the intellectual property of others, including in connection with our use of emerging technologies such as AI tools for content and image generation in marketing or other business activities, may not be successful. From time to time, third parties have asserted intellectual property infringement claims against us and are likely to continue to do so in the future. These risks have been amplified by the increase in third parties whose sole or primary business is to assert such claims, as well as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0" w:name="page31"/>
    <w:bookmarkEnd w:id="30"/>
    <w:p>
      <w:pPr>
        <w:ind w:right="300"/>
        <w:spacing w:after="0" w:line="266" w:lineRule="auto"/>
        <w:rPr>
          <w:sz w:val="20"/>
          <w:szCs w:val="20"/>
          <w:color w:val="auto"/>
        </w:rPr>
      </w:pPr>
      <w:r>
        <w:rPr>
          <w:rFonts w:ascii="Times New Roman" w:cs="Times New Roman" w:eastAsia="Times New Roman" w:hAnsi="Times New Roman"/>
          <w:sz w:val="18"/>
          <w:szCs w:val="18"/>
          <w:color w:val="auto"/>
        </w:rPr>
        <w:t>evolving legal and regulatory frameworks governing the use of AI and related technologies. While we believe that our products and operations do not infringe in any material respect upon proprietary rights of other parties and/or that meritorious defenses would exist with respect to any assertions to the contrary, we may from time to time be found to infringe on the proprietary rights of others.</w:t>
      </w:r>
    </w:p>
    <w:p>
      <w:pPr>
        <w:spacing w:after="0" w:line="176"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Any claims that our products, services, systems, applications, or marketing materials (including materials created or modified using AI tools) infringe the proprietary rights of third parties, regardless of their merit or resolution, could be costly to investigate, defend and/or settle, result in injunctions against us or payment of damages or licensing fees by us, and may divert the efforts and attention of our management and technical personnel. We may not prevail in such proceedings given the complex technical issues, developing legal standards related to AI, and inherent uncertainties in intellectual property litigation. If such proceedings result in an adverse outcome, we could, among other things, be required to:</w:t>
      </w:r>
    </w:p>
    <w:p>
      <w:pPr>
        <w:spacing w:after="0" w:line="75" w:lineRule="exact"/>
        <w:rPr>
          <w:sz w:val="20"/>
          <w:szCs w:val="20"/>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substantial damages (potentially treble damages in the United States);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cease the manufacture, use, distribution, or sale of the infringing products, operations, or services;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discontinue the use of the infringing methods or processes;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expend significant resources to develop non-infringing products, operations, or services or re-brand our business and products; and</w:t>
      </w:r>
    </w:p>
    <w:p>
      <w:pPr>
        <w:spacing w:after="0" w:line="117" w:lineRule="exact"/>
        <w:rPr>
          <w:rFonts w:ascii="Times New Roman" w:cs="Times New Roman" w:eastAsia="Times New Roman" w:hAnsi="Times New Roman"/>
          <w:sz w:val="18"/>
          <w:szCs w:val="18"/>
          <w:color w:val="auto"/>
        </w:rPr>
      </w:pPr>
    </w:p>
    <w:p>
      <w:pPr>
        <w:ind w:left="1020" w:right="320" w:hanging="503"/>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 license from the third party claiming infringement, which may not be available on commercially reasonable terms, or may not be available at all, or could result in reduced profitability of the particular product sold that is subject to the license.</w:t>
      </w:r>
    </w:p>
    <w:p>
      <w:pPr>
        <w:spacing w:after="0" w:line="162"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If any of the foregoing occurs, our ability to compete in the markets in which we operate could be affected or our business, financial condition, and results of operations may be materially adversely affected.</w:t>
      </w:r>
    </w:p>
    <w:p>
      <w:pPr>
        <w:spacing w:after="0" w:line="266"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party to routine litigation arising in the ordinary course of our business and may become involved in additional litigation, all of which requires time and attention from certain members of management and can result in significant legal expenses.</w:t>
      </w:r>
    </w:p>
    <w:p>
      <w:pPr>
        <w:spacing w:after="0" w:line="51"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We are involved in litigation arising in the ordinary course of business, including claims related to federal or state wage and hour laws, working conditions, predictive scheduling regulations, worker classification, securities laws, antitrust laws, product liability, consumer protection, advertising, employment, intellectual property, tort, privacy, data protection, disputes with landlords and vendors, claims from customers or employees alleging failure to maintain safe premises, and other matters. Even if we prevail, litigation is time-consuming and expensive. An unfavorable outcome in one or more of these existing lawsuits, or future litigation to which we become a party, could have a material adverse effect on our business, financial condition, results of operations, and cash flows.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environmental, health, and safety laws and regulations that could result in costs to us.</w:t>
      </w:r>
    </w:p>
    <w:p>
      <w:pPr>
        <w:spacing w:after="0" w:line="121"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In connection with the ownership and operations of our pet care centers and distribution centers, we are subject to laws and regulations relating to the protection of the environment and health and safety matters, including those governing the management and disposal of wastes and the cleanup of contaminated sites. We could incur costs, including fines and other sanctions, cleanup costs, and third-party claims, as a result of violations of or liabilities under environmental laws and regulations. Although we are not aware of any of our sites at which we currently have material remedial obligations, the imposition of remedial obligations as a result of the discovery of contaminants in the future could result in additional costs.</w:t>
      </w:r>
    </w:p>
    <w:p>
      <w:pPr>
        <w:spacing w:after="0" w:line="75"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Political and social attention to the issue of climate change has resulted in both existing and pending international agreements and national, regional, or local legislation and regulatory measures to limit greenhouse gas emissions, such as cap and trade regimes, carbon taxes, restrictive permitting, increased fuel efficiency standards, and incentives or mandates for renewable energy, as well as legal and regulatory requirements requiring certain climate-related disclosures, and pressure from shareholders, ratings agencies, state agencies, and other third parties to make various climate-related disclosures. We may also be subject to additional and more complex reporting requirements in the future and such requirements may be inconsistent or conflicting. For example, the State of California recently passed the Climate Corporate Data Accountability Act and the Climate-Related Financial Risk Act that imposes broad climate-related disclosure obligations on companies doing business in California, including us. While certain aspects of the Act are subject to ongoing litigation, others are scheduled to go into effect. Such measures have subjected us, and may subject our vendors, to additional costs and restrictions and require significant operating and capital expenditures, including with respect to waste and energy reduction, compliance costs, and</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color w:val="auto"/>
        </w:rPr>
        <w:t>workforce initiatives, which could adversely impact our business, financial condition, results of operations and cash flows.</w:t>
      </w:r>
    </w:p>
    <w:p>
      <w:pPr>
        <w:spacing w:after="0" w:line="329" w:lineRule="exact"/>
        <w:rPr>
          <w:sz w:val="20"/>
          <w:szCs w:val="20"/>
          <w:color w:val="auto"/>
        </w:rPr>
      </w:pPr>
    </w:p>
    <w:p>
      <w:pPr>
        <w:ind w:right="5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fail to comply with various state or federal regulations covering the dispensing and/or administration of prescription pet medications, including controlled substances, through our veterinary services businesses, which may subject us to reprimands, sanctions, probations, fines, or suspensions.</w:t>
      </w:r>
    </w:p>
    <w:p>
      <w:pPr>
        <w:spacing w:after="0" w:line="67"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The sale, delivery, and/or administration of prescription pet medications and controlled substances through our veterinary services businesses are governed by extensive regulation and oversight by federal and state governmental authorities. The laws and regulations governing our operations and interpretations of those laws and regulations are increasing in number and complexity, change frequently, and can be inconsistent or conflicting. In addition, the governmental authorities that regulate our business have broad latitude to make, interpret, and enforce the laws and regulations that govern our operations and continue to interpret and enforce those laws and regulations more strictly and more aggressively each year. In the future, we may be subject to routine administrative complaints incidental to the dispensing and/or administration of prescription pet medications through our veterinary services businesses.</w:t>
      </w:r>
    </w:p>
    <w:p>
      <w:pPr>
        <w:spacing w:after="0" w:line="189"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If we are unable to maintain the licenses granted by relevant state authorities in connection with our dispensing of prescription pet medications, or if we become subject to actions by the FDA, the DEA, or other regulators, our dispensing of prescription medications to pet parents could cease and we may be subject to reprimands, sanctions, probations, fines, or suspensions, which could have a material adverse effect on our business, financial condition, and results of operations.</w:t>
      </w:r>
    </w:p>
    <w:p>
      <w:pPr>
        <w:spacing w:after="0" w:line="17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Our initiatives related to sustainability, and our public statements and disclosures regarding them, expose us to numerous risks.</w:t>
      </w:r>
    </w:p>
    <w:p>
      <w:pPr>
        <w:spacing w:after="0" w:line="121" w:lineRule="exact"/>
        <w:rPr>
          <w:sz w:val="20"/>
          <w:szCs w:val="20"/>
          <w:color w:val="auto"/>
        </w:rPr>
      </w:pPr>
    </w:p>
    <w:p>
      <w:pPr>
        <w:ind w:right="120" w:firstLine="509"/>
        <w:spacing w:after="0" w:line="269" w:lineRule="auto"/>
        <w:rPr>
          <w:sz w:val="20"/>
          <w:szCs w:val="20"/>
          <w:color w:val="auto"/>
        </w:rPr>
      </w:pPr>
      <w:r>
        <w:rPr>
          <w:rFonts w:ascii="Times New Roman" w:cs="Times New Roman" w:eastAsia="Times New Roman" w:hAnsi="Times New Roman"/>
          <w:sz w:val="17"/>
          <w:szCs w:val="17"/>
          <w:color w:val="auto"/>
        </w:rPr>
        <w:t>We have developed goals, and other initiatives related to sustainability matters. These statements reflect our current plans and do not constitute a guarantee that they will be achieved. Our efforts to research, establish, accomplish, and accurately report on these goals and initiatives expose us to numerous operational, reputational, financial, legal, and other risks. Our ability to achieve any stated goal or initiative is subject to numerous factors and conditions, many of which are outside of our control. Examples of such factors include evolving regulatory requirements affecting sustainability standards or disclosures or imposing different requirements, evolving disclosure standards and/or policies established by regulators and standards organizations, stockholders, ratings agencies, and proxy advisory firms, the pace of changes in technology, the availability of requisite financing, and the availability of suppliers that can meet sustainability and other standards. Furthermore, methodologies for reporting sustainability information may be updated and previously reported information may be adjusted to reflect improvement in the availability and quality of third-party data, changing assumptions, changes in the nature and scope of our operations, and other changes in circumstances. Our processes and controls for reporting sustainability information across our operations are evolving along with multiple disparate standards for identifying, measuring, and reporting sustainability metrics, including sustainability-related disclosures that may be required by certain regulators, and such standards may change over time, which could result in significant revisions to our current goals or reported progress in achieving such goals, or adversely impact our ability to achieve such goals in the future.</w:t>
      </w:r>
    </w:p>
    <w:p>
      <w:pPr>
        <w:spacing w:after="0" w:line="179" w:lineRule="exact"/>
        <w:rPr>
          <w:sz w:val="20"/>
          <w:szCs w:val="20"/>
          <w:color w:val="auto"/>
        </w:rPr>
      </w:pPr>
    </w:p>
    <w:p>
      <w:pPr>
        <w:ind w:firstLine="562"/>
        <w:spacing w:after="0" w:line="254" w:lineRule="auto"/>
        <w:rPr>
          <w:sz w:val="20"/>
          <w:szCs w:val="20"/>
          <w:color w:val="auto"/>
        </w:rPr>
      </w:pPr>
      <w:r>
        <w:rPr>
          <w:rFonts w:ascii="Times New Roman" w:cs="Times New Roman" w:eastAsia="Times New Roman" w:hAnsi="Times New Roman"/>
          <w:sz w:val="18"/>
          <w:szCs w:val="18"/>
          <w:color w:val="auto"/>
        </w:rPr>
        <w:t>Our business may face increased scrutiny from regulators, the investment community, other stakeholders, and the media related to our sustainability activities and positions. If our sustainability activities and positions do not meet the expectations and standards of regulators, investors, or other stakeholders, which continue to evolve and may conflict with one another, our reputation, our ability to attract or retain employees and customers, and our attractiveness as an investment, business partner, or as an acquiror could be negatively impacted. Similarly, our failure or perceived failure to pursue or fulfill our targets and initiatives, to comply with environmental regulations, or to satisfy various reporting standards with respect to these matters, within required timelines or those which we announce, or at all, could have the same negative impacts, as well as expose us to federal and state government enforcement actions and private litigation. Additionally, we could become the target of litigation, investigations or other proceedings initiated by government authorities or private actors alleging that our activities related to sustainability and societal matters are anti-competitive, discriminatory or otherwise unlawful. Furthermore, positions</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2" w:name="page33"/>
    <w:bookmarkEnd w:id="32"/>
    <w:p>
      <w:pPr>
        <w:ind w:right="80"/>
        <w:spacing w:after="0" w:line="282" w:lineRule="auto"/>
        <w:rPr>
          <w:sz w:val="20"/>
          <w:szCs w:val="20"/>
          <w:color w:val="auto"/>
        </w:rPr>
      </w:pPr>
      <w:r>
        <w:rPr>
          <w:rFonts w:ascii="Times New Roman" w:cs="Times New Roman" w:eastAsia="Times New Roman" w:hAnsi="Times New Roman"/>
          <w:sz w:val="18"/>
          <w:szCs w:val="18"/>
          <w:color w:val="auto"/>
        </w:rPr>
        <w:t>we take or do not take on social issues may be unpopular with some of our customers, partners, advocacy groups, or other stakeholders in the communities in which we operate, which may lead to adverse effects on our business.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Indebtedness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substantial indebtedness could adversely affect our cash flows and prevent us from fulfilling our obligations under existing debt agreements.</w:t>
      </w:r>
    </w:p>
    <w:p>
      <w:pPr>
        <w:spacing w:after="0" w:line="121"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At January 31, 2026, we had outstanding a (i) $1,500.0 million secured term loan facility maturing on March 4, 2028 (the “First Lien Term Loan”) governed by the Term Loan Credit Agreement and (ii) secured asset-based revolving credit facility providing for senior secured financing of up to $581.0 million, consisting of two tranches with the first tranche having availability of up to $35.0 million, subject to a borrowing base, maturing on March 4, 2026, and the second tranche having availability of up to $546.0 million, subject to a borrowing base, maturing on March 29, 2029 (the “ABL Revolving Credit Facility” governed by the ABL Credit Agreement). Our substantial indebtedness could restrict our operations and could have important consequences. For example, it could:</w:t>
      </w:r>
    </w:p>
    <w:p>
      <w:pPr>
        <w:spacing w:after="0" w:line="79" w:lineRule="exact"/>
        <w:rPr>
          <w:sz w:val="20"/>
          <w:szCs w:val="20"/>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it more difficult for us to satisfy our obligations with respect to our existing indebtedness;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our vulnerability to general adverse economic and industry conditions;</w:t>
      </w:r>
    </w:p>
    <w:p>
      <w:pPr>
        <w:spacing w:after="0" w:line="117" w:lineRule="exact"/>
        <w:rPr>
          <w:rFonts w:ascii="Times New Roman" w:cs="Times New Roman" w:eastAsia="Times New Roman" w:hAnsi="Times New Roman"/>
          <w:sz w:val="18"/>
          <w:szCs w:val="18"/>
          <w:color w:val="auto"/>
        </w:rPr>
      </w:pPr>
    </w:p>
    <w:p>
      <w:pPr>
        <w:ind w:left="1020" w:right="720" w:hanging="503"/>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dedicate a substantial portion of our cash flows from operations to payments on our indebtedness, thereby reducing the availability of our cash flows to fund working capital and capital expenditures, and for other general corporate purposes;</w:t>
      </w:r>
    </w:p>
    <w:p>
      <w:pPr>
        <w:spacing w:after="0" w:line="53" w:lineRule="exact"/>
        <w:rPr>
          <w:rFonts w:ascii="Times New Roman" w:cs="Times New Roman" w:eastAsia="Times New Roman" w:hAnsi="Times New Roman"/>
          <w:sz w:val="18"/>
          <w:szCs w:val="18"/>
          <w:color w:val="auto"/>
        </w:rPr>
      </w:pPr>
    </w:p>
    <w:p>
      <w:pPr>
        <w:ind w:left="1020" w:right="240" w:hanging="503"/>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flexibility in planning for, or reacting to, changes in our business and industry, which may place us at a competitive disadvantage compared to our competitors that have less debt;</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 us from making strategic acquisitions or other investments or cause us to make non-strategic divestitures; and</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along with the financial and other restrictive covenants in the documents governing our indebtedness, among other things, our ability to obtain additional financing for working capital and capital expenditures, and for other general corporate purposes.</w:t>
      </w:r>
    </w:p>
    <w:p>
      <w:pPr>
        <w:spacing w:after="0" w:line="162"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On February 2, 2026, we entered into an amendment to the Term Loan Credit Agreement and issued $600.0 million in aggregate principal amount of 8.250% Senior Secured Notes due February 1, 2031 (the “Senior Secured Notes”) and under the Indenture. Following the amendment, $900.0 million of principal remained on the Amended First Lien Term Loan, maturing on February 2, 2031.</w:t>
      </w:r>
    </w:p>
    <w:p>
      <w:pPr>
        <w:spacing w:after="0" w:line="176" w:lineRule="exact"/>
        <w:rPr>
          <w:sz w:val="20"/>
          <w:szCs w:val="20"/>
          <w:color w:val="auto"/>
        </w:rPr>
      </w:pPr>
    </w:p>
    <w:p>
      <w:pPr>
        <w:ind w:right="480" w:firstLine="509"/>
        <w:spacing w:after="0" w:line="282" w:lineRule="auto"/>
        <w:rPr>
          <w:sz w:val="20"/>
          <w:szCs w:val="20"/>
          <w:color w:val="auto"/>
        </w:rPr>
      </w:pPr>
      <w:r>
        <w:rPr>
          <w:rFonts w:ascii="Times New Roman" w:cs="Times New Roman" w:eastAsia="Times New Roman" w:hAnsi="Times New Roman"/>
          <w:sz w:val="18"/>
          <w:szCs w:val="18"/>
          <w:color w:val="auto"/>
        </w:rPr>
        <w:t>Please read “Management’s Discussion and Analysis of Financial Condition and Results of Operations—Liquidity and Capital Resources” for descriptions of the First Lien Term Loan and ABL Revolving Credit Facility.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agreements governing our indebtedness include restrictive covenants that limit our operating flexibility, which could harm our long-term interests.</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Indenture, the Term Loan Credit Agreement, and the ABL Credit Agreement all impose material restrictions on us. These restrictions, subject in certain cases to ordinary course of business and other exceptions, may limit our ability to engage in some transactions, including the following:</w:t>
      </w:r>
    </w:p>
    <w:p>
      <w:pPr>
        <w:spacing w:after="0" w:line="54" w:lineRule="exact"/>
        <w:rPr>
          <w:sz w:val="20"/>
          <w:szCs w:val="20"/>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incurring additional debt;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paying dividends, redeeming capital stock, or making other restricted payments or investments;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selling assets, properties, or licenses;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creating liens on assets;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entering into sale and lease-back transactions;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undergoing a change in control;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merging, consolidating, or disposing of substantially all assets;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entering into new lines of business;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3" w:name="page34"/>
    <w:bookmarkEnd w:id="33"/>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entering into transactions with affiliates;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placing restrictions on the ability of subsidiaries to pay dividends or make other payments.</w:t>
      </w:r>
    </w:p>
    <w:p>
      <w:pPr>
        <w:spacing w:after="0" w:line="225"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Any of these restrictions on our ability to operate our business in our discretion could adversely affect our business by, among other things, limiting our ability to adapt to changing economic, financial, or industry conditions and to take advantage of corporate opportunities, including opportunities to obtain debt financing, repurchase stock, refinance or pay principal on our outstanding debt, or complete acquisitions for cash or debt.</w:t>
      </w:r>
    </w:p>
    <w:p>
      <w:pPr>
        <w:spacing w:after="0" w:line="176"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Any future debt that we incur may contain financial maintenance covenants. In addition, the ABL Credit Agreement contains financial maintenance covenants that are triggered by certain conditions. Events beyond our control, including prevailing economic, financial, and industry conditions, could affect our ability to satisfy these financial maintenance covenants, and we cannot assure you that we will satisfy them.</w:t>
      </w:r>
    </w:p>
    <w:p>
      <w:pPr>
        <w:spacing w:after="0" w:line="176"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Any failure to comply with the restrictions of the Indenture, the Term Loan Credit Agreement, the ABL Credit Agreement, and any subsequent financing agreements, including as a result of events beyond our control, may result in an event of default under these agreements, which in turn may result in defaults or acceleration of obligations under these agreements and other agreements, giving our lenders and other debt holders the right to terminate any commitments they may have made to provide us with further funds and to require us to repay all amounts then outstanding. Our assets and cash flow may not be sufficient to fully repay obligations existing under our outstanding debt instruments. In addition, we may not be able to refinance or restructure the payments on the applicable debt. Even if we were able to secure additional financing, it may not be available on favorable terms.</w:t>
      </w:r>
    </w:p>
    <w:p>
      <w:pPr>
        <w:spacing w:after="0" w:line="291"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Despite current indebtedness levels, we may incur substantial additional indebtedness in the future. This could further increase the risks associated with our substantial leverage.</w:t>
      </w:r>
    </w:p>
    <w:p>
      <w:pPr>
        <w:spacing w:after="0" w:line="5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We may incur substantial additional indebtedness in the future, which would increase our debt service obligations and could further reduce the cash available to invest in operations. The terms of the Indenture, the Term Loan Credit Agreement, and the ABL Credit Agreement allow us and our subsidiaries to incur additional indebtedness, subject to limitations. As of January 31, 2026, we and our subsidiaries had an additional $467.5 million of unused commitments available to be borrowed under the ABL Revolving Credit Facility. This amount is net of $58.4 million of outstanding letters of credit issued in the normal course of business and a $55.1 million borrowing base reduction for a shortfall in qualifying assets, net of reserves. If new debt is added to our debt levels, or any debt is incurred by our subsidiaries, the related risks that we and our subsidiaries now face could increase.</w:t>
      </w:r>
    </w:p>
    <w:p>
      <w:pPr>
        <w:spacing w:after="0" w:line="291"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To service our indebtedness, we require a significant amount of cash. Our ability to generate or access cash depends on many factors beyond our control.</w:t>
      </w:r>
    </w:p>
    <w:p>
      <w:pPr>
        <w:spacing w:after="0" w:line="51"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Our ability to make payments on and refinance our indebtedness, and to fund planned capital expenditures, depends on our ability to generate or access cash in the future. This ability is subject to general economic, financial (including prevailing interest rates), competitive, legislative, regulatory, and other factors that are beyond our control.</w:t>
      </w:r>
    </w:p>
    <w:p>
      <w:pPr>
        <w:spacing w:after="0" w:line="176" w:lineRule="exact"/>
        <w:rPr>
          <w:sz w:val="20"/>
          <w:szCs w:val="20"/>
          <w:color w:val="auto"/>
        </w:rPr>
      </w:pPr>
    </w:p>
    <w:p>
      <w:pPr>
        <w:ind w:right="240" w:firstLine="509"/>
        <w:spacing w:after="0" w:line="261" w:lineRule="auto"/>
        <w:rPr>
          <w:sz w:val="20"/>
          <w:szCs w:val="20"/>
          <w:color w:val="auto"/>
        </w:rPr>
      </w:pPr>
      <w:r>
        <w:rPr>
          <w:rFonts w:ascii="Times New Roman" w:cs="Times New Roman" w:eastAsia="Times New Roman" w:hAnsi="Times New Roman"/>
          <w:sz w:val="18"/>
          <w:szCs w:val="18"/>
          <w:color w:val="auto"/>
        </w:rPr>
        <w:t>We cannot assure you that our business will generate sufficient cash flows from operations or that future borrowings will be available to us under the ABL Revolving Credit Facility in an amount sufficient to enable us to pay our indebtedness or to fund our other liquidity needs. Further, we cannot assure you that we will be able to refinance any of our indebtedness, including the Senior Secured Notes, the First Lien Term Loan, and the ABL Revolving Credit Facility, on commercially reasonable terms, or at all.</w:t>
      </w:r>
    </w:p>
    <w:p>
      <w:pPr>
        <w:spacing w:after="0" w:line="284"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failure to comply with the covenants contained in the Indenture, Term Loan Credit Agreement and ABL Credit Agreement, including as a result of events beyond our control, could result in an event of default that could cause repayment of our debt to be accelerated.</w:t>
      </w:r>
    </w:p>
    <w:p>
      <w:pPr>
        <w:spacing w:after="0" w:line="51"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If we are not able to comply with the covenants and other requirements contained in the Indenture, the Term Loan Credit Agreement and the ABL Credit Agreement, or any other debt instruments, an event of default under the relevant debt instrument could occur. In addition to imposing restrictions on our business and operations, some of our debt instruments include covenants relating to financial ratios and tests. Our ability to comply with these covenants may be affected by events beyond our control, including prevailing economic, financial, and industry</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34" w:name="page35"/>
    <w:bookmarkEnd w:id="34"/>
    <w:p>
      <w:pPr>
        <w:ind w:right="60"/>
        <w:spacing w:after="0" w:line="258" w:lineRule="auto"/>
        <w:rPr>
          <w:sz w:val="20"/>
          <w:szCs w:val="20"/>
          <w:color w:val="auto"/>
        </w:rPr>
      </w:pPr>
      <w:r>
        <w:rPr>
          <w:rFonts w:ascii="Times New Roman" w:cs="Times New Roman" w:eastAsia="Times New Roman" w:hAnsi="Times New Roman"/>
          <w:sz w:val="18"/>
          <w:szCs w:val="18"/>
          <w:color w:val="auto"/>
        </w:rPr>
        <w:t>conditions. The breach of any of these covenants would result in a default under these instruments. If an event of default does occur under one of these agreements, it could trigger a default under our other debt instruments, prohibit us from accessing additional borrowings, and permit the holders of the defaulted debt to declare amounts outstanding with respect to that debt to be immediately due and payable. Our assets and cash flows may not be sufficient to fully repay borrowings under our outstanding debt instruments. In addition, we may not be able to refinance or restructure the payments on the applicable debt. Even if we were able to secure additional financing, it may not be available on favorable terms.</w:t>
      </w:r>
    </w:p>
    <w:p>
      <w:pPr>
        <w:spacing w:after="0" w:line="287"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amount of borrowings permitted under the ABL Revolving Credit Facility may fluctuate significantly, which may adversely affect our liquidity, results of operations, and financial position.</w:t>
      </w:r>
    </w:p>
    <w:p>
      <w:pPr>
        <w:spacing w:after="0" w:line="5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The amount of borrowings permitted at any one time under the ABL Revolving Credit Facility is subject to a borrowing base valuation of the collateral thereunder, net of certain reserves. As a result, our access to credit under the ABL Revolving Credit Facility is potentially subject to significant fluctuations depending on the value of the borrowing base of eligible assets as of any measurement date, as well as certain discretionary rights of the agents in respect of the calculation of such borrowing base value. The inability to borrow under the ABL Revolving Credit Facility may adversely affect our liquidity, results of operations, and financial position.</w:t>
      </w:r>
    </w:p>
    <w:p>
      <w:pPr>
        <w:spacing w:after="0" w:line="287"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variable rate indebtedness subjects us to interest rate risk, which has caused, and may continue to cause, our indebtedness service obligations to increase significantly.</w:t>
      </w:r>
    </w:p>
    <w:p>
      <w:pPr>
        <w:spacing w:after="0" w:line="51" w:lineRule="exact"/>
        <w:rPr>
          <w:sz w:val="20"/>
          <w:szCs w:val="20"/>
          <w:color w:val="auto"/>
        </w:rPr>
      </w:pPr>
    </w:p>
    <w:p>
      <w:pPr>
        <w:ind w:right="160" w:firstLine="509"/>
        <w:spacing w:after="0" w:line="256" w:lineRule="auto"/>
        <w:rPr>
          <w:sz w:val="20"/>
          <w:szCs w:val="20"/>
          <w:color w:val="auto"/>
        </w:rPr>
      </w:pPr>
      <w:r>
        <w:rPr>
          <w:rFonts w:ascii="Times New Roman" w:cs="Times New Roman" w:eastAsia="Times New Roman" w:hAnsi="Times New Roman"/>
          <w:sz w:val="18"/>
          <w:szCs w:val="18"/>
          <w:color w:val="auto"/>
        </w:rPr>
        <w:t>Borrowings under the First Lien Term Loan and ABL Revolving Credit Facility are at variable rates of interest and expose us to interest rate risk. Due to elevated interest rates, our debt service obligations on the variable rate indebtedness have increased even though the amount borrowed remains the same, and our net income and cash flows, including cash available for servicing our indebtedness, have correspondingly decreased. If interest rates continue to rise in the future, our liquidity, results of operations, and financial position may be further adversely affected. Although we have entered into agreements capping portions of our exposure to higher interest rates, these agreements may not prove to be effective in the aggregate, as a significant portion of our variable rate debt remains uncapped.</w:t>
      </w:r>
    </w:p>
    <w:p>
      <w:pPr>
        <w:spacing w:after="0" w:line="291"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need to repay or refinance borrowings under the ABL Revolving Credit Facility prior to maturity of the First Lien Term Loan and Senior Secured Notes. Failure to do so could have a material adverse effect upon us.</w:t>
      </w:r>
    </w:p>
    <w:p>
      <w:pPr>
        <w:spacing w:after="0" w:line="267"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Prior to the maturity of the Senior Secured Notes and the First Lien Term Loan, we will need to repay, refinance, replace, or otherwise extend the maturity of the ABL Revolving Credit Facility. Our ability to repay, refinance, replace, or extend will be dependent on, among other things, business conditions, our financial performance, and the general condition of the financial markets. If a financial disruption were to occur at the time that we are required to repay indebtedness outstanding under the ABL Revolving Credit Facility, we could be forced to undertake alternate financings, negotiate for an extension of the maturity of the ABL Revolving Credit Facility, or sell assets and delay capital expenditures in order to generate proceeds that could be used to repay such indebtedness. We cannot assure you that we will be able to consummate any such transaction on terms that are commercially reasonable, on terms acceptable to us, or at all. Our failure to repay, refinance, replace, or otherwise extend the maturity of the ABL Revolving Credit Facility could result in an event of default under the Indenture, the Term Loan Credit Agreement and ABL Credit Agreement, which could lead to an acceleration or repayment of substantially all of our outstanding indebtedness.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Class A Common Stock</w:t>
      </w:r>
    </w:p>
    <w:p>
      <w:pPr>
        <w:spacing w:after="0" w:line="117"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Sponsors have significant influence over us, including control over decisions that require the approval of stockholders, which could limit your ability to influence the outcome of matters submitted to stockholders for a vote.</w:t>
      </w:r>
    </w:p>
    <w:p>
      <w:pPr>
        <w:spacing w:after="0" w:line="5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We are currently controlled by our Sponsors through our Principal Stockholder. Our Principal Stockholder currently controls approximately 65% of the outstanding voting power of our company. As long as our Sponsors beneficially own or control at least a majority of our outstanding voting power, they have the ability to exercise substantial control over all corporate actions requiring stockholder approval, irrespective of how our other stockholders may vote, including the election and removal of directors and the size of our board of directors, any amendment of our certificate of incorporation or bylaws, or the approval of any merger or other significant corporate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5" w:name="page36"/>
    <w:bookmarkEnd w:id="35"/>
    <w:p>
      <w:pPr>
        <w:ind w:right="200"/>
        <w:spacing w:after="0" w:line="282" w:lineRule="auto"/>
        <w:rPr>
          <w:sz w:val="20"/>
          <w:szCs w:val="20"/>
          <w:color w:val="auto"/>
        </w:rPr>
      </w:pPr>
      <w:r>
        <w:rPr>
          <w:rFonts w:ascii="Times New Roman" w:cs="Times New Roman" w:eastAsia="Times New Roman" w:hAnsi="Times New Roman"/>
          <w:sz w:val="18"/>
          <w:szCs w:val="18"/>
          <w:color w:val="auto"/>
        </w:rPr>
        <w:t>transaction, including a sale of substantially all of our assets. They also have certain rights under the stockholders’ agreement with us. Therefore, even if their ownership falls below 50%, our Sponsors will continue to be able to strongly influence or effectively control our decisions.</w:t>
      </w:r>
    </w:p>
    <w:p>
      <w:pPr>
        <w:spacing w:after="0" w:line="162"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Additionally, our Sponsors’ interests may not align with the interests of our other stockholders. Our Sponsors and other investment funds affiliated with them are in the business of making investments in companies and may acquire and hold interests in businesses that compete directly or indirectly with us. Our Sponsors and other investment funds affiliated with them may also pursue acquisition opportunities that may be complementary to our business, and, as a result, those acquisition opportunities may not be available to us.</w:t>
      </w:r>
    </w:p>
    <w:p>
      <w:pPr>
        <w:spacing w:after="0" w:line="284"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a “controlled company” within the meaning of the Nasdaq rules and, as a result, qualify for, and rely on, exemptions from certain corporate governance requirements. Accordingly, the holders of our Class A common stock do not have the same protections as those afforded to stockholders of companies that are subject to such governance requirements.</w:t>
      </w:r>
    </w:p>
    <w:p>
      <w:pPr>
        <w:spacing w:after="0" w:line="67"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Our Sponsors, through our Principal Stockholder, control a majority of the voting power of our common stock with respect to director elections. As a result, we are a “controlled company” within the meaning of the corporate governance standards of Nasdaq. Under these rules, a company of which more than 50% of the voting power with respect to director elections is held by an individual, group, or another company is a “controlled company” and may elect not to comply with certain corporate governance requirements, including:</w:t>
      </w:r>
    </w:p>
    <w:p>
      <w:pPr>
        <w:spacing w:after="0" w:line="72" w:lineRule="exact"/>
        <w:rPr>
          <w:sz w:val="20"/>
          <w:szCs w:val="20"/>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a majority of the board of directors consist of independent directors;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our nominating and corporate governance committee be composed entirely of independent directors;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our compensation committee be composed entirely of independent directors.</w:t>
      </w:r>
    </w:p>
    <w:p>
      <w:pPr>
        <w:spacing w:after="0" w:line="225" w:lineRule="exact"/>
        <w:rPr>
          <w:sz w:val="20"/>
          <w:szCs w:val="20"/>
          <w:color w:val="auto"/>
        </w:rPr>
      </w:pPr>
    </w:p>
    <w:p>
      <w:pPr>
        <w:jc w:val="both"/>
        <w:ind w:right="120" w:firstLine="509"/>
        <w:spacing w:after="0" w:line="266" w:lineRule="auto"/>
        <w:rPr>
          <w:sz w:val="20"/>
          <w:szCs w:val="20"/>
          <w:color w:val="auto"/>
        </w:rPr>
      </w:pPr>
      <w:r>
        <w:rPr>
          <w:rFonts w:ascii="Times New Roman" w:cs="Times New Roman" w:eastAsia="Times New Roman" w:hAnsi="Times New Roman"/>
          <w:sz w:val="18"/>
          <w:szCs w:val="18"/>
          <w:color w:val="auto"/>
        </w:rPr>
        <w:t>We currently utilize all of these exemptions. As a result, we do not have a majority of independent directors serving on our board of directors and neither our compensation committee nor our nominating and corporate governance committee consist entirely of independent directors. Accordingly, you do not have the same protections afforded to stockholders of companies that are subject to all of the corporate governance requirements of Nasdaq.</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Certain of our directors have relationships with our Sponsors, which may cause conflicts of interest with respect to our business.</w:t>
      </w:r>
    </w:p>
    <w:p>
      <w:pPr>
        <w:spacing w:after="0" w:line="121" w:lineRule="exact"/>
        <w:rPr>
          <w:sz w:val="20"/>
          <w:szCs w:val="20"/>
          <w:color w:val="auto"/>
        </w:rPr>
      </w:pPr>
    </w:p>
    <w:p>
      <w:pPr>
        <w:ind w:right="200" w:firstLine="509"/>
        <w:spacing w:after="0" w:line="258" w:lineRule="auto"/>
        <w:rPr>
          <w:sz w:val="20"/>
          <w:szCs w:val="20"/>
          <w:color w:val="auto"/>
        </w:rPr>
      </w:pPr>
      <w:r>
        <w:rPr>
          <w:rFonts w:ascii="Times New Roman" w:cs="Times New Roman" w:eastAsia="Times New Roman" w:hAnsi="Times New Roman"/>
          <w:sz w:val="18"/>
          <w:szCs w:val="18"/>
          <w:color w:val="auto"/>
        </w:rPr>
        <w:t>Four of our ten directors are affiliated with our Sponsors, and our Sponsors have a right to designate a majority of our directors under the stockholders’ agreement we have with them. These directors have fiduciary duties to us and, in addition, have duties to the applicable Sponsor or stockholder affiliate. As a result, these directors may face real or apparent conflicts of interest with respect to matters affecting both us and the affiliated Sponsors, whose interests may be adverse to ours in some circumstances. In addition, we waived certain of these duties to the fullest extent permitted by Delaware law pursuant to the corporate opportunity waiver included in our certificate of incorporation.</w:t>
      </w:r>
    </w:p>
    <w:p>
      <w:pPr>
        <w:spacing w:after="0" w:line="287"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in our charter documents and under Delaware law could make an acquisition of us more difficult, limit attempts by our stockholders to replace or remove our current management, and may adversely affect the market price of our stock.</w:t>
      </w:r>
    </w:p>
    <w:p>
      <w:pPr>
        <w:spacing w:after="0" w:line="51" w:lineRule="exact"/>
        <w:rPr>
          <w:sz w:val="20"/>
          <w:szCs w:val="20"/>
          <w:color w:val="auto"/>
        </w:rPr>
      </w:pPr>
    </w:p>
    <w:p>
      <w:pPr>
        <w:ind w:right="560" w:firstLine="509"/>
        <w:spacing w:after="0" w:line="282" w:lineRule="auto"/>
        <w:rPr>
          <w:sz w:val="20"/>
          <w:szCs w:val="20"/>
          <w:color w:val="auto"/>
        </w:rPr>
      </w:pPr>
      <w:r>
        <w:rPr>
          <w:rFonts w:ascii="Times New Roman" w:cs="Times New Roman" w:eastAsia="Times New Roman" w:hAnsi="Times New Roman"/>
          <w:sz w:val="18"/>
          <w:szCs w:val="18"/>
          <w:color w:val="auto"/>
        </w:rPr>
        <w:t>Provisions in our certificate of incorporation and bylaws may have the effect of delaying or preventing a change of control or changes in our management. Our certificate of incorporation and bylaws include provisions that:</w:t>
      </w:r>
    </w:p>
    <w:p>
      <w:pPr>
        <w:spacing w:after="0" w:line="54" w:lineRule="exact"/>
        <w:rPr>
          <w:sz w:val="20"/>
          <w:szCs w:val="20"/>
          <w:color w:val="auto"/>
        </w:rPr>
      </w:pPr>
    </w:p>
    <w:p>
      <w:pPr>
        <w:ind w:left="1020" w:right="6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except with regard to directors nominated by our Principal Stockholder, vacancies on our board of directors shall be filled only by a majority of directors then in office, even though less than a quorum, or by a sole remaining director;</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that our board of directors is divided into three classes, with each class serving three-year staggered terms;</w:t>
      </w:r>
    </w:p>
    <w:p>
      <w:pPr>
        <w:spacing w:after="0" w:line="117" w:lineRule="exact"/>
        <w:rPr>
          <w:rFonts w:ascii="Times New Roman" w:cs="Times New Roman" w:eastAsia="Times New Roman" w:hAnsi="Times New Roman"/>
          <w:sz w:val="18"/>
          <w:szCs w:val="18"/>
          <w:color w:val="auto"/>
        </w:rPr>
      </w:pPr>
    </w:p>
    <w:p>
      <w:pPr>
        <w:ind w:left="1020" w:right="48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our directors can be removed for cause only, once our Principal Stockholder (including its permitted transferees under the stockholder’s agreement with our Principal Stockholder (the</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01" w:right="399" w:bottom="1440" w:gutter="0" w:footer="0" w:header="0"/>
        </w:sectPr>
      </w:pPr>
    </w:p>
    <w:bookmarkStart w:id="36" w:name="page37"/>
    <w:bookmarkEnd w:id="36"/>
    <w:p>
      <w:pPr>
        <w:ind w:left="1020" w:right="320"/>
        <w:spacing w:after="0" w:line="282" w:lineRule="auto"/>
        <w:rPr>
          <w:sz w:val="20"/>
          <w:szCs w:val="20"/>
          <w:color w:val="auto"/>
        </w:rPr>
      </w:pPr>
      <w:r>
        <w:rPr>
          <w:rFonts w:ascii="Times New Roman" w:cs="Times New Roman" w:eastAsia="Times New Roman" w:hAnsi="Times New Roman"/>
          <w:sz w:val="18"/>
          <w:szCs w:val="18"/>
          <w:color w:val="auto"/>
        </w:rPr>
        <w:t>“stockholder’s agreement”)) no longer beneficially owns 50% or more of our outstanding Class A common stock and Class B-1 common stock;</w:t>
      </w:r>
    </w:p>
    <w:p>
      <w:pPr>
        <w:spacing w:after="0" w:line="54" w:lineRule="exact"/>
        <w:rPr>
          <w:sz w:val="20"/>
          <w:szCs w:val="20"/>
          <w:color w:val="auto"/>
        </w:rPr>
      </w:pPr>
    </w:p>
    <w:p>
      <w:pPr>
        <w:ind w:left="1020" w:right="140" w:hanging="503"/>
        <w:spacing w:after="0" w:line="261"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once our Principal Stockholder (including its permitted transferees under the stockholder’s agreement) no longer beneficially owns 50% or more of our outstanding Class A common stock and Class B-1 common stock, any action required or permitted to be taken by the stockholders must be effected at a duly called annual or special meeting of stockholders and may not be effected by any consent in writing in lieu of a meeting of such stockholders;</w:t>
      </w:r>
    </w:p>
    <w:p>
      <w:pPr>
        <w:spacing w:after="0" w:line="71" w:lineRule="exact"/>
        <w:rPr>
          <w:rFonts w:ascii="Times New Roman" w:cs="Times New Roman" w:eastAsia="Times New Roman" w:hAnsi="Times New Roman"/>
          <w:sz w:val="18"/>
          <w:szCs w:val="18"/>
          <w:color w:val="auto"/>
        </w:rPr>
      </w:pPr>
    </w:p>
    <w:p>
      <w:pPr>
        <w:ind w:left="1020" w:right="220" w:hanging="503"/>
        <w:spacing w:after="0" w:line="258"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 that, once our Principal Stockholder (including its permitted transferees under the stockholder’s agreement) no longer beneficially owns 50% or more of our outstanding Class A common stock and Class B-1 common stock, special meetings of our stockholders can be called only by our board of directors, or the Chairman of our board of directors (prior to such time, special meetings of the stockholders of our company shall be called by the Chairman of our board of directors or our Secretary at the request of our Principal Stockholder, in addition to being able to be called by the Chairman of our board of directors and by our board of directors);</w:t>
      </w:r>
    </w:p>
    <w:p>
      <w:pPr>
        <w:spacing w:after="0" w:line="75" w:lineRule="exact"/>
        <w:rPr>
          <w:rFonts w:ascii="Times New Roman" w:cs="Times New Roman" w:eastAsia="Times New Roman" w:hAnsi="Times New Roman"/>
          <w:sz w:val="18"/>
          <w:szCs w:val="18"/>
          <w:color w:val="auto"/>
        </w:rPr>
      </w:pPr>
    </w:p>
    <w:p>
      <w:pPr>
        <w:ind w:left="1020" w:right="60" w:hanging="503"/>
        <w:spacing w:after="0" w:line="261"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the approval of the holders of at least two-thirds of the voting power of all outstanding stock entitled to vote thereon, voting together as a single class, to amend or repeal our bylaws and certain articles of our certificate of incorporation once our Principal Stockholder (including its permitted transferees under the stockholder’s agreement) ceases to beneficially own at least 50% of the Class A common stock and Class B-1 common stock;</w:t>
      </w:r>
    </w:p>
    <w:p>
      <w:pPr>
        <w:spacing w:after="0" w:line="71" w:lineRule="exact"/>
        <w:rPr>
          <w:rFonts w:ascii="Times New Roman" w:cs="Times New Roman" w:eastAsia="Times New Roman" w:hAnsi="Times New Roman"/>
          <w:sz w:val="18"/>
          <w:szCs w:val="18"/>
          <w:color w:val="auto"/>
        </w:rPr>
      </w:pPr>
    </w:p>
    <w:p>
      <w:pPr>
        <w:ind w:left="1020" w:right="12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 advance notice procedure for stockholder proposals to be brought before an annual meeting, including proposed nominations of persons for election to our board of directors;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our board of directors to issue, without further action by the stockholders, shares of undesignated preferred stock;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 three classes of common stock.</w:t>
      </w:r>
    </w:p>
    <w:p>
      <w:pPr>
        <w:spacing w:after="0" w:line="225"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These and other provisions may frustrate or prevent any attempts by our stockholders to replace or remove our current management by making it more difficult for stockholders to replace members of our board of directors, which is responsible for appointing the members of our management. In addition, we are a Delaware corporation governed by the Delaware General Corporation Law (the “DGCL”). In general, Section 203 of the DGCL, an anti-takeover law, prohibits a publicly held Delaware corporation from engaging in a business combination, such as a merger, with a person or group owning 15% or more of the corporation’s voting stock, which person or group is considered an interested stockholder under the DGCL, for a period of three years following the date the person became an interested stockholder, unless (with certain exceptions) the business combination or the transaction in which the person became an interested stockholder is approved in a prescribed manner. We have elected in our certificate of incorporation not to be subject to Section</w:t>
      </w:r>
    </w:p>
    <w:p>
      <w:pPr>
        <w:spacing w:after="0" w:line="3" w:lineRule="exact"/>
        <w:rPr>
          <w:sz w:val="20"/>
          <w:szCs w:val="20"/>
          <w:color w:val="auto"/>
        </w:rPr>
      </w:pPr>
    </w:p>
    <w:p>
      <w:pPr>
        <w:ind w:right="380" w:firstLine="8"/>
        <w:spacing w:after="0" w:line="253" w:lineRule="auto"/>
        <w:tabs>
          <w:tab w:leader="none" w:pos="3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However, our certificate of incorporation contains provisions that have the same effect as Section 203, except that they provide our Sponsors, our Principal Stockholder, their affiliates, and their respective successors (other than our company), as well as their direct and indirect transferees, are not deemed to be “interested stockholders,” regardless of the percentage of our voting stock owned by them, and accordingly will not be subject to such restrictions. For additional details, please read Exhibit 4.3 to this Annual Report on Form 10-K.</w:t>
      </w:r>
    </w:p>
    <w:p>
      <w:pPr>
        <w:spacing w:after="0" w:line="293"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Since we have no current plans to pay regular cash dividends on our Class A common stock, you may not receive any return on investment unless you sell your Class A common stock for a price greater than that which you paid for it.</w:t>
      </w:r>
    </w:p>
    <w:p>
      <w:pPr>
        <w:spacing w:after="0" w:line="51" w:lineRule="exact"/>
        <w:rPr>
          <w:sz w:val="20"/>
          <w:szCs w:val="20"/>
          <w:color w:val="auto"/>
        </w:rPr>
      </w:pPr>
    </w:p>
    <w:p>
      <w:pPr>
        <w:ind w:right="200" w:firstLine="509"/>
        <w:spacing w:after="0" w:line="255" w:lineRule="auto"/>
        <w:rPr>
          <w:sz w:val="20"/>
          <w:szCs w:val="20"/>
          <w:color w:val="auto"/>
        </w:rPr>
      </w:pPr>
      <w:r>
        <w:rPr>
          <w:rFonts w:ascii="Times New Roman" w:cs="Times New Roman" w:eastAsia="Times New Roman" w:hAnsi="Times New Roman"/>
          <w:sz w:val="18"/>
          <w:szCs w:val="18"/>
          <w:color w:val="auto"/>
        </w:rPr>
        <w:t>We have not paid, and do not anticipate paying, any regular cash dividends on our Class A common stock. Any decision to declare and pay dividends in the future will be made at the discretion of our board of directors and will depend on, among other things, our financial condition, results of operations, cash requirements, contractual restrictions, and other factors that our board of directors may deem relevant. In addition, our ability to pay dividends is, and may be, limited by covenants of existing and any future outstanding indebtedness we or our subsidiaries incur, including under the Amended First Lien Term Loan and ABL Revolving Credit Facility, as well as by the terms of our stockholder’s agreement. Therefore, any return on investment in our Class A common stock is solely dependent upon the appreciation of the price of our Class A common stock on the open market, which may not occur. Please read “Dividend Policy” for more detail.</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i w:val="1"/>
          <w:iCs w:val="1"/>
          <w:color w:val="auto"/>
        </w:rPr>
        <w:t>We are a holding company with nominal net worth and will depend on dividends and distributions from our subsidiaries to pay any dividends.</w:t>
      </w:r>
    </w:p>
    <w:p>
      <w:pPr>
        <w:spacing w:after="0" w:line="121"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Petco Health and Wellness Company, Inc. and certain of our subsidiaries are holding companies with nominal net worth. We do not have any material assets or conduct any business operations other than our investments in our subsidiaries. Our business operations are conducted primarily out of our indirect operating subsidiary, Petco Animal Supplies Stores, Inc. and certain of its subsidiaries. As a result, in addition to the restrictions on payment of dividends that apply under the terms of our existing indebtedness, our ability to pay dividends, if any, will be dependent upon cash dividends and distributions or other transfers from our subsidiaries. Payments to us by our subsidiaries will be contingent upon their respective earnings and subject to any limitations on the ability of such entities to make payments or other distributions to us.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multi-class structure of our common stock may adversely affect the trading market for our Class A common stock.</w:t>
      </w:r>
    </w:p>
    <w:p>
      <w:pPr>
        <w:spacing w:after="0" w:line="121"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In July 2017, S&amp;P Dow Jones and FTSE Russell announced changes to their eligibility criteria for the inclusion of shares of public companies on certain indices, including the Russell 2000, the S&amp;P 500, the S&amp;P MidCap 400 and the S&amp;P SmallCap 600, to exclude companies with multiple classes of shares of common stock from being added to these indices. Although S&amp;P Dow Jones has since revised its eligibility criteria to again permit companies with multiple classes of common stock to be added to its indices, including the S&amp;P 500, the S&amp;P MidCap 400, and the S&amp;P SmallCap 600, there can be no assurances that such companies will remain eligible. As a result, our multi-class capital structure makes us ineligible for inclusion from certain indices, and mutual funds, exchange-traded funds and other investment vehicles that attempt to passively track these indices will not be investing in our stock. Further, we cannot assure you that other stock indices will not take a similar approach to FTSE Russell in the future. Exclusion from indices could make our Class A common stock less attractive to investors and, as a result, the market price of our Class A common stock could be adversely affected.</w:t>
      </w:r>
    </w:p>
    <w:p>
      <w:pPr>
        <w:spacing w:after="0" w:line="296"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certificate of incorporation designates the Court of Chancery of the State of Delaware as the sole and exclusive forum for certain types of actions and proceedings that may be initiated by our stockholders, and the federal district courts as the exclusive forum for Securities Act claims, which could limit our stockholders’ ability to obtain what such stockholders believe to be a favorable judicial forum for disputes with us or our directors, officers, other employees, or agents.</w:t>
      </w:r>
    </w:p>
    <w:p>
      <w:pPr>
        <w:spacing w:after="0" w:line="72"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Our certificate of incorporation provides that, unless we, in writing, select or consent to the selection of an alternative forum, all complaints asserting any internal corporate claims (defined as claims, including claims in the right of our company: (i) that are based upon a violation of a duty by a current or former director, officer, employee, or stockholder in such capacity; or (ii) as to which the DGCL confers jurisdiction upon the Court of Chancery), to the fullest extent permitted by law, and subject to applicable jurisdictional requirements, shall be made in the Court of Chancery of the State of Delaware (or, if the Court of Chancery does not have, or declines to accept, subject matter jurisdiction, another state court or a federal court located within the State of Delaware). Further, unless we select or consent to the selection of an alternative forum, the federal district courts of the United States shall be the exclusive forum for the resolution of any complaint asserting a cause of action arising under the Securities Act. Our choice-of-forum provision does not apply to suits brought to enforce any liability or duty created by the Exchange Act, and investors cannot waive compliance with the federal securities laws and the rules and regulations thereunder. Any person or entity purchasing or otherwise acquiring or holding any interest in our common stock shall be deemed to have notice of and to have consented to the forum selection provisions described in our certificate of incorporation. These choice-of-forum provisions may limit a stockholder’s ability to bring a claim in a judicial forum that it finds favorable for disputes with us or our directors, officers or other employees, which may discourage such lawsuits against us and such persons. It is possible that a court may find these provisions of our certificate of incorporation inapplicable to, or unenforceable in respect of, one or more of the specified types of actions or proceedings, in which case we may incur additional costs associated with resolving such matters in other jurisdictions, which could materially adversely affect our business, financial condition, or results of operations and result in a diversion of the time and resources of our management and board of directors.</w:t>
      </w:r>
    </w:p>
    <w:p>
      <w:pPr>
        <w:spacing w:after="0" w:line="300"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ratings downgrade or other negative action by a ratings organization could adversely affect the trading price of the shares of our Class A common stock.</w:t>
      </w:r>
    </w:p>
    <w:p>
      <w:pPr>
        <w:spacing w:after="0" w:line="51"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Credit rating agencies continually revise their ratings for companies they follow, and we have faced, and may continue to face, downgrades from credit rating agencies. The condition of the financial and credit markets and</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8" w:name="page39"/>
    <w:bookmarkEnd w:id="38"/>
    <w:p>
      <w:pPr>
        <w:spacing w:after="0" w:line="261" w:lineRule="auto"/>
        <w:rPr>
          <w:sz w:val="20"/>
          <w:szCs w:val="20"/>
          <w:color w:val="auto"/>
        </w:rPr>
      </w:pPr>
      <w:r>
        <w:rPr>
          <w:rFonts w:ascii="Times New Roman" w:cs="Times New Roman" w:eastAsia="Times New Roman" w:hAnsi="Times New Roman"/>
          <w:sz w:val="18"/>
          <w:szCs w:val="18"/>
          <w:color w:val="auto"/>
        </w:rPr>
        <w:t>prevailing interest rates have fluctuated in the past and are likely to fluctuate in the future. In addition, developments in our business and operations, including with respect to sustainability matters, could lead to further ratings downgrades for us or our subsidiaries. Any fluctuation in the rating of us or our subsidiaries may impact our ability to access debt markets in the future or increase our cost of future debt, which could have a material adverse effect on our operations and financial condition and may adversely affect the trading price of shares of our Class A common stock.</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operating results and share price may be volatile, and the market price of our Class A common stock may drop.</w:t>
      </w:r>
    </w:p>
    <w:p>
      <w:pPr>
        <w:spacing w:after="0" w:line="121"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Our quarterly operating results are likely to fluctuate in the future. In addition, securities markets worldwide have experienced, and are likely to continue to experience, significant price and volume fluctuations. This market volatility, as well as general economic, market, or political conditions, has, and could continue to, subject the market price of our shares to wide price fluctuations regardless of our operating performance. You may not be able to resell your shares at or above the price that you paid for them, or at all. Our operating results and the trading price of our shares may fluctuate in response to various factors, including:</w:t>
      </w:r>
    </w:p>
    <w:p>
      <w:pPr>
        <w:spacing w:after="0" w:line="75" w:lineRule="exact"/>
        <w:rPr>
          <w:sz w:val="20"/>
          <w:szCs w:val="20"/>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in the broader stock market;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quarterly financial and operating results;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introduction of new products or services by us or our competitors;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 of new or changed securities analysts’ reports or recommendations;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debt ratings;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operations that vary from expectations of securities analysts and investors;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guidance, if any, that we provide to the public, any changes in this guidance or our failure to meet this guidance;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actions by us or our competitors;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our competitors, or our vendors of significant contracts or acquisitions;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or anticipated sales, of large blocks of our stock;</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personnel;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legal, or political developments;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response to press releases or other public announcements by us or third parties, including our filings with the SEC;</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and governmental investigations;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changing economic and geopolitical conditions, including interest rates, tariffs, financial market uncertainty, and government shutdowns;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principles;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under agreements governing our indebtedness; and</w:t>
      </w:r>
    </w:p>
    <w:p>
      <w:pPr>
        <w:spacing w:after="0" w:line="117" w:lineRule="exact"/>
        <w:rPr>
          <w:rFonts w:ascii="Times New Roman" w:cs="Times New Roman" w:eastAsia="Times New Roman" w:hAnsi="Times New Roman"/>
          <w:sz w:val="18"/>
          <w:szCs w:val="18"/>
          <w:color w:val="auto"/>
        </w:rPr>
      </w:pPr>
    </w:p>
    <w:p>
      <w:pPr>
        <w:ind w:left="1020" w:right="60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events or factors, including those from severe weather events, natural disasters, pandemic, pet disease, war, acts of terrorism, or responses to these events.</w:t>
      </w:r>
    </w:p>
    <w:p>
      <w:pPr>
        <w:spacing w:after="0" w:line="162"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These and other factors, many of which are beyond our control, may cause our operating results and the market price and demand for our shares to fluctuate substantially. While we believe that operating results for any particular quarter are not necessarily a meaningful indication of future results, fluctuations in our quarterly operating results could limit or prevent investors from readily selling their shares and may otherwise negatively affect the market price and liquidity of our shares. In addition, in the past, a securities class action litigation has been brought against the Company in connection with the volatility of our stock price. If any of our stockholders brought a similar</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39" w:name="page40"/>
    <w:bookmarkEnd w:id="39"/>
    <w:p>
      <w:pPr>
        <w:ind w:right="560"/>
        <w:spacing w:after="0" w:line="282" w:lineRule="auto"/>
        <w:rPr>
          <w:sz w:val="20"/>
          <w:szCs w:val="20"/>
          <w:color w:val="auto"/>
        </w:rPr>
      </w:pPr>
      <w:r>
        <w:rPr>
          <w:rFonts w:ascii="Times New Roman" w:cs="Times New Roman" w:eastAsia="Times New Roman" w:hAnsi="Times New Roman"/>
          <w:sz w:val="18"/>
          <w:szCs w:val="18"/>
          <w:color w:val="auto"/>
        </w:rPr>
        <w:t>lawsuit against us in the future, we could incur substantial costs defending and/or settling the lawsuit. Such a lawsuit could also divert the time and attention of our management from our business, which could significantly harm our profitability and reputation.</w:t>
      </w:r>
    </w:p>
    <w:p>
      <w:pPr>
        <w:spacing w:after="0" w:line="266"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Your percentage ownership in us may be diluted by future issuances of capital stock, which could reduce your influence over matters on which stockholders vote.</w:t>
      </w:r>
    </w:p>
    <w:p>
      <w:pPr>
        <w:spacing w:after="0" w:line="5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Pursuant to our certificate of incorporation and bylaws, our board of directors has the authority, without action or vote of our stockholders, to issue all or any part of our authorized but unissued shares of common stock, including shares issuable upon the exercise of options, or shares of our authorized but unissued preferred stock. Issuances of common stock or voting preferred stock would reduce your influence over matters on which our stockholders vote and, in the case of issuances of preferred stock, would likely result in your interest in us being subject to the prior rights of holders of that preferred stock. Moreover, the ability of holders of Class B-1 common stock to convert each of their shares into one share of Class A common stock, subject to the transfer to us of an equivalent number of shares of Class B-2 common stock, may increase the number of outstanding shares of Class A common stock; however, such conversion rights will not dilute or otherwise affect the voting rights of the holders of Class A common stock because Class B-1 common stock and Class B-2 common stock taken on a combined basis will have the same voting rights as Class A common stock.</w:t>
      </w:r>
    </w:p>
    <w:p>
      <w:pPr>
        <w:spacing w:after="0" w:line="296"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significant portion of our total outstanding shares may be sold into the market, which could cause the market price of our Class A common stock to drop significantly, even if our business is doing well.</w:t>
      </w:r>
    </w:p>
    <w:p>
      <w:pPr>
        <w:spacing w:after="0" w:line="5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Sales of a substantial number of shares of our Class A common stock in the public market could occur at any time. These sales, or the perception in the market that the holders of a large number of shares intend to sell shares, could reduce the market price of our Class A common stock. We have also filed Forms S-8 under the Securities Act to register all shares of Class A common stock that we may issue under our equity compensation plans. In addition, our Principal Stockholder has demand registration rights that will require us to file registration statements in connection with future sales of our stock by our Principal Stockholder. Sales by our Principal Stockholder could be significant. Once we register these shares, they can be freely resold in the public market, subject to legal or contractual restrictions, such as lock-up agreements. As restrictions on resale end, the market price of our stock could decline if the holders of currently restricted shares sell them or are perceived by the market as intending to sell them.</w:t>
      </w:r>
    </w:p>
    <w:p>
      <w:pPr>
        <w:spacing w:after="0" w:line="293"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adversely change their recommendations regarding our shares, or if our results of operations do not meet their expectations, our share price and trading volume could decline.</w:t>
      </w:r>
    </w:p>
    <w:p>
      <w:pPr>
        <w:spacing w:after="0" w:line="51" w:lineRule="exact"/>
        <w:rPr>
          <w:sz w:val="20"/>
          <w:szCs w:val="20"/>
          <w:color w:val="auto"/>
        </w:rPr>
      </w:pPr>
    </w:p>
    <w:p>
      <w:pPr>
        <w:ind w:right="320" w:firstLine="509"/>
        <w:spacing w:after="0" w:line="261" w:lineRule="auto"/>
        <w:rPr>
          <w:sz w:val="20"/>
          <w:szCs w:val="20"/>
          <w:color w:val="auto"/>
        </w:rPr>
      </w:pPr>
      <w:r>
        <w:rPr>
          <w:rFonts w:ascii="Times New Roman" w:cs="Times New Roman" w:eastAsia="Times New Roman" w:hAnsi="Times New Roman"/>
          <w:sz w:val="18"/>
          <w:szCs w:val="18"/>
          <w:color w:val="auto"/>
        </w:rPr>
        <w:t>The trading market for our shares is influenced in part by the research and reports that industry or securities analysts publish about us or our business. We do not have any control over these analysts. If one or more of these analysts cease coverage of, or insufficiently cover, our company, we could lose visibility in the financial markets, which in turn could cause our share price or trading volume to decline. Moreover, if one or more of the analysts who cover us downgrade our stock, or if our results of operations do not meet their expectations, our share price could decline.</w:t>
      </w:r>
    </w:p>
    <w:p>
      <w:pPr>
        <w:spacing w:after="0" w:line="284"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operating and financial performance in any given period does not meet the guidance that we have provided to the public or the expectations of our investors and analysts, our Class A common stock price may decline.</w:t>
      </w:r>
    </w:p>
    <w:p>
      <w:pPr>
        <w:spacing w:after="0" w:line="51"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We have been, and anticipate to continue, providing guidance on our expected operating and financial results for future periods. Although we believe that this guidance will provide investors and analysts with a better understanding of management’s expectations for the future and is useful to our current and potential stockholders, such guidance comprises forward-looking statements subject to the risks and uncertainties described in this Annual Report on Form 10-K and in our other public filings and public statements. Our actual results may not always be in line with or exceed the guidance we have provided or the expectations of our investors and analysts, especially in times of economic uncertainty. If, in the future, our operating or financial results for a particular period do not meet our guidance or the expectations of our investors and analysts, or if we reduce our guidance for future periods, our share price could decline.</w:t>
      </w:r>
    </w:p>
    <w:p>
      <w:pPr>
        <w:spacing w:after="0" w:line="18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309" w:right="439" w:bottom="1440" w:gutter="0" w:footer="0" w:header="0"/>
        </w:sectPr>
      </w:pPr>
    </w:p>
    <w:bookmarkStart w:id="40" w:name="page41"/>
    <w:bookmarkEnd w:id="40"/>
    <w:p>
      <w:pPr>
        <w:jc w:val="both"/>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our internal control over financial reporting or our disclosure controls and procedures are not effective, we may be unable to accurately report our financial results, prevent fraud, or file our periodic reports in a timely manner, which may cause investors to lose confidence in our reported financial information and may lead to a decline in our stock price.</w:t>
      </w:r>
    </w:p>
    <w:p>
      <w:pPr>
        <w:spacing w:after="0" w:line="67"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As a public company, we are required to comply with the requirements of the Sarbanes-Oxley Act. The Sarbanes-Oxley Act requires that we maintain effective internal control over financial reporting and disclosure controls, and procedures. In particular, we must perform system and process evaluation, document our controls and perform testing of our key control over financial reporting to allow management to report on the effectiveness of our internal control over financial reporting, as required by Section 404 of the Sarbanes-Oxley Act. Additionally, our independent public accounting firm also is required to issue an attestation report on the effectiveness of our internal control over financial reporting, as required by Section 404 of the Sarbanes-Oxley Act. Our testing, or the testing by our independent public accounting firm, may reveal deficiencies in our internal control over financial reporting that are deemed to be material weaknesses. If we are not able to comply with the requirements of Section 404 in a timely manner, or if we or our accounting firm identifies deficiencies in our internal control over financial reporting that are deemed to be material weaknesses, the market price of our Class A common stock would likely decline and we could be subject to lawsuits, sanctions or investigations by regulatory authorities, which would require additional financial and management resources. Moreover, any material weaknesses could result in a material misstatement of our annual or quarterly consolidated financial statements or disclosures that may not be prevented or detected.</w:t>
      </w:r>
    </w:p>
    <w:p>
      <w:pPr>
        <w:spacing w:after="0" w:line="296"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Unanticipated changes in effective tax rates or adverse outcomes resulting from examination of our income or other tax returns could adversely affect our financial condition and results of operations.</w:t>
      </w:r>
    </w:p>
    <w:p>
      <w:pPr>
        <w:spacing w:after="0" w:line="51"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We are subject to taxes by the U.S. federal, state, and local tax authorities, and our tax liabilities will be affected by the allocation of expenses to differing jurisdictions. Our future effective tax rates could be subject to volatility or adversely affected by a number of factors, including:</w:t>
      </w:r>
    </w:p>
    <w:p>
      <w:pPr>
        <w:spacing w:after="0" w:line="54" w:lineRule="exact"/>
        <w:rPr>
          <w:sz w:val="20"/>
          <w:szCs w:val="20"/>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valuation of our deferred tax assets and liabilities;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timing and amount of the release of any tax valuation allowances;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effects of stock-based compensation; or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laws, regulations, or interpretations thereof.</w:t>
      </w:r>
    </w:p>
    <w:p>
      <w:pPr>
        <w:spacing w:after="0" w:line="225" w:lineRule="exact"/>
        <w:rPr>
          <w:sz w:val="20"/>
          <w:szCs w:val="20"/>
          <w:color w:val="auto"/>
        </w:rPr>
      </w:pPr>
    </w:p>
    <w:p>
      <w:pPr>
        <w:ind w:right="220" w:firstLine="469"/>
        <w:spacing w:after="0" w:line="282" w:lineRule="auto"/>
        <w:rPr>
          <w:sz w:val="20"/>
          <w:szCs w:val="20"/>
          <w:color w:val="auto"/>
        </w:rPr>
      </w:pPr>
      <w:r>
        <w:rPr>
          <w:rFonts w:ascii="Times New Roman" w:cs="Times New Roman" w:eastAsia="Times New Roman" w:hAnsi="Times New Roman"/>
          <w:sz w:val="18"/>
          <w:szCs w:val="18"/>
          <w:color w:val="auto"/>
        </w:rPr>
        <w:t>From time to time, U.S. tax authorities, including state and local governments, consider legislation that, if enacted, could have a material effect on our effective tax rate.</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addition, we may be subject to audits of our income, sales, and other transaction taxes by U.S. federal, state, and local taxing authorities.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Outcomes from these audits could have an adverse effect on our operating results and financial condition.</w:t>
      </w:r>
    </w:p>
    <w:p>
      <w:pPr>
        <w:spacing w:after="0" w:line="203"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Additional impairments of the carrying value of our goodwill or other intangible assets could adversely affect our financial condition and results of operations.</w:t>
      </w:r>
    </w:p>
    <w:p>
      <w:pPr>
        <w:spacing w:after="0" w:line="159" w:lineRule="exact"/>
        <w:rPr>
          <w:sz w:val="20"/>
          <w:szCs w:val="20"/>
          <w:color w:val="auto"/>
        </w:rPr>
      </w:pPr>
    </w:p>
    <w:p>
      <w:pPr>
        <w:ind w:right="60" w:firstLine="749"/>
        <w:spacing w:after="0" w:line="254" w:lineRule="auto"/>
        <w:rPr>
          <w:sz w:val="20"/>
          <w:szCs w:val="20"/>
          <w:color w:val="auto"/>
        </w:rPr>
      </w:pPr>
      <w:r>
        <w:rPr>
          <w:rFonts w:ascii="Times New Roman" w:cs="Times New Roman" w:eastAsia="Times New Roman" w:hAnsi="Times New Roman"/>
          <w:sz w:val="18"/>
          <w:szCs w:val="18"/>
          <w:color w:val="auto"/>
        </w:rPr>
        <w:t>Our goodwill and other intangible assets represent a significant portion of our total assets. We test our goodwill and our indefinite-lived intangible assets for impairment at least annually and whenever events or changes in circumstances indicate that their carrying value may not be recoverable. A significant amount of judgment is involved in determining if an indication of impairment exists. Factors indicating impairment of goodwill or other intangible assets may include, among others: a significant decline in our expected future cash flows; a sustained, significant decline in our stock price and market capitalization; changes in the macroeconomic environment, increases in interest rates, a significant adverse change in legal factors or in the business climate; unanticipated or changing competition; and reduced growth rates. There are inherent uncertainties in management’s estimates, judgments, and assumptions used in the impairment evaluation process. To the extent that business conditions deteriorate or there are any material changes in key assumptions and estimates, it may be necessary to record additional impairment charges in the future which could have a material adverse effect on our financial condition and results of operations.</w:t>
      </w:r>
    </w:p>
    <w:p>
      <w:pPr>
        <w:spacing w:after="0" w:line="188" w:lineRule="exact"/>
        <w:rPr>
          <w:sz w:val="20"/>
          <w:szCs w:val="20"/>
          <w:color w:val="auto"/>
        </w:rPr>
      </w:pPr>
    </w:p>
    <w:p>
      <w:pPr>
        <w:ind w:right="240" w:firstLine="360"/>
        <w:spacing w:after="0" w:line="282" w:lineRule="auto"/>
        <w:rPr>
          <w:sz w:val="20"/>
          <w:szCs w:val="20"/>
          <w:color w:val="auto"/>
        </w:rPr>
      </w:pPr>
      <w:r>
        <w:rPr>
          <w:rFonts w:ascii="Times New Roman" w:cs="Times New Roman" w:eastAsia="Times New Roman" w:hAnsi="Times New Roman"/>
          <w:sz w:val="18"/>
          <w:szCs w:val="18"/>
          <w:color w:val="auto"/>
        </w:rPr>
        <w:t>For example, during the third quarter of fiscal 2023, we concluded indicators of impairment existed due to declines in the Company's share price as well as macroeconomic conditions, and performed an interim impairment</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41" w:name="page42"/>
    <w:bookmarkEnd w:id="41"/>
    <w:p>
      <w:pPr>
        <w:ind w:right="40"/>
        <w:spacing w:after="0" w:line="266" w:lineRule="auto"/>
        <w:rPr>
          <w:sz w:val="20"/>
          <w:szCs w:val="20"/>
          <w:color w:val="auto"/>
        </w:rPr>
      </w:pPr>
      <w:r>
        <w:rPr>
          <w:rFonts w:ascii="Times New Roman" w:cs="Times New Roman" w:eastAsia="Times New Roman" w:hAnsi="Times New Roman"/>
          <w:sz w:val="18"/>
          <w:szCs w:val="18"/>
          <w:color w:val="auto"/>
        </w:rPr>
        <w:t>test of our goodwill and indefinite-lived trade name, which resulted in a pre-tax goodwill impairment charge of $1,222.5 million for the thirteen week period ended October 28, 2023. For further information on our evaluation of impairment of our goodwill and indefinite-lived trade name, please read the discussion under “Management’s Discussion and Analysis of Financial Condition and Results of Operations– Critical Accounting Policies and Estimates.”</w:t>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Cybersecurity Risk Management and Strategy</w:t>
      </w:r>
    </w:p>
    <w:p>
      <w:pPr>
        <w:spacing w:after="0" w:line="243"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Our executive team and board of directors recognize that effective cybersecurity risk management is critical to the safety and security of our customer and enterprise data, systems, and products and, ultimately, the long-term success of the Company. We have a comprehensive multi-layered cybersecurity risk assessment program, which covers the identification, analysis, evaluation, and management of cybersecurity risks. The program is cross-functional involving the participation and input of internal stakeholders, third-party consultants, and board oversight. The program is reviewed and updated on a semi-annual basis, or sooner if needed.</w:t>
      </w:r>
    </w:p>
    <w:p>
      <w:pPr>
        <w:spacing w:after="0" w:line="183" w:lineRule="exact"/>
        <w:rPr>
          <w:sz w:val="20"/>
          <w:szCs w:val="20"/>
          <w:color w:val="auto"/>
        </w:rPr>
      </w:pPr>
    </w:p>
    <w:p>
      <w:pPr>
        <w:ind w:right="60" w:firstLine="794"/>
        <w:spacing w:after="0" w:line="266" w:lineRule="auto"/>
        <w:rPr>
          <w:sz w:val="20"/>
          <w:szCs w:val="20"/>
          <w:color w:val="auto"/>
        </w:rPr>
      </w:pPr>
      <w:r>
        <w:rPr>
          <w:rFonts w:ascii="Times New Roman" w:cs="Times New Roman" w:eastAsia="Times New Roman" w:hAnsi="Times New Roman"/>
          <w:sz w:val="18"/>
          <w:szCs w:val="18"/>
          <w:color w:val="auto"/>
        </w:rPr>
        <w:t>We engage in frequent and comprehensive monitoring of our systems, including network, systems, and application security monitoring integrated into a Security Information and Event Monitoring (SIEM) system. In addition, should a cybersecurity incident occur, our response plan is based on the NIST Special Publication 800-61 Revision 2 Computer Security Incident Handling Guide, and requires the following steps:</w:t>
      </w:r>
    </w:p>
    <w:p>
      <w:pPr>
        <w:spacing w:after="0" w:line="174" w:lineRule="exact"/>
        <w:rPr>
          <w:sz w:val="20"/>
          <w:szCs w:val="20"/>
          <w:color w:val="auto"/>
        </w:rPr>
      </w:pPr>
    </w:p>
    <w:p>
      <w:pPr>
        <w:ind w:right="20" w:firstLine="749"/>
        <w:spacing w:after="0" w:line="267" w:lineRule="auto"/>
        <w:rPr>
          <w:sz w:val="20"/>
          <w:szCs w:val="20"/>
          <w:color w:val="auto"/>
        </w:rPr>
      </w:pPr>
      <w:r>
        <w:rPr>
          <w:rFonts w:ascii="Times New Roman" w:cs="Times New Roman" w:eastAsia="Times New Roman" w:hAnsi="Times New Roman"/>
          <w:sz w:val="18"/>
          <w:szCs w:val="18"/>
          <w:i w:val="1"/>
          <w:iCs w:val="1"/>
          <w:color w:val="auto"/>
        </w:rPr>
        <w:t>Discovery</w:t>
      </w:r>
      <w:r>
        <w:rPr>
          <w:rFonts w:ascii="Times New Roman" w:cs="Times New Roman" w:eastAsia="Times New Roman" w:hAnsi="Times New Roman"/>
          <w:sz w:val="18"/>
          <w:szCs w:val="18"/>
          <w:color w:val="auto"/>
        </w:rPr>
        <w:t>. Occurs when a potential security incident is reported. Discovery can be initiated in several ways, including by customer support,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employees, business partners, as a result of IT logging and monitoring, or in response to customer or vendor correspondence. Containment is the priority in the Discovery phase.</w:t>
      </w:r>
    </w:p>
    <w:p>
      <w:pPr>
        <w:spacing w:after="0" w:line="173" w:lineRule="exact"/>
        <w:rPr>
          <w:sz w:val="20"/>
          <w:szCs w:val="20"/>
          <w:color w:val="auto"/>
        </w:rPr>
      </w:pPr>
    </w:p>
    <w:p>
      <w:pPr>
        <w:ind w:right="320" w:firstLine="749"/>
        <w:spacing w:after="0" w:line="284" w:lineRule="auto"/>
        <w:rPr>
          <w:sz w:val="20"/>
          <w:szCs w:val="20"/>
          <w:color w:val="auto"/>
        </w:rPr>
      </w:pPr>
      <w:r>
        <w:rPr>
          <w:rFonts w:ascii="Times New Roman" w:cs="Times New Roman" w:eastAsia="Times New Roman" w:hAnsi="Times New Roman"/>
          <w:sz w:val="18"/>
          <w:szCs w:val="18"/>
          <w:i w:val="1"/>
          <w:iCs w:val="1"/>
          <w:color w:val="auto"/>
        </w:rPr>
        <w:t>Investigation</w:t>
      </w:r>
      <w:r>
        <w:rPr>
          <w:rFonts w:ascii="Times New Roman" w:cs="Times New Roman" w:eastAsia="Times New Roman" w:hAnsi="Times New Roman"/>
          <w:sz w:val="18"/>
          <w:szCs w:val="18"/>
          <w:color w:val="auto"/>
        </w:rPr>
        <w:t>. Occurs when the Discovery phase establishes a likelihood that the event is an actionable security incident that warrants further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research and analysis. In the Investigation phase, the priority is to swiftly complete an accurate, thorough investigation of the security incident.</w:t>
      </w:r>
    </w:p>
    <w:p>
      <w:pPr>
        <w:spacing w:after="0" w:line="158" w:lineRule="exact"/>
        <w:rPr>
          <w:sz w:val="20"/>
          <w:szCs w:val="20"/>
          <w:color w:val="auto"/>
        </w:rPr>
      </w:pPr>
    </w:p>
    <w:p>
      <w:pPr>
        <w:jc w:val="both"/>
        <w:ind w:right="40" w:firstLine="749"/>
        <w:spacing w:after="0" w:line="261" w:lineRule="auto"/>
        <w:rPr>
          <w:sz w:val="20"/>
          <w:szCs w:val="20"/>
          <w:color w:val="auto"/>
        </w:rPr>
      </w:pPr>
      <w:r>
        <w:rPr>
          <w:rFonts w:ascii="Times New Roman" w:cs="Times New Roman" w:eastAsia="Times New Roman" w:hAnsi="Times New Roman"/>
          <w:sz w:val="18"/>
          <w:szCs w:val="18"/>
          <w:i w:val="1"/>
          <w:iCs w:val="1"/>
          <w:color w:val="auto"/>
        </w:rPr>
        <w:t>Response</w:t>
      </w:r>
      <w:r>
        <w:rPr>
          <w:rFonts w:ascii="Times New Roman" w:cs="Times New Roman" w:eastAsia="Times New Roman" w:hAnsi="Times New Roman"/>
          <w:sz w:val="18"/>
          <w:szCs w:val="18"/>
          <w:color w:val="auto"/>
        </w:rPr>
        <w:t>. Occurs when: a security incident is a confirmed data breach; a security incident requires the Company to take further action to protect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organization and/or affected parties whose impacted personal information is at risk or has been compromised; or additional administrative, physical, or technical controls are needed after a security incident. In the Response phase, the priority is to swiftly complete required notifications and other procedures according to applicable law.</w:t>
      </w:r>
    </w:p>
    <w:p>
      <w:pPr>
        <w:spacing w:after="0" w:line="180" w:lineRule="exact"/>
        <w:rPr>
          <w:sz w:val="20"/>
          <w:szCs w:val="20"/>
          <w:color w:val="auto"/>
        </w:rPr>
      </w:pPr>
    </w:p>
    <w:p>
      <w:pPr>
        <w:ind w:right="100" w:firstLine="749"/>
        <w:spacing w:after="0" w:line="258" w:lineRule="auto"/>
        <w:rPr>
          <w:sz w:val="20"/>
          <w:szCs w:val="20"/>
          <w:color w:val="auto"/>
        </w:rPr>
      </w:pPr>
      <w:r>
        <w:rPr>
          <w:rFonts w:ascii="Times New Roman" w:cs="Times New Roman" w:eastAsia="Times New Roman" w:hAnsi="Times New Roman"/>
          <w:sz w:val="18"/>
          <w:szCs w:val="18"/>
          <w:i w:val="1"/>
          <w:iCs w:val="1"/>
          <w:color w:val="auto"/>
        </w:rPr>
        <w:t>Closure</w:t>
      </w:r>
      <w:r>
        <w:rPr>
          <w:rFonts w:ascii="Times New Roman" w:cs="Times New Roman" w:eastAsia="Times New Roman" w:hAnsi="Times New Roman"/>
          <w:sz w:val="18"/>
          <w:szCs w:val="18"/>
          <w:color w:val="auto"/>
        </w:rPr>
        <w:t>. Occurs when the Company's incident response steering committee can review the security incident and actions taken to evaluate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whether proper investigation and documentation have occurred, and the matter requires no further notice or containment. Root causes and steps to prevent future incidents have been identified.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Closure phase, the priority is to confirm that all necessary containment, investigation, and response tasks have been completed.</w:t>
      </w:r>
    </w:p>
    <w:p>
      <w:pPr>
        <w:spacing w:after="0" w:line="205" w:lineRule="exact"/>
        <w:rPr>
          <w:sz w:val="20"/>
          <w:szCs w:val="20"/>
          <w:color w:val="auto"/>
        </w:rPr>
      </w:pPr>
    </w:p>
    <w:p>
      <w:pPr>
        <w:jc w:val="both"/>
        <w:ind w:right="20" w:firstLine="749"/>
        <w:spacing w:after="0" w:line="267" w:lineRule="auto"/>
        <w:rPr>
          <w:sz w:val="20"/>
          <w:szCs w:val="20"/>
          <w:color w:val="auto"/>
        </w:rPr>
      </w:pPr>
      <w:r>
        <w:rPr>
          <w:rFonts w:ascii="Times New Roman" w:cs="Times New Roman" w:eastAsia="Times New Roman" w:hAnsi="Times New Roman"/>
          <w:sz w:val="18"/>
          <w:szCs w:val="18"/>
          <w:i w:val="1"/>
          <w:iCs w:val="1"/>
          <w:color w:val="auto"/>
        </w:rPr>
        <w:t>Review</w:t>
      </w:r>
      <w:r>
        <w:rPr>
          <w:rFonts w:ascii="Times New Roman" w:cs="Times New Roman" w:eastAsia="Times New Roman" w:hAnsi="Times New Roman"/>
          <w:sz w:val="18"/>
          <w:szCs w:val="18"/>
          <w:color w:val="auto"/>
        </w:rPr>
        <w:t>. Occurs after the event has been resolved. The priority in this phase is to review the investigation/response process and update the above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steps based on the lessons learned. In addition, throughout the response plan, we continually evaluate the potential materiality, and possible need for public disclosure, of any particular incident.</w:t>
      </w:r>
    </w:p>
    <w:p>
      <w:pPr>
        <w:spacing w:after="0" w:line="17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We also have processes in place to oversee and identify risks from cybersecurity threats associated with our use of third party service providers.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classify third parties engaged by us based on risk and impact to our business. Classification is broken into tiers as follows:</w:t>
      </w:r>
    </w:p>
    <w:p>
      <w:pPr>
        <w:spacing w:after="0" w:line="200" w:lineRule="exact"/>
        <w:rPr>
          <w:sz w:val="20"/>
          <w:szCs w:val="20"/>
          <w:color w:val="auto"/>
        </w:rPr>
      </w:pPr>
    </w:p>
    <w:p>
      <w:pPr>
        <w:spacing w:after="0" w:line="2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bookmarkStart w:id="42" w:name="page43"/>
    <w:bookmarkEnd w:id="42"/>
    <w:p>
      <w:pPr>
        <w:ind w:firstLine="749"/>
        <w:spacing w:after="0" w:line="284" w:lineRule="auto"/>
        <w:rPr>
          <w:sz w:val="20"/>
          <w:szCs w:val="20"/>
          <w:color w:val="auto"/>
        </w:rPr>
      </w:pPr>
      <w:r>
        <w:rPr>
          <w:rFonts w:ascii="Times New Roman" w:cs="Times New Roman" w:eastAsia="Times New Roman" w:hAnsi="Times New Roman"/>
          <w:sz w:val="18"/>
          <w:szCs w:val="18"/>
          <w:i w:val="1"/>
          <w:iCs w:val="1"/>
          <w:color w:val="auto"/>
        </w:rPr>
        <w:t>Tier 1</w:t>
      </w:r>
      <w:r>
        <w:rPr>
          <w:rFonts w:ascii="Times New Roman" w:cs="Times New Roman" w:eastAsia="Times New Roman" w:hAnsi="Times New Roman"/>
          <w:sz w:val="18"/>
          <w:szCs w:val="18"/>
          <w:color w:val="auto"/>
        </w:rPr>
        <w:t>. Access to critical infrastructure, data, or services affecting critical infrastructure. Administrative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production systems, including hosting or developing systems, applications, websites, software, or SaaS solutions.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privileged access to</w:t>
      </w:r>
    </w:p>
    <w:p>
      <w:pPr>
        <w:spacing w:after="0" w:line="450" w:lineRule="exact"/>
        <w:rPr>
          <w:sz w:val="20"/>
          <w:szCs w:val="20"/>
          <w:color w:val="auto"/>
        </w:rPr>
      </w:pPr>
    </w:p>
    <w:p>
      <w:pPr>
        <w:sectPr>
          <w:pgSz w:w="11900" w:h="16838" w:orient="portrait"/>
          <w:cols w:equalWidth="0" w:num="2">
            <w:col w:w="8840" w:space="200"/>
            <w:col w:w="2200"/>
          </w:cols>
          <w:pgMar w:left="320" w:top="1091" w:right="339" w:bottom="1440" w:gutter="0" w:footer="0" w:header="0"/>
        </w:sectPr>
      </w:pPr>
    </w:p>
    <w:p>
      <w:pPr>
        <w:ind w:left="760"/>
        <w:spacing w:after="0"/>
        <w:rPr>
          <w:sz w:val="20"/>
          <w:szCs w:val="20"/>
          <w:color w:val="auto"/>
        </w:rPr>
      </w:pPr>
      <w:r>
        <w:rPr>
          <w:rFonts w:ascii="Times New Roman" w:cs="Times New Roman" w:eastAsia="Times New Roman" w:hAnsi="Times New Roman"/>
          <w:sz w:val="17"/>
          <w:szCs w:val="17"/>
          <w:i w:val="1"/>
          <w:iCs w:val="1"/>
          <w:color w:val="auto"/>
        </w:rPr>
        <w:t>Tier 2</w:t>
      </w:r>
      <w:r>
        <w:rPr>
          <w:rFonts w:ascii="Times New Roman" w:cs="Times New Roman" w:eastAsia="Times New Roman" w:hAnsi="Times New Roman"/>
          <w:sz w:val="17"/>
          <w:szCs w:val="17"/>
          <w:color w:val="auto"/>
        </w:rPr>
        <w:t>. Non-privileged access to Company applications.</w:t>
      </w:r>
    </w:p>
    <w:p>
      <w:pPr>
        <w:sectPr>
          <w:pgSz w:w="11900" w:h="16838" w:orient="portrait"/>
          <w:cols w:equalWidth="0" w:num="1">
            <w:col w:w="11240"/>
          </w:cols>
          <w:pgMar w:left="320" w:top="1091" w:right="339" w:bottom="1440" w:gutter="0" w:footer="0" w:header="0"/>
          <w:type w:val="continuous"/>
        </w:sectPr>
      </w:pPr>
    </w:p>
    <w:p>
      <w:pPr>
        <w:spacing w:after="0" w:line="237" w:lineRule="exact"/>
        <w:rPr>
          <w:sz w:val="20"/>
          <w:szCs w:val="20"/>
          <w:color w:val="auto"/>
        </w:rPr>
      </w:pPr>
    </w:p>
    <w:p>
      <w:pPr>
        <w:ind w:right="60" w:firstLine="749"/>
        <w:spacing w:after="0" w:line="284" w:lineRule="auto"/>
        <w:rPr>
          <w:sz w:val="20"/>
          <w:szCs w:val="20"/>
          <w:color w:val="auto"/>
        </w:rPr>
      </w:pPr>
      <w:r>
        <w:rPr>
          <w:rFonts w:ascii="Times New Roman" w:cs="Times New Roman" w:eastAsia="Times New Roman" w:hAnsi="Times New Roman"/>
          <w:sz w:val="18"/>
          <w:szCs w:val="18"/>
          <w:i w:val="1"/>
          <w:iCs w:val="1"/>
          <w:color w:val="auto"/>
        </w:rPr>
        <w:t>Tier 3</w:t>
      </w:r>
      <w:r>
        <w:rPr>
          <w:rFonts w:ascii="Times New Roman" w:cs="Times New Roman" w:eastAsia="Times New Roman" w:hAnsi="Times New Roman"/>
          <w:sz w:val="18"/>
          <w:szCs w:val="18"/>
          <w:color w:val="auto"/>
        </w:rPr>
        <w:t>. No direct system access but may be associated through a partnership or have links hosted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marketing material or websites.</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embedded within Company</w:t>
      </w:r>
    </w:p>
    <w:p>
      <w:pPr>
        <w:spacing w:after="0" w:line="452" w:lineRule="exact"/>
        <w:rPr>
          <w:sz w:val="20"/>
          <w:szCs w:val="20"/>
          <w:color w:val="auto"/>
        </w:rPr>
      </w:pPr>
    </w:p>
    <w:p>
      <w:pPr>
        <w:sectPr>
          <w:pgSz w:w="11900" w:h="16838" w:orient="portrait"/>
          <w:cols w:equalWidth="0" w:num="2">
            <w:col w:w="7960" w:space="720"/>
            <w:col w:w="2560"/>
          </w:cols>
          <w:pgMar w:left="320" w:top="1091" w:right="339" w:bottom="1440" w:gutter="0" w:footer="0" w:header="0"/>
          <w:type w:val="continuous"/>
        </w:sectPr>
      </w:pPr>
    </w:p>
    <w:p>
      <w:pPr>
        <w:ind w:right="40" w:firstLine="749"/>
        <w:spacing w:after="0" w:line="266" w:lineRule="auto"/>
        <w:rPr>
          <w:sz w:val="20"/>
          <w:szCs w:val="20"/>
          <w:color w:val="auto"/>
        </w:rPr>
      </w:pPr>
      <w:r>
        <w:rPr>
          <w:rFonts w:ascii="Times New Roman" w:cs="Times New Roman" w:eastAsia="Times New Roman" w:hAnsi="Times New Roman"/>
          <w:sz w:val="18"/>
          <w:szCs w:val="18"/>
          <w:color w:val="auto"/>
        </w:rPr>
        <w:t>Third party risk scores are weighted based on the classification tier and monitored over the course of the year. A change in risk score may trigger an audit for the third party as well as a remediation plan to address any identified gaps, which our information security team oversees in conjunction with the relevant business owner for the third party relationship.</w:t>
      </w:r>
    </w:p>
    <w:p>
      <w:pPr>
        <w:spacing w:after="0" w:line="176"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While we face a variety of cybersecurity risks, such as phishing attempts, ransomware attacks, account takeovers, fraudulent orders, and unauthorized access attempts, such risks have not materially affected us to date, including our business strategy, results of operations or financial condition, and as of the date of this Annual Report on Form 10-K, the Company is not aware of any material risks from cybersecurity threats that are reasonably likely to do so. For more information about the cybersecurity risks we face, see “Item 1A – Risk Factors - Our reputation and business may be harmed if our or our vendors’ computer network security or any of the databases containing customer, employee, or other personal information maintained by us or our third-party providers is compromised, which could materially adversely affect our results of operations.”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Cybersecurity Governance</w:t>
      </w:r>
    </w:p>
    <w:p>
      <w:pPr>
        <w:spacing w:after="0" w:line="229" w:lineRule="exact"/>
        <w:rPr>
          <w:sz w:val="20"/>
          <w:szCs w:val="20"/>
          <w:color w:val="auto"/>
        </w:rPr>
      </w:pPr>
    </w:p>
    <w:p>
      <w:pPr>
        <w:jc w:val="both"/>
        <w:ind w:right="20" w:firstLine="749"/>
        <w:spacing w:after="0" w:line="266" w:lineRule="auto"/>
        <w:rPr>
          <w:sz w:val="20"/>
          <w:szCs w:val="20"/>
          <w:color w:val="auto"/>
        </w:rPr>
      </w:pPr>
      <w:r>
        <w:rPr>
          <w:rFonts w:ascii="Times New Roman" w:cs="Times New Roman" w:eastAsia="Times New Roman" w:hAnsi="Times New Roman"/>
          <w:sz w:val="18"/>
          <w:szCs w:val="18"/>
          <w:color w:val="auto"/>
        </w:rPr>
        <w:t>Our board of directors has ultimate oversight of our risk management policies and strategies. Our executive leadership team, which is responsible for our day-to-day overall risk management practices, presents to the board of directors on the various material risks to our Company, including risks related to information technology and cybersecurity.</w:t>
      </w:r>
    </w:p>
    <w:p>
      <w:pPr>
        <w:spacing w:after="0" w:line="176"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color w:val="auto"/>
        </w:rPr>
        <w:t>The audit committee has formal oversight responsibility for cybersecurity, as delegated by our board of directors, and is responsible for reviewing our policies and procedures with respect to cybersecurity risk assessment and risk management. As part of the board of directors and audit committee’s oversight, our Chief Technology Officer (“CTO”), and/or Chief Information Security Officer (“CISO”) provide semi-annual updates to the audit committee with respect to cybersecurity incidents, mitigation, threats, risks, and management, which are also communicated to the full board. In addition, a cross-functional committee comprised of key stakeholders throughout the Company meets regularly to review cybersecurity incidents, mitigation, threats, risks, and management.</w:t>
      </w:r>
    </w:p>
    <w:p>
      <w:pPr>
        <w:spacing w:after="0" w:line="187" w:lineRule="exact"/>
        <w:rPr>
          <w:sz w:val="20"/>
          <w:szCs w:val="20"/>
          <w:color w:val="auto"/>
        </w:rPr>
      </w:pPr>
    </w:p>
    <w:p>
      <w:pPr>
        <w:ind w:right="100" w:firstLine="749"/>
        <w:spacing w:after="0" w:line="253" w:lineRule="auto"/>
        <w:rPr>
          <w:sz w:val="20"/>
          <w:szCs w:val="20"/>
          <w:color w:val="auto"/>
        </w:rPr>
      </w:pPr>
      <w:r>
        <w:rPr>
          <w:rFonts w:ascii="Times New Roman" w:cs="Times New Roman" w:eastAsia="Times New Roman" w:hAnsi="Times New Roman"/>
          <w:sz w:val="18"/>
          <w:szCs w:val="18"/>
          <w:color w:val="auto"/>
        </w:rPr>
        <w:t>Our CISO, who has extensive cybersecurity knowledge and skills gained from over 25 years of work experience at the Company and elsewhere, is responsible for developing and overseeing matters related to cybersecurity and reports directly to our CTO, who is accountable for the overall information technology and security strategy of the Company. The CISO receives reports on cybersecurity threats from several experienced information security professionals responsible for various parts of the business on an ongoing basis and, in conjunction with our enterprise risk steering committee, regularly reviews risk management measures implemented by the Company to identify and mitigate data protection and cybersecurity risks. Our CISO works closely with our legal department to oversee compliance with legal, regulatory and contractual security requirements. Our enterprise risk steering committee is comprised of key stakeholders throughout the Company and works with management and our CISO to (i) identify and review certain cybersecurity risks that we face, including the probability and impact of such risks, and (ii) identify steps needed to eliminate or mitigate such risks. In addition, we have a well-defined cybersecurity incident response plan, as described above. Finally, we have protocols by which certain cybersecurity incidents are escalated within the Company and, where appropriate, reported in a timely manner to law enforcement, our outside auditors, the audit committee and/or the board of directors.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21"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The Company’s headquarters is located in San Diego, California and comprises a total of approximately 257,000 square feet, and is under a long-term lease. The Company also leases facilities for corporate functions in San Antonio, Texas and Quer</w:t>
      </w:r>
      <w:r>
        <w:rPr>
          <w:rFonts w:ascii="Times New Roman" w:cs="Times New Roman" w:eastAsia="Times New Roman" w:hAnsi="Times New Roman"/>
          <w:sz w:val="18"/>
          <w:szCs w:val="18"/>
          <w:color w:val="4D5156"/>
        </w:rPr>
        <w:t>é</w:t>
      </w:r>
      <w:r>
        <w:rPr>
          <w:rFonts w:ascii="Times New Roman" w:cs="Times New Roman" w:eastAsia="Times New Roman" w:hAnsi="Times New Roman"/>
          <w:sz w:val="18"/>
          <w:szCs w:val="18"/>
          <w:color w:val="auto"/>
        </w:rPr>
        <w:t>taro, Mexico.</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1" w:right="339" w:bottom="1440" w:gutter="0" w:footer="0" w:header="0"/>
          <w:type w:val="continuous"/>
        </w:sectPr>
      </w:pPr>
    </w:p>
    <w:bookmarkStart w:id="43" w:name="page44"/>
    <w:bookmarkEnd w:id="43"/>
    <w:p>
      <w:pPr>
        <w:ind w:right="140" w:firstLine="509"/>
        <w:spacing w:after="0" w:line="256" w:lineRule="auto"/>
        <w:rPr>
          <w:sz w:val="20"/>
          <w:szCs w:val="20"/>
          <w:color w:val="auto"/>
        </w:rPr>
      </w:pPr>
      <w:r>
        <w:rPr>
          <w:rFonts w:ascii="Times New Roman" w:cs="Times New Roman" w:eastAsia="Times New Roman" w:hAnsi="Times New Roman"/>
          <w:sz w:val="18"/>
          <w:szCs w:val="18"/>
          <w:color w:val="auto"/>
        </w:rPr>
        <w:t>We lease all of our distribution center locations and all of our approximately 1,400 pet care centers in the U.S. and Puerto Rico. The original lease term for pet care centers is generally ten years, with certain leases being shorter or longer, and many of these leases contain renewal options. The vast majority of pet care center leases, excluding renewal options, expire at various dates over the next ten years. Our pet care centers are generally located at sites co-anchored by strong destination stores. Most leases also require payment of property taxes, utilities, common area maintenance, and insurance as additional rent expenses. Furthermore, for certain leases, if annual sales exceed specified amounts, we also pay percentage rent as an additional rent expense.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We are involved in the legal proceedings described in Note 14, Commitments and Contingencies, in our consolidated financial statements included elsewhere in this Annual Report on Form 10-K, and we are subject to other claims and litigation arising in the ordinary course of business. The outcome of any litigation is inherently uncertain, and if decided adversely to us, or if we determine that settlement of particular litigation is appropriate, we may be subject to liability that could have a material adverse effect on our business. We believe that there are no pending lawsuits or claims that, individually or in the aggregate, may have a material effect on our business, financial condition or results of operations.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09" w:right="399" w:bottom="1440" w:gutter="0" w:footer="0" w:header="0"/>
        </w:sectPr>
      </w:pPr>
    </w:p>
    <w:bookmarkStart w:id="44" w:name="page45"/>
    <w:bookmarkEnd w:id="44"/>
    <w:p>
      <w:pPr>
        <w:ind w:left="5280"/>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33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121"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Our Class A common stock is currently listed on The Nasdaq Global Select Market under the ticker “WOOF” and began trading on January 14, 2021. Prior to that date, there was no public trading market for our Class A common stock. There is no public trading market for our Class B-1 common stock, par value $0.001 per share, or our Class B-2 common stock, par value $0.000001 per share.</w:t>
      </w:r>
    </w:p>
    <w:p>
      <w:pPr>
        <w:spacing w:after="0" w:line="2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Holders</w:t>
      </w:r>
    </w:p>
    <w:p>
      <w:pPr>
        <w:spacing w:after="0" w:line="121" w:lineRule="exact"/>
        <w:rPr>
          <w:sz w:val="20"/>
          <w:szCs w:val="20"/>
          <w:color w:val="auto"/>
        </w:rPr>
      </w:pPr>
    </w:p>
    <w:p>
      <w:pPr>
        <w:jc w:val="both"/>
        <w:ind w:right="260" w:firstLine="509"/>
        <w:spacing w:after="0" w:line="266" w:lineRule="auto"/>
        <w:rPr>
          <w:sz w:val="20"/>
          <w:szCs w:val="20"/>
          <w:color w:val="auto"/>
        </w:rPr>
      </w:pPr>
      <w:r>
        <w:rPr>
          <w:rFonts w:ascii="Times New Roman" w:cs="Times New Roman" w:eastAsia="Times New Roman" w:hAnsi="Times New Roman"/>
          <w:sz w:val="18"/>
          <w:szCs w:val="18"/>
          <w:color w:val="auto"/>
        </w:rPr>
        <w:t>As of March 11, 2026, there were 109 shareholders of record of our Class A common stock, one shareholder of record of our Class B-1 common stock, and two shareholders of record of our Class B-2 common stock. The number of record holders of our Class A common stock does not reflect the number of persons or entities holding their stock in “street” name through brokerage firms or other nominee holders.</w:t>
      </w:r>
    </w:p>
    <w:p>
      <w:pPr>
        <w:spacing w:after="0" w:line="2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Recent Sales of Unregistered Equity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We do not anticipate declaring or paying any cash dividends to holders of our Class A common stock in the foreseeable future. We currently intend to retain future earnings, if any, to finance the growth of our business and pay down our indebtedness. Our future dividend policy is within the discretion of our board of directors, subject to applicable law, and will depend upon then-existing conditions, including our results of operations, financial condition, capital requirements, investment opportunities, statutory restrictions on our ability to pay dividends and other factors our board of directors may deem relevant. Please read “Risk Factors—The agreements governing our indebtedness include restrictive covenants that limit our operating flexibility, which could harm our long-term interests,” and “Management’s Discussion and Analysis of Financial Condition and Results of Operations—Liquidity and Capital Resources” in this Annual Report on Form 10-K for descriptions of restrictions on our ability to pay dividends.</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89" w:right="379" w:bottom="1440" w:gutter="0" w:footer="0" w:header="0"/>
        </w:sectPr>
      </w:pPr>
    </w:p>
    <w:bookmarkStart w:id="45" w:name="page46"/>
    <w:bookmarkEnd w:id="45"/>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Performance Graph</w:t>
      </w:r>
    </w:p>
    <w:p>
      <w:pPr>
        <w:spacing w:after="0" w:line="229" w:lineRule="exact"/>
        <w:rPr>
          <w:sz w:val="20"/>
          <w:szCs w:val="20"/>
          <w:color w:val="auto"/>
        </w:rPr>
      </w:pPr>
    </w:p>
    <w:p>
      <w:pPr>
        <w:ind w:firstLine="469"/>
        <w:spacing w:after="0" w:line="258" w:lineRule="auto"/>
        <w:rPr>
          <w:sz w:val="20"/>
          <w:szCs w:val="20"/>
          <w:color w:val="auto"/>
        </w:rPr>
      </w:pPr>
      <w:r>
        <w:rPr>
          <w:rFonts w:ascii="Times New Roman" w:cs="Times New Roman" w:eastAsia="Times New Roman" w:hAnsi="Times New Roman"/>
          <w:sz w:val="18"/>
          <w:szCs w:val="18"/>
          <w:color w:val="auto"/>
        </w:rPr>
        <w:t>The graph below compares the cumulative total return on our Class A common stock with the cumulative total returns of the Nasdaq Composite index and S&amp;P Retail Select Industry index from January 30, 2021 through January 31, 2026. The graph assumes that the value of the investment in our Class A common stock and in each index (including reinvestment of dividends) was $100 on January 30, 2021 and tracks it through January 31, 2026. The comparisons in the graph below are based upon historical data and are not indicative of, nor intended to forecast, future performance of our 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1093470</wp:posOffset>
            </wp:positionH>
            <wp:positionV relativeFrom="paragraph">
              <wp:posOffset>-8255</wp:posOffset>
            </wp:positionV>
            <wp:extent cx="5254625" cy="46120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254625" cy="4612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3300" w:type="dxa"/>
            <w:vAlign w:val="bottom"/>
            <w:tcBorders>
              <w:top w:val="single" w:sz="8" w:color="auto"/>
              <w:bottom w:val="single" w:sz="8" w:color="auto"/>
            </w:tcBorders>
          </w:tcPr>
          <w:p>
            <w:pPr>
              <w:spacing w:after="0"/>
              <w:rPr>
                <w:sz w:val="14"/>
                <w:szCs w:val="14"/>
                <w:color w:val="auto"/>
              </w:rPr>
            </w:pPr>
          </w:p>
        </w:tc>
        <w:tc>
          <w:tcPr>
            <w:tcW w:w="1420" w:type="dxa"/>
            <w:vAlign w:val="bottom"/>
            <w:tcBorders>
              <w:top w:val="single" w:sz="8" w:color="auto"/>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1/30/21</w:t>
            </w:r>
          </w:p>
        </w:tc>
        <w:tc>
          <w:tcPr>
            <w:tcW w:w="880" w:type="dxa"/>
            <w:vAlign w:val="bottom"/>
            <w:tcBorders>
              <w:top w:val="single" w:sz="8" w:color="auto"/>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1/29/22</w:t>
            </w:r>
          </w:p>
        </w:tc>
        <w:tc>
          <w:tcPr>
            <w:tcW w:w="920" w:type="dxa"/>
            <w:vAlign w:val="bottom"/>
            <w:tcBorders>
              <w:top w:val="single" w:sz="8" w:color="auto"/>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1/28/23</w:t>
            </w:r>
          </w:p>
        </w:tc>
        <w:tc>
          <w:tcPr>
            <w:tcW w:w="900" w:type="dxa"/>
            <w:vAlign w:val="bottom"/>
            <w:tcBorders>
              <w:top w:val="single" w:sz="8" w:color="auto"/>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2/3/24</w:t>
            </w:r>
          </w:p>
        </w:tc>
        <w:tc>
          <w:tcPr>
            <w:tcW w:w="880" w:type="dxa"/>
            <w:vAlign w:val="bottom"/>
            <w:tcBorders>
              <w:top w:val="single" w:sz="8" w:color="auto"/>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2/1/25</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1/31/26</w:t>
            </w:r>
          </w:p>
        </w:tc>
      </w:tr>
      <w:tr>
        <w:trPr>
          <w:trHeight w:val="266"/>
        </w:trPr>
        <w:tc>
          <w:tcPr>
            <w:tcW w:w="33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Petco Health and Wellness Company Inc.</w:t>
            </w:r>
          </w:p>
        </w:tc>
        <w:tc>
          <w:tcPr>
            <w:tcW w:w="14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100.00</w:t>
            </w:r>
          </w:p>
        </w:tc>
        <w:tc>
          <w:tcPr>
            <w:tcW w:w="88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70.30</w:t>
            </w:r>
          </w:p>
        </w:tc>
        <w:tc>
          <w:tcPr>
            <w:tcW w:w="9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45.10</w:t>
            </w:r>
          </w:p>
        </w:tc>
        <w:tc>
          <w:tcPr>
            <w:tcW w:w="90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9.53</w:t>
            </w:r>
          </w:p>
        </w:tc>
        <w:tc>
          <w:tcPr>
            <w:tcW w:w="88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13.14</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10.33</w:t>
            </w:r>
          </w:p>
        </w:tc>
      </w:tr>
      <w:tr>
        <w:trPr>
          <w:trHeight w:val="148"/>
        </w:trPr>
        <w:tc>
          <w:tcPr>
            <w:tcW w:w="330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NASDAQ Composite</w:t>
            </w:r>
          </w:p>
        </w:tc>
        <w:tc>
          <w:tcPr>
            <w:tcW w:w="1420" w:type="dxa"/>
            <w:vAlign w:val="bottom"/>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100.00</w:t>
            </w:r>
          </w:p>
        </w:tc>
        <w:tc>
          <w:tcPr>
            <w:tcW w:w="880" w:type="dxa"/>
            <w:vAlign w:val="bottom"/>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109.65</w:t>
            </w:r>
          </w:p>
        </w:tc>
        <w:tc>
          <w:tcPr>
            <w:tcW w:w="920" w:type="dxa"/>
            <w:vAlign w:val="bottom"/>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89.97</w:t>
            </w:r>
          </w:p>
        </w:tc>
        <w:tc>
          <w:tcPr>
            <w:tcW w:w="900" w:type="dxa"/>
            <w:vAlign w:val="bottom"/>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118.75</w:t>
            </w:r>
          </w:p>
        </w:tc>
        <w:tc>
          <w:tcPr>
            <w:tcW w:w="880" w:type="dxa"/>
            <w:vAlign w:val="bottom"/>
          </w:tcPr>
          <w:p>
            <w:pPr>
              <w:jc w:val="right"/>
              <w:ind w:right="188"/>
              <w:spacing w:after="0" w:line="149" w:lineRule="exact"/>
              <w:rPr>
                <w:sz w:val="20"/>
                <w:szCs w:val="20"/>
                <w:color w:val="auto"/>
              </w:rPr>
            </w:pPr>
            <w:r>
              <w:rPr>
                <w:rFonts w:ascii="Times New Roman" w:cs="Times New Roman" w:eastAsia="Times New Roman" w:hAnsi="Times New Roman"/>
                <w:sz w:val="14"/>
                <w:szCs w:val="14"/>
                <w:color w:val="auto"/>
              </w:rPr>
              <w:t>154.81</w:t>
            </w: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186.26</w:t>
            </w:r>
          </w:p>
        </w:tc>
      </w:tr>
      <w:tr>
        <w:trPr>
          <w:trHeight w:val="190"/>
        </w:trPr>
        <w:tc>
          <w:tcPr>
            <w:tcW w:w="33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S&amp;P Retail Select Industry</w:t>
            </w:r>
          </w:p>
        </w:tc>
        <w:tc>
          <w:tcPr>
            <w:tcW w:w="14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100.00</w:t>
            </w:r>
          </w:p>
        </w:tc>
        <w:tc>
          <w:tcPr>
            <w:tcW w:w="88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94.78</w:t>
            </w:r>
          </w:p>
        </w:tc>
        <w:tc>
          <w:tcPr>
            <w:tcW w:w="9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83.11</w:t>
            </w:r>
          </w:p>
        </w:tc>
        <w:tc>
          <w:tcPr>
            <w:tcW w:w="90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82.46</w:t>
            </w:r>
          </w:p>
        </w:tc>
        <w:tc>
          <w:tcPr>
            <w:tcW w:w="88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98.38</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106.85</w:t>
            </w:r>
          </w:p>
        </w:tc>
      </w:tr>
    </w:tbl>
    <w:p>
      <w:pPr>
        <w:spacing w:after="0" w:line="89" w:lineRule="exact"/>
        <w:rPr>
          <w:sz w:val="20"/>
          <w:szCs w:val="20"/>
          <w:color w:val="auto"/>
        </w:rPr>
      </w:pPr>
    </w:p>
    <w:p>
      <w:pPr>
        <w:ind w:right="320" w:firstLine="509"/>
        <w:spacing w:after="0" w:line="301" w:lineRule="auto"/>
        <w:rPr>
          <w:sz w:val="20"/>
          <w:szCs w:val="20"/>
          <w:color w:val="auto"/>
        </w:rPr>
      </w:pPr>
      <w:r>
        <w:rPr>
          <w:rFonts w:ascii="Times New Roman" w:cs="Times New Roman" w:eastAsia="Times New Roman" w:hAnsi="Times New Roman"/>
          <w:sz w:val="16"/>
          <w:szCs w:val="16"/>
          <w:i w:val="1"/>
          <w:iCs w:val="1"/>
          <w:color w:val="auto"/>
        </w:rPr>
        <w:t>The above performance graph shall not be deemed "filed" for purposes of Section 18 of the Exchange Act, or incorporated by reference into any filing of Petco Health and Wellness Company, Inc. under the Securities Act or the Exchange Act, except as shall be expressly set forth by specific reference in such filing.</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2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089" w:right="41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21"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The following discussion and analysis of our financial condition and results of operations should be read in conjunction with our consolidated financial statements and the accompanying notes included elsewhere in this Annual Report on Form 10-K. The discussion and analysis below contains certain forward-looking statements about our business and operations that are subject to the risks, uncertainties, and other factors described in the section entitled “Risk Factors,” included in Part I, Item 1A, and elsewhere in this Annual Report on Form 10-K. These risks, uncertainties, and other factors could cause our actual results to differ materially from those expressed in, or implied by, the forward-looking statements. The risks described in documents we file from time to time with the U.S. Securities and Exchange Commission (the “SEC”), including the sections entitled “Cautionary Note Regarding Forward-Looking Statements” and “Risk Factors” in this Annual Report on Form 10-K, should be carefully reviewed.</w:t>
      </w:r>
    </w:p>
    <w:p>
      <w:pPr>
        <w:spacing w:after="0" w:line="2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jc w:val="both"/>
        <w:ind w:right="120" w:firstLine="509"/>
        <w:spacing w:after="0" w:line="266" w:lineRule="auto"/>
        <w:rPr>
          <w:sz w:val="20"/>
          <w:szCs w:val="20"/>
          <w:color w:val="auto"/>
        </w:rPr>
      </w:pPr>
      <w:r>
        <w:rPr>
          <w:rFonts w:ascii="Times New Roman" w:cs="Times New Roman" w:eastAsia="Times New Roman" w:hAnsi="Times New Roman"/>
          <w:sz w:val="18"/>
          <w:szCs w:val="18"/>
          <w:color w:val="auto"/>
        </w:rPr>
        <w:t>Petco Health and Wellness Company, Inc. (“Petco”, the “Company”, “we”, “our” and “us”) is a leading pet specialty retailer focused on improving the lives of pets, pet parents, and our own partners. We nurture the pet-human bond in the aisles of more than 1,500 Petco stores across the U.S., Mexico, Puerto Rico, and Chile.</w:t>
      </w:r>
    </w:p>
    <w:p>
      <w:pPr>
        <w:spacing w:after="0" w:line="68"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Our multicategory strategy integrates our digital assets with our nationwide physical footprint to meet the needs of pet parents who are looking for a single source for all their pets’ needs. Petco.com, our e-commerce site, and the Petco app, our personalized mobile app, together serve as hubs for pet parents to book appointments and manage all of their pets’ needs, while enabling them to shop wherever, whenever, and however they want. We are focused on continually improving both our digital capabilities as well as our membership offering.</w:t>
      </w:r>
    </w:p>
    <w:p>
      <w:pPr>
        <w:spacing w:after="0" w:line="7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strive to be a company that is improving millions of pet lives as well as the lives of pet parents and the partners who work for us. In tandem with Petco Love, an independent 501(c)(3) nonprofit organization, we work with and support thousands of local animal welfare groups nationwide and, through these partnerships and in-store adoption events, we have helped find homes for over 7 million animals.</w:t>
      </w:r>
    </w:p>
    <w:p>
      <w:pPr>
        <w:spacing w:after="0" w:line="176"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Our product offering leverages a broad assortment of national brands, owned brands, and exclusive merchandise, providing customers with a wide variety of nutritional options at a range of price points. Our product offering is complemented by a wide variety of pet care supplies and companion animals. We integrate our product offering with our services business, comprised of veterinary care, grooming, and training, with a focus on treating the whole pet, including their physical, mental, and social well-being. Further enhancing the customer experience, our over 26,000 knowledgeable, passionate partners in our pet care centers provide important high-quality advice to our customers.</w:t>
      </w:r>
    </w:p>
    <w:p>
      <w:pPr>
        <w:spacing w:after="0" w:line="183" w:lineRule="exact"/>
        <w:rPr>
          <w:sz w:val="20"/>
          <w:szCs w:val="20"/>
          <w:color w:val="auto"/>
        </w:rPr>
      </w:pPr>
    </w:p>
    <w:p>
      <w:pPr>
        <w:ind w:right="200" w:firstLine="509"/>
        <w:spacing w:after="0" w:line="261" w:lineRule="auto"/>
        <w:rPr>
          <w:sz w:val="20"/>
          <w:szCs w:val="20"/>
          <w:color w:val="auto"/>
        </w:rPr>
      </w:pPr>
      <w:r>
        <w:rPr>
          <w:rFonts w:ascii="Times New Roman" w:cs="Times New Roman" w:eastAsia="Times New Roman" w:hAnsi="Times New Roman"/>
          <w:sz w:val="18"/>
          <w:szCs w:val="18"/>
          <w:color w:val="auto"/>
        </w:rPr>
        <w:t>Macroeconomic factors, including interest rates, potential inflationary pressures, supply chain constraints, tariffs, and global economic and geopolitical developments, including geopolitical conflicts and tensions, have had varying impacts on our results of operations that are difficult to isolate and quantify. We cannot predict the duration or ultimate severity of these macroeconomic factors or the ultimate impact on our operations and liquidity. Please refer to the risk factors in Part I, Item 1A, "Risk Factors" of this Form 10-K.</w:t>
      </w:r>
    </w:p>
    <w:p>
      <w:pPr>
        <w:spacing w:after="0" w:line="284"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How We Assess the Performance of Our Business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assessing our performance, we consider a variety of performance and financial measures including the following:</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Comparable Sales</w:t>
      </w:r>
    </w:p>
    <w:p>
      <w:pPr>
        <w:spacing w:after="0" w:line="121"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Comparable sales is an important measure throughout the retail industry and includes both retail and digital sales of products and services. A new location or digital site is included in comparable sales beginning on the first day of the fiscal month following 12 full fiscal months of operation and is subsequently compared to like time periods from the previous year. Relocated pet care centers become comparable pet care centers on the first day of operation if the original pet care center was open longer than 12 full fiscal months. If, during the period presented, a pet care center was closed, sales from that pet care center are included up to the first day of the month of closing. There may be variations in the way in which some of our competitors and other retailers calculate comparable sales. As a result, data in this filing regarding our comparable sales may not be comparable to similar data made available by other retailers.</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47" w:name="page48"/>
    <w:bookmarkEnd w:id="47"/>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Comparable sales allow us to evaluate how our overall ecosystem is performing by measuring the change in period-over-period net sales from locations and digital sites that have been open for the applicable period. General macroeconomic and retail business trends are also a key driver of changes in comparable sales.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Non-GAAP Financial Measures</w:t>
      </w:r>
    </w:p>
    <w:p>
      <w:pPr>
        <w:spacing w:after="0" w:line="121"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Management and our board of directors review, in addition to GAAP (as defined herein) measures, certain non-GAAP financial measures, including Adjusted EBITDA and Free Cash Flow, to evaluate our operating performance, generate future operating plans, and make strategic decisions regarding the allocation of capital. Further explanations of these non-GAAP measures, along with reconciliations to their most comparable GAAP measures, are presented below under “Reconciliation of Non-GAAP Financial Measures to GAAP Measures.”</w:t>
      </w: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Factors Affecting Our Business</w:t>
      </w:r>
    </w:p>
    <w:p>
      <w:pPr>
        <w:spacing w:after="0" w:line="121"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We believe that our performance and future success depend on several factors that present significant opportunities for us but also pose risks and challenges, including those discussed below and in the section titled “Risk Factors” included in Part I, Item 1A of this Annual Report on Form 10-K.</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Pet Industry Trends</w:t>
      </w:r>
    </w:p>
    <w:p>
      <w:pPr>
        <w:spacing w:after="0" w:line="121"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The U.S. pet care industry is large, serving millions of households with pets, and has exhibited healthy growth over time driven by an increase in the pet population and ongoing trends in pet humanization and premiumization. Due to the essential, repeat nature of pet care, the industry has demonstrated resilience across economic cycles.</w:t>
      </w:r>
    </w:p>
    <w:p>
      <w:pPr>
        <w:spacing w:after="0" w:line="68"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In 2025, with new leadership in place, we embarked on a purposeful strategy to sharpen our fundamentals with a specific focus on driving improved profitability and cash flow. This strategy is anchored upon four key pillars: providing a trusted store experience for our customers; offering new, trend-driven products that complement our evergreen assortment; scaling our unique and competitively differentiated services offering; and powering it all with an integrated omni-channel experience driven by a revamped membership offering, repeat delivery, and seamless digital-to-store engagement.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Customer Pet Purchase Trends</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Our multi-channel ecosystem is designed to support our customers regardless of how customers choose to shop for their pet care needs. As we saw the major purchase trend shift and grow into areas like e-commerce, services, and veterinary care, we actively invested to build capabilities and offerings to capitalize on the opportunity. Our business will be impacted by our ability to continue to understand and timely react to changing customer purchase trends.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Customer Acquisition, Retention, and Spend</w:t>
      </w:r>
    </w:p>
    <w:p>
      <w:pPr>
        <w:spacing w:after="0" w:line="121"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Our business is impacted by our ability to successfully attract new customers to any one of our channels, build their loyalty to encourage return visits, and expand their spend with Petco across multiple purchase channels (e.g., pet care centers, e-commerce, and services) and categories (e.g., pet food, supplies, and companion animals). This is the primary focus of our customer engagement efforts from our differentiated digital engine, to marketing campaigns, and to new product introductions. The ability to convert more of our customers to loyal, multi-channel shoppers will positively effect business performance.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Innovation and Transformation</w:t>
      </w:r>
    </w:p>
    <w:p>
      <w:pPr>
        <w:spacing w:after="0" w:line="121"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We have made prudent investments to support our innovation and business transformation strategies. These investments have included: optimization of our veterinary footprint, digital and e-commerce integration; enhanced supply chain capacity including additional distribution centers; data analytical capabilities; technological enhancements; and marketing effectiveness.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Margin and Expense Management</w:t>
      </w:r>
    </w:p>
    <w:p>
      <w:pPr>
        <w:spacing w:after="0" w:line="121" w:lineRule="exact"/>
        <w:rPr>
          <w:sz w:val="20"/>
          <w:szCs w:val="20"/>
          <w:color w:val="auto"/>
        </w:rPr>
      </w:pPr>
    </w:p>
    <w:p>
      <w:pPr>
        <w:ind w:right="300" w:firstLine="509"/>
        <w:spacing w:after="0" w:line="266" w:lineRule="auto"/>
        <w:rPr>
          <w:sz w:val="20"/>
          <w:szCs w:val="20"/>
          <w:color w:val="auto"/>
        </w:rPr>
      </w:pPr>
      <w:r>
        <w:rPr>
          <w:rFonts w:ascii="Times New Roman" w:cs="Times New Roman" w:eastAsia="Times New Roman" w:hAnsi="Times New Roman"/>
          <w:sz w:val="18"/>
          <w:szCs w:val="18"/>
          <w:color w:val="auto"/>
        </w:rPr>
        <w:t>Our operating results are impacted by our ability to convert revenue into healthy gross margin and operating margin. There are many factors that impact gross margin results, including (but not limited to) pricing and promotion strategies, customer shipping preferences, sales mix of product, and potential tariffs. Along with</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48" w:name="page49"/>
    <w:bookmarkEnd w:id="48"/>
    <w:p>
      <w:pPr>
        <w:ind w:right="500"/>
        <w:spacing w:after="0" w:line="282" w:lineRule="auto"/>
        <w:rPr>
          <w:sz w:val="20"/>
          <w:szCs w:val="20"/>
          <w:color w:val="auto"/>
        </w:rPr>
      </w:pPr>
      <w:r>
        <w:rPr>
          <w:rFonts w:ascii="Times New Roman" w:cs="Times New Roman" w:eastAsia="Times New Roman" w:hAnsi="Times New Roman"/>
          <w:sz w:val="18"/>
          <w:szCs w:val="18"/>
          <w:color w:val="auto"/>
        </w:rPr>
        <w:t>managing gross margin, the other lever in delivering operating margin is expense management, which is impacted by our ability to implement cost optimization initiatives and find opportunities to operate more efficiently.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Talent and Culture</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We see our Petco partners as the core to building a purpose-driven performance culture. Our business results rely on our ability to continually: add talented partners, specifically in our scaling business areas like e-commerce, veterinary care, and grooming and training services; provide the best tools, partner training, and competitive compensation to deliver higher sales and better customer experiences; and engender a positive, collaborative, and respectful working environment. Our partners represent the strength of our brand every day and are key to our ongoing growth.</w:t>
      </w:r>
    </w:p>
    <w:p>
      <w:pPr>
        <w:spacing w:after="0" w:line="28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Significant Components of 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Sales</w:t>
      </w:r>
    </w:p>
    <w:p>
      <w:pPr>
        <w:spacing w:after="0" w:line="1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Our net sales comprise gross sales of products and services, net of sales tax and certain discounts and promotions offered to our customers,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including those offered under our customer loyalty programs. Net sales are driven by comparable sales, new pet center locations, and expanded offerings.</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Sales and Gross Profit</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Gross profit is equal to our net sales minus our cost of sales. Gross profit rate measures gross profit as a percentage of net sales.</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cost of sales includes the following types of expenses:</w:t>
      </w:r>
    </w:p>
    <w:p>
      <w:pPr>
        <w:spacing w:after="0" w:line="117" w:lineRule="exact"/>
        <w:rPr>
          <w:sz w:val="20"/>
          <w:szCs w:val="20"/>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 costs (net of vendor rebates, allowances, and discounts for products sold) including inbound freight charges;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shipping and handling costs associated with sales to customers;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freight costs associated with moving merchandise inventories;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inventory shrinkage costs and write-downs;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payroll and benefit costs of pet groomers, trainers, veterinarians, and other direct costs of services;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operating our distribution centers including payroll and benefits, occupancy costs, and depreciation.</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types of expenses are included in our selling, general, and administrative costs (“SG&amp;A”):</w:t>
      </w:r>
    </w:p>
    <w:p>
      <w:pPr>
        <w:spacing w:after="0" w:line="117" w:lineRule="exact"/>
        <w:rPr>
          <w:sz w:val="20"/>
          <w:szCs w:val="20"/>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payroll and benefit costs of pet care center employees and corporate employees;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occupancy and operating costs of pet care centers and corporate facilities;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depreciation and amortization related to pet care centers and corporate assets;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 card fees;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store pre-opening and remodeling costs;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advertising costs;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selling and administrative costs.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and Indefinite-Lived Intangible Impairment</w:t>
      </w:r>
    </w:p>
    <w:p>
      <w:pPr>
        <w:spacing w:after="0" w:line="121"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fiscal 2015 acquisition of us by our Sponsors, we recorded goodwill of approximately $3.0 billion and an indefinite-lived trade name asset of $1.1 billion. We evaluate these assets for impairment annually and whenever events or changes in circumstances indicate that the carrying value may not be recoverable.</w:t>
      </w:r>
    </w:p>
    <w:p>
      <w:pPr>
        <w:spacing w:after="0" w:line="17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201" w:right="519" w:bottom="1440" w:gutter="0" w:footer="0" w:header="0"/>
        </w:sectPr>
      </w:pPr>
    </w:p>
    <w:bookmarkStart w:id="49" w:name="page50"/>
    <w:bookmarkEnd w:id="49"/>
    <w:p>
      <w:pPr>
        <w:ind w:right="20"/>
        <w:spacing w:after="0" w:line="266" w:lineRule="auto"/>
        <w:rPr>
          <w:sz w:val="20"/>
          <w:szCs w:val="20"/>
          <w:color w:val="auto"/>
        </w:rPr>
      </w:pPr>
      <w:r>
        <w:rPr>
          <w:rFonts w:ascii="Times New Roman" w:cs="Times New Roman" w:eastAsia="Times New Roman" w:hAnsi="Times New Roman"/>
          <w:sz w:val="18"/>
          <w:szCs w:val="18"/>
          <w:color w:val="auto"/>
        </w:rPr>
        <w:t>During the third quarter of fiscal 2023, we concluded indicators of impairment existed due to declines in the Company’s share price, as well as current macroeconomic conditions, and performed an interim impairment test of our goodwill and indefinite-lived trade name, which resulted in a pre-tax goodwill impairment charge of $1,222.5 million. Please read the discussion of these assets under “Critical Accounting Policies and Estimates.”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29"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Our interest expense in fiscal 2023 through fiscal 2025 was primarily associated with our First Lien Term Loan, ABL Revolving Credit Facility, and interest rate hedges. Refer to the discussion under “Liquidity and Capital Resources—Sources of Liquidity” for further information.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 (Benefit)</w:t>
      </w:r>
    </w:p>
    <w:p>
      <w:pPr>
        <w:spacing w:after="0" w:line="121"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Income taxes consist of an estimate of federal and state income taxes based on enacted federal and state tax rates, as adjusted for allowable credits, deductions, and the valuation allowance against deferred tax assets, as applicable.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from Equity Method Investees</w:t>
      </w:r>
    </w:p>
    <w:p>
      <w:pPr>
        <w:spacing w:after="0" w:line="229"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Investments for which the Company exercises significant influence but does not have control are accounted for under the equity method. Equity method investment activity is primarily related to a 50% joint venture with Grupo Gigante, S.A.B. de C.V. (the “Mexico joint venture”) to establish Petco locations in Mexico and Chile. The Company’s share of the investee’s results is presented as either income or loss from equity method investees in the accompanying consolidated statements of operations.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50" w:name="page51"/>
    <w:bookmarkEnd w:id="50"/>
    <w:p>
      <w:pPr>
        <w:ind w:left="4840"/>
        <w:spacing w:after="0"/>
        <w:rPr>
          <w:sz w:val="20"/>
          <w:szCs w:val="20"/>
          <w:color w:val="auto"/>
        </w:rPr>
      </w:pPr>
      <w:r>
        <w:rPr>
          <w:rFonts w:ascii="Times New Roman" w:cs="Times New Roman" w:eastAsia="Times New Roman" w:hAnsi="Times New Roman"/>
          <w:sz w:val="18"/>
          <w:szCs w:val="18"/>
          <w:b w:val="1"/>
          <w:bCs w:val="1"/>
          <w:color w:val="auto"/>
        </w:rPr>
        <w:t>Executive Summary</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Comparing fiscal 2025 and fiscal 2024, our results included the following:</w:t>
      </w:r>
    </w:p>
    <w:p>
      <w:pPr>
        <w:spacing w:after="0" w:line="117" w:lineRule="exact"/>
        <w:rPr>
          <w:sz w:val="20"/>
          <w:szCs w:val="20"/>
          <w:color w:val="auto"/>
        </w:rPr>
      </w:pPr>
    </w:p>
    <w:p>
      <w:pPr>
        <w:ind w:left="1020" w:right="80" w:hanging="503"/>
        <w:spacing w:after="0" w:line="282"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net sales from $6.12 billion to $5.96 billion, representing a period-over-period decrease of 2.5% and comparable sales decrease of 1.6%;</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income of $120.4 million, compared to operating income of $7.1 million in the prior year period;</w:t>
      </w:r>
    </w:p>
    <w:p>
      <w:pPr>
        <w:spacing w:after="0" w:line="117" w:lineRule="exact"/>
        <w:rPr>
          <w:rFonts w:ascii="Times New Roman" w:cs="Times New Roman" w:eastAsia="Times New Roman" w:hAnsi="Times New Roman"/>
          <w:sz w:val="18"/>
          <w:szCs w:val="18"/>
          <w:color w:val="auto"/>
        </w:rPr>
      </w:pPr>
    </w:p>
    <w:p>
      <w:pPr>
        <w:ind w:left="1020" w:right="540" w:hanging="503"/>
        <w:spacing w:after="0" w:line="282"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attributable to Class A and B-1 common stockholders of $9.1 million, compared to net loss attributable to Class A and B-1 common stockholders of $101.8 million in the prior year,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Adjusted EBITDA from $336.5 million to $408.2 million.</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ind w:right="58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tables summarize our results of operations and the percent of net sales of line items included in our consolidated statements of operations (dollars in thousands):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0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3"/>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Fiscal years ended</w:t>
            </w:r>
          </w:p>
        </w:tc>
        <w:tc>
          <w:tcPr>
            <w:tcW w:w="1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17"/>
        </w:trPr>
        <w:tc>
          <w:tcPr>
            <w:tcW w:w="500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60" w:type="dxa"/>
            <w:vAlign w:val="bottom"/>
            <w:gridSpan w:val="2"/>
          </w:tcPr>
          <w:p>
            <w:pPr>
              <w:jc w:val="center"/>
              <w:ind w:right="340"/>
              <w:spacing w:after="0" w:line="118" w:lineRule="exact"/>
              <w:rPr>
                <w:sz w:val="20"/>
                <w:szCs w:val="20"/>
                <w:color w:val="auto"/>
              </w:rPr>
            </w:pPr>
            <w:r>
              <w:rPr>
                <w:rFonts w:ascii="Times New Roman" w:cs="Times New Roman" w:eastAsia="Times New Roman" w:hAnsi="Times New Roman"/>
                <w:sz w:val="13"/>
                <w:szCs w:val="13"/>
                <w:b w:val="1"/>
                <w:bCs w:val="1"/>
                <w:color w:val="auto"/>
              </w:rPr>
              <w:t>January 31,</w:t>
            </w: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40" w:type="dxa"/>
            <w:vAlign w:val="bottom"/>
            <w:gridSpan w:val="2"/>
          </w:tcPr>
          <w:p>
            <w:pPr>
              <w:jc w:val="center"/>
              <w:ind w:right="320"/>
              <w:spacing w:after="0" w:line="118" w:lineRule="exact"/>
              <w:rPr>
                <w:sz w:val="20"/>
                <w:szCs w:val="20"/>
                <w:color w:val="auto"/>
              </w:rPr>
            </w:pPr>
            <w:r>
              <w:rPr>
                <w:rFonts w:ascii="Times New Roman" w:cs="Times New Roman" w:eastAsia="Times New Roman" w:hAnsi="Times New Roman"/>
                <w:sz w:val="13"/>
                <w:szCs w:val="13"/>
                <w:b w:val="1"/>
                <w:bCs w:val="1"/>
                <w:color w:val="auto"/>
              </w:rPr>
              <w:t>February 1,</w:t>
            </w: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40" w:type="dxa"/>
            <w:vAlign w:val="bottom"/>
          </w:tcPr>
          <w:p>
            <w:pPr>
              <w:jc w:val="center"/>
              <w:ind w:right="113"/>
              <w:spacing w:after="0" w:line="118" w:lineRule="exact"/>
              <w:rPr>
                <w:sz w:val="20"/>
                <w:szCs w:val="20"/>
                <w:color w:val="auto"/>
              </w:rPr>
            </w:pPr>
            <w:r>
              <w:rPr>
                <w:rFonts w:ascii="Times New Roman" w:cs="Times New Roman" w:eastAsia="Times New Roman" w:hAnsi="Times New Roman"/>
                <w:sz w:val="13"/>
                <w:szCs w:val="13"/>
                <w:b w:val="1"/>
                <w:bCs w:val="1"/>
                <w:color w:val="auto"/>
              </w:rPr>
              <w:t>February 3,</w:t>
            </w:r>
          </w:p>
        </w:tc>
        <w:tc>
          <w:tcPr>
            <w:tcW w:w="100" w:type="dxa"/>
            <w:vAlign w:val="bottom"/>
          </w:tcPr>
          <w:p>
            <w:pPr>
              <w:spacing w:after="0"/>
              <w:rPr>
                <w:sz w:val="10"/>
                <w:szCs w:val="10"/>
                <w:color w:val="auto"/>
              </w:rPr>
            </w:pPr>
          </w:p>
        </w:tc>
      </w:tr>
      <w:tr>
        <w:trPr>
          <w:trHeight w:val="173"/>
        </w:trPr>
        <w:tc>
          <w:tcPr>
            <w:tcW w:w="50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133"/>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113"/>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1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r>
      <w:tr>
        <w:trPr>
          <w:trHeight w:val="142"/>
        </w:trPr>
        <w:tc>
          <w:tcPr>
            <w:tcW w:w="50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jc w:val="center"/>
              <w:ind w:right="133"/>
              <w:spacing w:after="0" w:line="142" w:lineRule="exact"/>
              <w:rPr>
                <w:sz w:val="20"/>
                <w:szCs w:val="20"/>
                <w:color w:val="auto"/>
              </w:rPr>
            </w:pPr>
            <w:r>
              <w:rPr>
                <w:rFonts w:ascii="Times New Roman" w:cs="Times New Roman" w:eastAsia="Times New Roman" w:hAnsi="Times New Roman"/>
                <w:sz w:val="14"/>
                <w:szCs w:val="14"/>
                <w:b w:val="1"/>
                <w:bCs w:val="1"/>
                <w:color w:val="auto"/>
              </w:rPr>
              <w:t>(52 weeks)</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jc w:val="center"/>
              <w:ind w:right="113"/>
              <w:spacing w:after="0" w:line="142" w:lineRule="exact"/>
              <w:rPr>
                <w:sz w:val="20"/>
                <w:szCs w:val="20"/>
                <w:color w:val="auto"/>
              </w:rPr>
            </w:pPr>
            <w:r>
              <w:rPr>
                <w:rFonts w:ascii="Times New Roman" w:cs="Times New Roman" w:eastAsia="Times New Roman" w:hAnsi="Times New Roman"/>
                <w:sz w:val="14"/>
                <w:szCs w:val="14"/>
                <w:b w:val="1"/>
                <w:bCs w:val="1"/>
                <w:color w:val="auto"/>
              </w:rPr>
              <w:t>(52 weeks)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tcPr>
          <w:p>
            <w:pPr>
              <w:jc w:val="center"/>
              <w:ind w:right="113"/>
              <w:spacing w:after="0" w:line="142" w:lineRule="exact"/>
              <w:rPr>
                <w:sz w:val="20"/>
                <w:szCs w:val="20"/>
                <w:color w:val="auto"/>
              </w:rPr>
            </w:pPr>
            <w:r>
              <w:rPr>
                <w:rFonts w:ascii="Times New Roman" w:cs="Times New Roman" w:eastAsia="Times New Roman" w:hAnsi="Times New Roman"/>
                <w:sz w:val="14"/>
                <w:szCs w:val="14"/>
                <w:b w:val="1"/>
                <w:bCs w:val="1"/>
                <w:color w:val="auto"/>
              </w:rPr>
              <w:t>(53 weeks)</w:t>
            </w:r>
          </w:p>
        </w:tc>
        <w:tc>
          <w:tcPr>
            <w:tcW w:w="100" w:type="dxa"/>
            <w:vAlign w:val="bottom"/>
          </w:tcPr>
          <w:p>
            <w:pPr>
              <w:spacing w:after="0"/>
              <w:rPr>
                <w:sz w:val="12"/>
                <w:szCs w:val="12"/>
                <w:color w:val="auto"/>
              </w:rPr>
            </w:pPr>
          </w:p>
        </w:tc>
      </w:tr>
      <w:tr>
        <w:trPr>
          <w:trHeight w:val="216"/>
        </w:trPr>
        <w:tc>
          <w:tcPr>
            <w:tcW w:w="5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sales:</w:t>
            </w:r>
          </w:p>
        </w:tc>
        <w:tc>
          <w:tcPr>
            <w:tcW w:w="16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0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Products</w:t>
            </w:r>
          </w:p>
        </w:tc>
        <w:tc>
          <w:tcPr>
            <w:tcW w:w="1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4,936,323</w:t>
            </w:r>
          </w:p>
        </w:tc>
        <w:tc>
          <w:tcPr>
            <w:tcW w:w="120" w:type="dxa"/>
            <w:vAlign w:val="bottom"/>
          </w:tcPr>
          <w:p>
            <w:pPr>
              <w:spacing w:after="0"/>
              <w:rPr>
                <w:sz w:val="18"/>
                <w:szCs w:val="18"/>
                <w:color w:val="auto"/>
              </w:rPr>
            </w:pPr>
          </w:p>
        </w:tc>
        <w:tc>
          <w:tcPr>
            <w:tcW w:w="34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5,116,891</w:t>
            </w:r>
          </w:p>
        </w:tc>
        <w:tc>
          <w:tcPr>
            <w:tcW w:w="120" w:type="dxa"/>
            <w:vAlign w:val="bottom"/>
          </w:tcPr>
          <w:p>
            <w:pPr>
              <w:spacing w:after="0"/>
              <w:rPr>
                <w:sz w:val="18"/>
                <w:szCs w:val="18"/>
                <w:color w:val="auto"/>
              </w:rPr>
            </w:pP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5,273,710</w:t>
            </w:r>
          </w:p>
        </w:tc>
        <w:tc>
          <w:tcPr>
            <w:tcW w:w="100" w:type="dxa"/>
            <w:vAlign w:val="bottom"/>
          </w:tcPr>
          <w:p>
            <w:pPr>
              <w:spacing w:after="0"/>
              <w:rPr>
                <w:sz w:val="18"/>
                <w:szCs w:val="18"/>
                <w:color w:val="auto"/>
              </w:rPr>
            </w:pPr>
          </w:p>
        </w:tc>
      </w:tr>
      <w:tr>
        <w:trPr>
          <w:trHeight w:val="216"/>
        </w:trPr>
        <w:tc>
          <w:tcPr>
            <w:tcW w:w="500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Services and other</w:t>
            </w:r>
          </w:p>
        </w:tc>
        <w:tc>
          <w:tcPr>
            <w:tcW w:w="16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1,025,144</w:t>
            </w:r>
          </w:p>
        </w:tc>
        <w:tc>
          <w:tcPr>
            <w:tcW w:w="1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999,571</w:t>
            </w: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981,574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5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net sales</w:t>
            </w:r>
          </w:p>
        </w:tc>
        <w:tc>
          <w:tcPr>
            <w:tcW w:w="1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5,961,467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6,116,462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6,255,284</w:t>
            </w:r>
          </w:p>
        </w:tc>
        <w:tc>
          <w:tcPr>
            <w:tcW w:w="100" w:type="dxa"/>
            <w:vAlign w:val="bottom"/>
          </w:tcPr>
          <w:p>
            <w:pPr>
              <w:spacing w:after="0"/>
              <w:rPr>
                <w:sz w:val="18"/>
                <w:szCs w:val="18"/>
                <w:color w:val="auto"/>
              </w:rPr>
            </w:pPr>
          </w:p>
        </w:tc>
      </w:tr>
      <w:tr>
        <w:trPr>
          <w:trHeight w:val="216"/>
        </w:trPr>
        <w:tc>
          <w:tcPr>
            <w:tcW w:w="5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6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0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Products</w:t>
            </w:r>
          </w:p>
        </w:tc>
        <w:tc>
          <w:tcPr>
            <w:tcW w:w="1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3,028,909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3,173,269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3,269,628</w:t>
            </w:r>
          </w:p>
        </w:tc>
        <w:tc>
          <w:tcPr>
            <w:tcW w:w="100" w:type="dxa"/>
            <w:vAlign w:val="bottom"/>
          </w:tcPr>
          <w:p>
            <w:pPr>
              <w:spacing w:after="0"/>
              <w:rPr>
                <w:sz w:val="18"/>
                <w:szCs w:val="18"/>
                <w:color w:val="auto"/>
              </w:rPr>
            </w:pPr>
          </w:p>
        </w:tc>
      </w:tr>
      <w:tr>
        <w:trPr>
          <w:trHeight w:val="216"/>
        </w:trPr>
        <w:tc>
          <w:tcPr>
            <w:tcW w:w="500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Services and other</w:t>
            </w:r>
          </w:p>
        </w:tc>
        <w:tc>
          <w:tcPr>
            <w:tcW w:w="16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627,486</w:t>
            </w:r>
          </w:p>
        </w:tc>
        <w:tc>
          <w:tcPr>
            <w:tcW w:w="1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618,791</w:t>
            </w: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631,821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5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cost of sales</w:t>
            </w:r>
          </w:p>
        </w:tc>
        <w:tc>
          <w:tcPr>
            <w:tcW w:w="16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3,656,395</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3,792,060</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3,901,449</w:t>
            </w:r>
          </w:p>
        </w:tc>
        <w:tc>
          <w:tcPr>
            <w:tcW w:w="100" w:type="dxa"/>
            <w:vAlign w:val="bottom"/>
          </w:tcPr>
          <w:p>
            <w:pPr>
              <w:spacing w:after="0"/>
              <w:rPr>
                <w:sz w:val="18"/>
                <w:szCs w:val="18"/>
                <w:color w:val="auto"/>
              </w:rPr>
            </w:pPr>
          </w:p>
        </w:tc>
      </w:tr>
      <w:tr>
        <w:trPr>
          <w:trHeight w:val="210"/>
        </w:trPr>
        <w:tc>
          <w:tcPr>
            <w:tcW w:w="50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Gross profit</w:t>
            </w:r>
          </w:p>
        </w:tc>
        <w:tc>
          <w:tcPr>
            <w:tcW w:w="16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2,305,072</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2,324,402</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2,353,835</w:t>
            </w:r>
          </w:p>
        </w:tc>
        <w:tc>
          <w:tcPr>
            <w:tcW w:w="100" w:type="dxa"/>
            <w:vAlign w:val="bottom"/>
            <w:shd w:val="clear" w:color="auto" w:fill="CFF0FC"/>
          </w:tcPr>
          <w:p>
            <w:pPr>
              <w:spacing w:after="0"/>
              <w:rPr>
                <w:sz w:val="18"/>
                <w:szCs w:val="18"/>
                <w:color w:val="auto"/>
              </w:rPr>
            </w:pPr>
          </w:p>
        </w:tc>
      </w:tr>
      <w:tr>
        <w:trPr>
          <w:trHeight w:val="216"/>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2,184,639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2,317,351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2,311,625</w:t>
            </w:r>
          </w:p>
        </w:tc>
        <w:tc>
          <w:tcPr>
            <w:tcW w:w="100" w:type="dxa"/>
            <w:vAlign w:val="bottom"/>
          </w:tcPr>
          <w:p>
            <w:pPr>
              <w:spacing w:after="0"/>
              <w:rPr>
                <w:sz w:val="18"/>
                <w:szCs w:val="18"/>
                <w:color w:val="auto"/>
              </w:rPr>
            </w:pPr>
          </w:p>
        </w:tc>
      </w:tr>
      <w:tr>
        <w:trPr>
          <w:trHeight w:val="216"/>
        </w:trPr>
        <w:tc>
          <w:tcPr>
            <w:tcW w:w="50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Goodwill impairment</w:t>
            </w:r>
          </w:p>
        </w:tc>
        <w:tc>
          <w:tcPr>
            <w:tcW w:w="16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1,222,524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50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Operating income (loss)</w:t>
            </w:r>
          </w:p>
        </w:tc>
        <w:tc>
          <w:tcPr>
            <w:tcW w:w="1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120,433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(1,180,314)</w:t>
            </w:r>
          </w:p>
        </w:tc>
      </w:tr>
      <w:tr>
        <w:trPr>
          <w:trHeight w:val="216"/>
        </w:trPr>
        <w:tc>
          <w:tcPr>
            <w:tcW w:w="5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6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(6,305)</w:t>
            </w: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(3,714)</w:t>
            </w: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(3,405)</w:t>
            </w:r>
          </w:p>
        </w:tc>
      </w:tr>
      <w:tr>
        <w:trPr>
          <w:trHeight w:val="216"/>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131,199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143,531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150,909</w:t>
            </w:r>
          </w:p>
        </w:tc>
        <w:tc>
          <w:tcPr>
            <w:tcW w:w="100" w:type="dxa"/>
            <w:vAlign w:val="bottom"/>
          </w:tcPr>
          <w:p>
            <w:pPr>
              <w:spacing w:after="0"/>
              <w:rPr>
                <w:sz w:val="18"/>
                <w:szCs w:val="18"/>
                <w:color w:val="auto"/>
              </w:rPr>
            </w:pPr>
          </w:p>
        </w:tc>
      </w:tr>
      <w:tr>
        <w:trPr>
          <w:trHeight w:val="216"/>
        </w:trPr>
        <w:tc>
          <w:tcPr>
            <w:tcW w:w="5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on partial extinguishment of debt</w:t>
            </w:r>
          </w:p>
        </w:tc>
        <w:tc>
          <w:tcPr>
            <w:tcW w:w="16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920</w:t>
            </w:r>
          </w:p>
        </w:tc>
        <w:tc>
          <w:tcPr>
            <w:tcW w:w="100" w:type="dxa"/>
            <w:vAlign w:val="bottom"/>
            <w:shd w:val="clear" w:color="auto" w:fill="CFF0FC"/>
          </w:tcPr>
          <w:p>
            <w:pPr>
              <w:spacing w:after="0"/>
              <w:rPr>
                <w:sz w:val="18"/>
                <w:szCs w:val="18"/>
                <w:color w:val="auto"/>
              </w:rPr>
            </w:pPr>
          </w:p>
        </w:tc>
      </w:tr>
      <w:tr>
        <w:trPr>
          <w:trHeight w:val="216"/>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Other non-operating income</w:t>
            </w:r>
          </w:p>
        </w:tc>
        <w:tc>
          <w:tcPr>
            <w:tcW w:w="1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(4,800)</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(4,727)</w:t>
            </w:r>
          </w:p>
        </w:tc>
      </w:tr>
      <w:tr>
        <w:trPr>
          <w:trHeight w:val="191"/>
        </w:trPr>
        <w:tc>
          <w:tcPr>
            <w:tcW w:w="5000" w:type="dxa"/>
            <w:vAlign w:val="bottom"/>
            <w:shd w:val="clear" w:color="auto" w:fill="CFF0FC"/>
          </w:tcPr>
          <w:p>
            <w:pPr>
              <w:ind w:left="240"/>
              <w:spacing w:after="0" w:line="191" w:lineRule="exact"/>
              <w:rPr>
                <w:sz w:val="20"/>
                <w:szCs w:val="20"/>
                <w:color w:val="auto"/>
              </w:rPr>
            </w:pPr>
            <w:r>
              <w:rPr>
                <w:rFonts w:ascii="Times New Roman" w:cs="Times New Roman" w:eastAsia="Times New Roman" w:hAnsi="Times New Roman"/>
                <w:sz w:val="18"/>
                <w:szCs w:val="18"/>
                <w:color w:val="auto"/>
              </w:rPr>
              <w:t>Loss before income taxes and income from</w:t>
            </w:r>
          </w:p>
        </w:tc>
        <w:tc>
          <w:tcPr>
            <w:tcW w:w="1640" w:type="dxa"/>
            <w:vAlign w:val="bottom"/>
            <w:shd w:val="clear" w:color="auto" w:fill="CFF0FC"/>
          </w:tcPr>
          <w:p>
            <w:pPr>
              <w:spacing w:after="0"/>
              <w:rPr>
                <w:sz w:val="16"/>
                <w:szCs w:val="16"/>
                <w:color w:val="auto"/>
              </w:rPr>
            </w:pPr>
          </w:p>
        </w:tc>
        <w:tc>
          <w:tcPr>
            <w:tcW w:w="200" w:type="dxa"/>
            <w:vAlign w:val="bottom"/>
            <w:tcBorders>
              <w:top w:val="single" w:sz="8" w:color="auto"/>
            </w:tcBorders>
            <w:shd w:val="clear" w:color="auto" w:fill="CFF0FC"/>
          </w:tcPr>
          <w:p>
            <w:pPr>
              <w:spacing w:after="0"/>
              <w:rPr>
                <w:sz w:val="16"/>
                <w:szCs w:val="16"/>
                <w:color w:val="auto"/>
              </w:rPr>
            </w:pPr>
          </w:p>
        </w:tc>
        <w:tc>
          <w:tcPr>
            <w:tcW w:w="1140" w:type="dxa"/>
            <w:vAlign w:val="bottom"/>
            <w:tcBorders>
              <w:top w:val="single" w:sz="8" w:color="auto"/>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80" w:type="dxa"/>
            <w:vAlign w:val="bottom"/>
            <w:tcBorders>
              <w:top w:val="single" w:sz="8" w:color="auto"/>
            </w:tcBorders>
            <w:shd w:val="clear" w:color="auto" w:fill="CFF0FC"/>
          </w:tcPr>
          <w:p>
            <w:pPr>
              <w:spacing w:after="0"/>
              <w:rPr>
                <w:sz w:val="16"/>
                <w:szCs w:val="16"/>
                <w:color w:val="auto"/>
              </w:rPr>
            </w:pPr>
          </w:p>
        </w:tc>
        <w:tc>
          <w:tcPr>
            <w:tcW w:w="1120" w:type="dxa"/>
            <w:vAlign w:val="bottom"/>
            <w:tcBorders>
              <w:top w:val="single" w:sz="8" w:color="auto"/>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80" w:type="dxa"/>
            <w:vAlign w:val="bottom"/>
            <w:tcBorders>
              <w:top w:val="single" w:sz="8" w:color="auto"/>
            </w:tcBorders>
            <w:shd w:val="clear" w:color="auto" w:fill="CFF0FC"/>
          </w:tcPr>
          <w:p>
            <w:pPr>
              <w:spacing w:after="0"/>
              <w:rPr>
                <w:sz w:val="16"/>
                <w:szCs w:val="16"/>
                <w:color w:val="auto"/>
              </w:rPr>
            </w:pPr>
          </w:p>
        </w:tc>
        <w:tc>
          <w:tcPr>
            <w:tcW w:w="1140" w:type="dxa"/>
            <w:vAlign w:val="bottom"/>
            <w:tcBorders>
              <w:top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34"/>
        </w:trPr>
        <w:tc>
          <w:tcPr>
            <w:tcW w:w="50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equity method investees</w:t>
            </w:r>
          </w:p>
        </w:tc>
        <w:tc>
          <w:tcPr>
            <w:tcW w:w="16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(5,026)</w:t>
            </w:r>
          </w:p>
        </w:tc>
        <w:tc>
          <w:tcPr>
            <w:tcW w:w="1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(127,966)</w:t>
            </w:r>
          </w:p>
        </w:tc>
        <w:tc>
          <w:tcPr>
            <w:tcW w:w="1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(1,324,011)</w:t>
            </w:r>
          </w:p>
        </w:tc>
      </w:tr>
      <w:tr>
        <w:trPr>
          <w:trHeight w:val="216"/>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(7,481)</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(27,613)</w:t>
            </w:r>
          </w:p>
        </w:tc>
      </w:tr>
      <w:tr>
        <w:trPr>
          <w:trHeight w:val="216"/>
        </w:trPr>
        <w:tc>
          <w:tcPr>
            <w:tcW w:w="5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from equity method investees</w:t>
            </w:r>
          </w:p>
        </w:tc>
        <w:tc>
          <w:tcPr>
            <w:tcW w:w="16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(20,358)</w:t>
            </w: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(18,669)</w:t>
            </w: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(16,188)</w:t>
            </w:r>
          </w:p>
        </w:tc>
      </w:tr>
      <w:tr>
        <w:trPr>
          <w:trHeight w:val="191"/>
        </w:trPr>
        <w:tc>
          <w:tcPr>
            <w:tcW w:w="5000" w:type="dxa"/>
            <w:vAlign w:val="bottom"/>
            <w:tcBorders>
              <w:top w:val="single" w:sz="8" w:color="CFF0FC"/>
            </w:tcBorders>
          </w:tcPr>
          <w:p>
            <w:pPr>
              <w:ind w:left="240"/>
              <w:spacing w:after="0" w:line="191" w:lineRule="exact"/>
              <w:rPr>
                <w:sz w:val="20"/>
                <w:szCs w:val="20"/>
                <w:color w:val="auto"/>
              </w:rPr>
            </w:pPr>
            <w:r>
              <w:rPr>
                <w:rFonts w:ascii="Times New Roman" w:cs="Times New Roman" w:eastAsia="Times New Roman" w:hAnsi="Times New Roman"/>
                <w:sz w:val="18"/>
                <w:szCs w:val="18"/>
                <w:color w:val="auto"/>
              </w:rPr>
              <w:t>Net income (loss) attributable to Class A and B-1 common</w:t>
            </w:r>
          </w:p>
        </w:tc>
        <w:tc>
          <w:tcPr>
            <w:tcW w:w="1640" w:type="dxa"/>
            <w:vAlign w:val="bottom"/>
            <w:tcBorders>
              <w:top w:val="single" w:sz="8" w:color="CFF0FC"/>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20" w:type="dxa"/>
            <w:vAlign w:val="bottom"/>
            <w:tcBorders>
              <w:top w:val="single" w:sz="8" w:color="CFF0FC"/>
            </w:tcBorders>
          </w:tcPr>
          <w:p>
            <w:pPr>
              <w:spacing w:after="0"/>
              <w:rPr>
                <w:sz w:val="16"/>
                <w:szCs w:val="16"/>
                <w:color w:val="auto"/>
              </w:rPr>
            </w:pPr>
          </w:p>
        </w:tc>
        <w:tc>
          <w:tcPr>
            <w:tcW w:w="160" w:type="dxa"/>
            <w:vAlign w:val="bottom"/>
            <w:tcBorders>
              <w:top w:val="single" w:sz="8" w:color="CFF0FC"/>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20" w:type="dxa"/>
            <w:vAlign w:val="bottom"/>
            <w:tcBorders>
              <w:top w:val="single" w:sz="8" w:color="CFF0FC"/>
            </w:tcBorders>
          </w:tcPr>
          <w:p>
            <w:pPr>
              <w:spacing w:after="0"/>
              <w:rPr>
                <w:sz w:val="16"/>
                <w:szCs w:val="16"/>
                <w:color w:val="auto"/>
              </w:rPr>
            </w:pPr>
          </w:p>
        </w:tc>
        <w:tc>
          <w:tcPr>
            <w:tcW w:w="140" w:type="dxa"/>
            <w:vAlign w:val="bottom"/>
            <w:tcBorders>
              <w:top w:val="single" w:sz="8" w:color="CFF0FC"/>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00" w:type="dxa"/>
            <w:vAlign w:val="bottom"/>
            <w:tcBorders>
              <w:top w:val="single" w:sz="8" w:color="CFF0FC"/>
            </w:tcBorders>
          </w:tcPr>
          <w:p>
            <w:pPr>
              <w:spacing w:after="0"/>
              <w:rPr>
                <w:sz w:val="16"/>
                <w:szCs w:val="16"/>
                <w:color w:val="auto"/>
              </w:rPr>
            </w:pPr>
          </w:p>
        </w:tc>
      </w:tr>
      <w:tr>
        <w:trPr>
          <w:trHeight w:val="234"/>
        </w:trPr>
        <w:tc>
          <w:tcPr>
            <w:tcW w:w="5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stockholders</w:t>
            </w:r>
          </w:p>
        </w:tc>
        <w:tc>
          <w:tcPr>
            <w:tcW w:w="1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9,066</w:t>
            </w:r>
          </w:p>
        </w:tc>
        <w:tc>
          <w:tcPr>
            <w:tcW w:w="120" w:type="dxa"/>
            <w:vAlign w:val="bottom"/>
          </w:tcPr>
          <w:p>
            <w:pPr>
              <w:spacing w:after="0"/>
              <w:rPr>
                <w:sz w:val="20"/>
                <w:szCs w:val="20"/>
                <w:color w:val="auto"/>
              </w:rPr>
            </w:pPr>
          </w:p>
        </w:tc>
        <w:tc>
          <w:tcPr>
            <w:tcW w:w="34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(101,816)</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(1,280,210)</w:t>
            </w:r>
          </w:p>
        </w:tc>
      </w:tr>
      <w:tr>
        <w:trPr>
          <w:trHeight w:val="648"/>
        </w:trPr>
        <w:tc>
          <w:tcPr>
            <w:tcW w:w="5000" w:type="dxa"/>
            <w:vAlign w:val="bottom"/>
          </w:tcPr>
          <w:p>
            <w:pPr>
              <w:spacing w:after="0"/>
              <w:rPr>
                <w:sz w:val="24"/>
                <w:szCs w:val="24"/>
                <w:color w:val="auto"/>
              </w:rPr>
            </w:pPr>
          </w:p>
        </w:tc>
        <w:tc>
          <w:tcPr>
            <w:tcW w:w="164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50</w:t>
            </w: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63"/>
        </w:trPr>
        <w:tc>
          <w:tcPr>
            <w:tcW w:w="500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-3565525</wp:posOffset>
            </wp:positionV>
            <wp:extent cx="7683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-3565525</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-3565525</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-3007995</wp:posOffset>
            </wp:positionV>
            <wp:extent cx="7683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-3007995</wp:posOffset>
            </wp:positionV>
            <wp:extent cx="6858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-3007995</wp:posOffset>
            </wp:positionV>
            <wp:extent cx="6858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-2442210</wp:posOffset>
            </wp:positionV>
            <wp:extent cx="7683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-2442210</wp:posOffset>
            </wp:positionV>
            <wp:extent cx="6858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-2442210</wp:posOffset>
            </wp:positionV>
            <wp:extent cx="6858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-1190625</wp:posOffset>
            </wp:positionV>
            <wp:extent cx="7683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-1190625</wp:posOffset>
            </wp:positionV>
            <wp:extent cx="6858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-1190625</wp:posOffset>
            </wp:positionV>
            <wp:extent cx="6858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173"/>
        </w:trPr>
        <w:tc>
          <w:tcPr>
            <w:tcW w:w="63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5"/>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Fiscal years ended</w:t>
            </w:r>
          </w:p>
        </w:tc>
        <w:tc>
          <w:tcPr>
            <w:tcW w:w="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117"/>
        </w:trPr>
        <w:tc>
          <w:tcPr>
            <w:tcW w:w="6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80" w:type="dxa"/>
            <w:vAlign w:val="bottom"/>
            <w:gridSpan w:val="3"/>
          </w:tcPr>
          <w:p>
            <w:pPr>
              <w:jc w:val="center"/>
              <w:ind w:right="540"/>
              <w:spacing w:after="0" w:line="118" w:lineRule="exact"/>
              <w:rPr>
                <w:sz w:val="20"/>
                <w:szCs w:val="20"/>
                <w:color w:val="auto"/>
              </w:rPr>
            </w:pPr>
            <w:r>
              <w:rPr>
                <w:rFonts w:ascii="Times New Roman" w:cs="Times New Roman" w:eastAsia="Times New Roman" w:hAnsi="Times New Roman"/>
                <w:sz w:val="13"/>
                <w:szCs w:val="13"/>
                <w:b w:val="1"/>
                <w:bCs w:val="1"/>
                <w:color w:val="auto"/>
              </w:rPr>
              <w:t>January 31,</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20" w:type="dxa"/>
            <w:vAlign w:val="bottom"/>
            <w:gridSpan w:val="3"/>
          </w:tcPr>
          <w:p>
            <w:pPr>
              <w:jc w:val="center"/>
              <w:ind w:right="620"/>
              <w:spacing w:after="0" w:line="118" w:lineRule="exact"/>
              <w:rPr>
                <w:sz w:val="20"/>
                <w:szCs w:val="20"/>
                <w:color w:val="auto"/>
              </w:rPr>
            </w:pPr>
            <w:r>
              <w:rPr>
                <w:rFonts w:ascii="Times New Roman" w:cs="Times New Roman" w:eastAsia="Times New Roman" w:hAnsi="Times New Roman"/>
                <w:sz w:val="13"/>
                <w:szCs w:val="13"/>
                <w:b w:val="1"/>
                <w:bCs w:val="1"/>
                <w:color w:val="auto"/>
              </w:rPr>
              <w:t>February 1,</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00" w:type="dxa"/>
            <w:vAlign w:val="bottom"/>
          </w:tcPr>
          <w:p>
            <w:pPr>
              <w:jc w:val="center"/>
              <w:ind w:right="174"/>
              <w:spacing w:after="0" w:line="118" w:lineRule="exact"/>
              <w:rPr>
                <w:sz w:val="20"/>
                <w:szCs w:val="20"/>
                <w:color w:val="auto"/>
              </w:rPr>
            </w:pPr>
            <w:r>
              <w:rPr>
                <w:rFonts w:ascii="Times New Roman" w:cs="Times New Roman" w:eastAsia="Times New Roman" w:hAnsi="Times New Roman"/>
                <w:sz w:val="13"/>
                <w:szCs w:val="13"/>
                <w:b w:val="1"/>
                <w:bCs w:val="1"/>
                <w:color w:val="auto"/>
              </w:rPr>
              <w:t>February 3,</w:t>
            </w: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r>
      <w:tr>
        <w:trPr>
          <w:trHeight w:val="173"/>
        </w:trPr>
        <w:tc>
          <w:tcPr>
            <w:tcW w:w="63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174"/>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194"/>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174"/>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142"/>
        </w:trPr>
        <w:tc>
          <w:tcPr>
            <w:tcW w:w="6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jc w:val="center"/>
              <w:ind w:right="174"/>
              <w:spacing w:after="0" w:line="142" w:lineRule="exact"/>
              <w:rPr>
                <w:sz w:val="20"/>
                <w:szCs w:val="20"/>
                <w:color w:val="auto"/>
              </w:rPr>
            </w:pPr>
            <w:r>
              <w:rPr>
                <w:rFonts w:ascii="Times New Roman" w:cs="Times New Roman" w:eastAsia="Times New Roman" w:hAnsi="Times New Roman"/>
                <w:sz w:val="14"/>
                <w:szCs w:val="14"/>
                <w:b w:val="1"/>
                <w:bCs w:val="1"/>
                <w:color w:val="auto"/>
              </w:rPr>
              <w:t>(52 weeks)</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jc w:val="center"/>
              <w:ind w:right="194"/>
              <w:spacing w:after="0" w:line="142" w:lineRule="exact"/>
              <w:rPr>
                <w:sz w:val="20"/>
                <w:szCs w:val="20"/>
                <w:color w:val="auto"/>
              </w:rPr>
            </w:pPr>
            <w:r>
              <w:rPr>
                <w:rFonts w:ascii="Times New Roman" w:cs="Times New Roman" w:eastAsia="Times New Roman" w:hAnsi="Times New Roman"/>
                <w:sz w:val="14"/>
                <w:szCs w:val="14"/>
                <w:b w:val="1"/>
                <w:bCs w:val="1"/>
                <w:color w:val="auto"/>
              </w:rPr>
              <w:t>(52 weeks)</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jc w:val="center"/>
              <w:ind w:right="174"/>
              <w:spacing w:after="0" w:line="142" w:lineRule="exact"/>
              <w:rPr>
                <w:sz w:val="20"/>
                <w:szCs w:val="20"/>
                <w:color w:val="auto"/>
              </w:rPr>
            </w:pPr>
            <w:r>
              <w:rPr>
                <w:rFonts w:ascii="Times New Roman" w:cs="Times New Roman" w:eastAsia="Times New Roman" w:hAnsi="Times New Roman"/>
                <w:sz w:val="14"/>
                <w:szCs w:val="14"/>
                <w:b w:val="1"/>
                <w:bCs w:val="1"/>
                <w:color w:val="auto"/>
              </w:rPr>
              <w:t>(53 weeks)</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216"/>
        </w:trPr>
        <w:tc>
          <w:tcPr>
            <w:tcW w:w="6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sales:</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16"/>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Products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82.8%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83.7%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84.3%</w:t>
            </w:r>
          </w:p>
        </w:tc>
      </w:tr>
      <w:tr>
        <w:trPr>
          <w:trHeight w:val="216"/>
        </w:trPr>
        <w:tc>
          <w:tcPr>
            <w:tcW w:w="63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Services and other</w:t>
            </w:r>
          </w:p>
        </w:tc>
        <w:tc>
          <w:tcPr>
            <w:tcW w:w="100" w:type="dxa"/>
            <w:vAlign w:val="bottom"/>
            <w:tcBorders>
              <w:bottom w:val="single" w:sz="8" w:color="auto"/>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r>
      <w:tr>
        <w:trPr>
          <w:trHeight w:val="209"/>
        </w:trPr>
        <w:tc>
          <w:tcPr>
            <w:tcW w:w="6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net sales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6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16"/>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Products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63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Services and other</w:t>
            </w:r>
          </w:p>
        </w:tc>
        <w:tc>
          <w:tcPr>
            <w:tcW w:w="100" w:type="dxa"/>
            <w:vAlign w:val="bottom"/>
            <w:tcBorders>
              <w:bottom w:val="single" w:sz="8" w:color="auto"/>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r>
      <w:tr>
        <w:trPr>
          <w:trHeight w:val="209"/>
        </w:trPr>
        <w:tc>
          <w:tcPr>
            <w:tcW w:w="6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cost of sales</w:t>
            </w: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62.4</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0"/>
        </w:trPr>
        <w:tc>
          <w:tcPr>
            <w:tcW w:w="63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Gross profit</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16"/>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63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Goodwill impairment</w:t>
            </w:r>
          </w:p>
        </w:tc>
        <w:tc>
          <w:tcPr>
            <w:tcW w:w="100" w:type="dxa"/>
            <w:vAlign w:val="bottom"/>
            <w:tcBorders>
              <w:bottom w:val="single" w:sz="8" w:color="auto"/>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gridSpan w:val="2"/>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FF0FC"/>
            </w:tcBorders>
            <w:gridSpan w:val="2"/>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r>
      <w:tr>
        <w:trPr>
          <w:trHeight w:val="210"/>
        </w:trPr>
        <w:tc>
          <w:tcPr>
            <w:tcW w:w="6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Operating income (loss)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(18.9)</w:t>
            </w:r>
          </w:p>
        </w:tc>
      </w:tr>
      <w:tr>
        <w:trPr>
          <w:trHeight w:val="216"/>
        </w:trPr>
        <w:tc>
          <w:tcPr>
            <w:tcW w:w="6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8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(0.1)</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(0.1)</w:t>
            </w: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2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(0.1)</w:t>
            </w:r>
          </w:p>
        </w:tc>
      </w:tr>
      <w:tr>
        <w:trPr>
          <w:trHeight w:val="216"/>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6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on partial extinguishment of debt</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gridSpan w:val="3"/>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16"/>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Other non-operating income</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(0.1)</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(0.1)</w:t>
            </w:r>
          </w:p>
        </w:tc>
      </w:tr>
      <w:tr>
        <w:trPr>
          <w:trHeight w:val="191"/>
        </w:trPr>
        <w:tc>
          <w:tcPr>
            <w:tcW w:w="6380" w:type="dxa"/>
            <w:vAlign w:val="bottom"/>
            <w:shd w:val="clear" w:color="auto" w:fill="CFF0FC"/>
          </w:tcPr>
          <w:p>
            <w:pPr>
              <w:ind w:left="240"/>
              <w:spacing w:after="0" w:line="191" w:lineRule="exact"/>
              <w:rPr>
                <w:sz w:val="20"/>
                <w:szCs w:val="20"/>
                <w:color w:val="auto"/>
              </w:rPr>
            </w:pPr>
            <w:r>
              <w:rPr>
                <w:rFonts w:ascii="Times New Roman" w:cs="Times New Roman" w:eastAsia="Times New Roman" w:hAnsi="Times New Roman"/>
                <w:sz w:val="18"/>
                <w:szCs w:val="18"/>
                <w:color w:val="auto"/>
              </w:rPr>
              <w:t>Loss before income taxes and income from</w:t>
            </w:r>
          </w:p>
        </w:tc>
        <w:tc>
          <w:tcPr>
            <w:tcW w:w="100" w:type="dxa"/>
            <w:vAlign w:val="bottom"/>
            <w:tcBorders>
              <w:top w:val="single" w:sz="8" w:color="auto"/>
            </w:tcBorders>
            <w:shd w:val="clear" w:color="auto" w:fill="CFF0FC"/>
          </w:tcPr>
          <w:p>
            <w:pPr>
              <w:spacing w:after="0"/>
              <w:rPr>
                <w:sz w:val="16"/>
                <w:szCs w:val="16"/>
                <w:color w:val="auto"/>
              </w:rPr>
            </w:pPr>
          </w:p>
        </w:tc>
        <w:tc>
          <w:tcPr>
            <w:tcW w:w="140" w:type="dxa"/>
            <w:vAlign w:val="bottom"/>
            <w:tcBorders>
              <w:top w:val="single" w:sz="8" w:color="auto"/>
            </w:tcBorders>
            <w:shd w:val="clear" w:color="auto" w:fill="CFF0FC"/>
          </w:tcPr>
          <w:p>
            <w:pPr>
              <w:spacing w:after="0"/>
              <w:rPr>
                <w:sz w:val="16"/>
                <w:szCs w:val="16"/>
                <w:color w:val="auto"/>
              </w:rPr>
            </w:pPr>
          </w:p>
        </w:tc>
        <w:tc>
          <w:tcPr>
            <w:tcW w:w="1100" w:type="dxa"/>
            <w:vAlign w:val="bottom"/>
            <w:tcBorders>
              <w:top w:val="single" w:sz="8" w:color="auto"/>
            </w:tcBorders>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0" w:type="dxa"/>
            <w:vAlign w:val="bottom"/>
            <w:tcBorders>
              <w:top w:val="single" w:sz="8" w:color="auto"/>
            </w:tcBorders>
            <w:shd w:val="clear" w:color="auto" w:fill="CFF0FC"/>
          </w:tcPr>
          <w:p>
            <w:pPr>
              <w:spacing w:after="0"/>
              <w:rPr>
                <w:sz w:val="16"/>
                <w:szCs w:val="16"/>
                <w:color w:val="auto"/>
              </w:rPr>
            </w:pPr>
          </w:p>
        </w:tc>
        <w:tc>
          <w:tcPr>
            <w:tcW w:w="120" w:type="dxa"/>
            <w:vAlign w:val="bottom"/>
            <w:tcBorders>
              <w:top w:val="single" w:sz="8" w:color="auto"/>
            </w:tcBorders>
            <w:shd w:val="clear" w:color="auto" w:fill="CFF0FC"/>
          </w:tcPr>
          <w:p>
            <w:pPr>
              <w:spacing w:after="0"/>
              <w:rPr>
                <w:sz w:val="16"/>
                <w:szCs w:val="16"/>
                <w:color w:val="auto"/>
              </w:rPr>
            </w:pPr>
          </w:p>
        </w:tc>
        <w:tc>
          <w:tcPr>
            <w:tcW w:w="1080" w:type="dxa"/>
            <w:vAlign w:val="bottom"/>
            <w:tcBorders>
              <w:top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0" w:type="dxa"/>
            <w:vAlign w:val="bottom"/>
            <w:tcBorders>
              <w:top w:val="single" w:sz="8" w:color="auto"/>
            </w:tcBorders>
            <w:shd w:val="clear" w:color="auto" w:fill="CFF0FC"/>
          </w:tcPr>
          <w:p>
            <w:pPr>
              <w:spacing w:after="0"/>
              <w:rPr>
                <w:sz w:val="16"/>
                <w:szCs w:val="16"/>
                <w:color w:val="auto"/>
              </w:rPr>
            </w:pPr>
          </w:p>
        </w:tc>
        <w:tc>
          <w:tcPr>
            <w:tcW w:w="160" w:type="dxa"/>
            <w:vAlign w:val="bottom"/>
            <w:tcBorders>
              <w:top w:val="single" w:sz="8" w:color="auto"/>
            </w:tcBorders>
            <w:shd w:val="clear" w:color="auto" w:fill="CFF0FC"/>
          </w:tcPr>
          <w:p>
            <w:pPr>
              <w:spacing w:after="0"/>
              <w:rPr>
                <w:sz w:val="16"/>
                <w:szCs w:val="16"/>
                <w:color w:val="auto"/>
              </w:rPr>
            </w:pPr>
          </w:p>
        </w:tc>
        <w:tc>
          <w:tcPr>
            <w:tcW w:w="1100" w:type="dxa"/>
            <w:vAlign w:val="bottom"/>
            <w:tcBorders>
              <w:top w:val="single" w:sz="8" w:color="auto"/>
            </w:tcBorders>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r>
      <w:tr>
        <w:trPr>
          <w:trHeight w:val="234"/>
        </w:trPr>
        <w:tc>
          <w:tcPr>
            <w:tcW w:w="63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equity method investees</w:t>
            </w: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38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(0.1)</w:t>
            </w:r>
          </w:p>
        </w:tc>
        <w:tc>
          <w:tcPr>
            <w:tcW w:w="1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(2.1)</w:t>
            </w:r>
          </w:p>
        </w:tc>
        <w:tc>
          <w:tcPr>
            <w:tcW w:w="2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32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(21.2)</w:t>
            </w:r>
          </w:p>
        </w:tc>
      </w:tr>
      <w:tr>
        <w:trPr>
          <w:trHeight w:val="216"/>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(0.1)</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(0.4)</w:t>
            </w:r>
          </w:p>
        </w:tc>
      </w:tr>
      <w:tr>
        <w:trPr>
          <w:trHeight w:val="216"/>
        </w:trPr>
        <w:tc>
          <w:tcPr>
            <w:tcW w:w="6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from equity method investees</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8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(0.4)</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(0.3)</w:t>
            </w: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2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(0.3)</w:t>
            </w:r>
          </w:p>
        </w:tc>
      </w:tr>
      <w:tr>
        <w:trPr>
          <w:trHeight w:val="191"/>
        </w:trPr>
        <w:tc>
          <w:tcPr>
            <w:tcW w:w="6380" w:type="dxa"/>
            <w:vAlign w:val="bottom"/>
            <w:tcBorders>
              <w:top w:val="single" w:sz="8" w:color="CFF0FC"/>
            </w:tcBorders>
          </w:tcPr>
          <w:p>
            <w:pPr>
              <w:ind w:left="240"/>
              <w:spacing w:after="0" w:line="191" w:lineRule="exact"/>
              <w:rPr>
                <w:sz w:val="20"/>
                <w:szCs w:val="20"/>
                <w:color w:val="auto"/>
              </w:rPr>
            </w:pPr>
            <w:r>
              <w:rPr>
                <w:rFonts w:ascii="Times New Roman" w:cs="Times New Roman" w:eastAsia="Times New Roman" w:hAnsi="Times New Roman"/>
                <w:sz w:val="18"/>
                <w:szCs w:val="18"/>
                <w:color w:val="auto"/>
              </w:rPr>
              <w:t>Net income (loss) attributable to Class A and B-1 common</w:t>
            </w:r>
          </w:p>
        </w:tc>
        <w:tc>
          <w:tcPr>
            <w:tcW w:w="1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60" w:type="dxa"/>
            <w:vAlign w:val="bottom"/>
            <w:tcBorders>
              <w:top w:val="single" w:sz="8" w:color="CFF0FC"/>
            </w:tcBorders>
          </w:tcPr>
          <w:p>
            <w:pPr>
              <w:spacing w:after="0"/>
              <w:rPr>
                <w:sz w:val="16"/>
                <w:szCs w:val="16"/>
                <w:color w:val="auto"/>
              </w:rPr>
            </w:pPr>
          </w:p>
        </w:tc>
        <w:tc>
          <w:tcPr>
            <w:tcW w:w="220" w:type="dxa"/>
            <w:vAlign w:val="bottom"/>
            <w:tcBorders>
              <w:top w:val="single" w:sz="8" w:color="CFF0FC"/>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00" w:type="dxa"/>
            <w:vAlign w:val="bottom"/>
            <w:tcBorders>
              <w:top w:val="single" w:sz="8" w:color="CFF0FC"/>
            </w:tcBorders>
          </w:tcPr>
          <w:p>
            <w:pPr>
              <w:spacing w:after="0"/>
              <w:rPr>
                <w:sz w:val="16"/>
                <w:szCs w:val="16"/>
                <w:color w:val="auto"/>
              </w:rPr>
            </w:pPr>
          </w:p>
        </w:tc>
        <w:tc>
          <w:tcPr>
            <w:tcW w:w="240" w:type="dxa"/>
            <w:vAlign w:val="bottom"/>
            <w:tcBorders>
              <w:top w:val="single" w:sz="8" w:color="CFF0FC"/>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40" w:type="dxa"/>
            <w:vAlign w:val="bottom"/>
            <w:tcBorders>
              <w:top w:val="single" w:sz="8" w:color="CFF0FC"/>
            </w:tcBorders>
          </w:tcPr>
          <w:p>
            <w:pPr>
              <w:spacing w:after="0"/>
              <w:rPr>
                <w:sz w:val="16"/>
                <w:szCs w:val="16"/>
                <w:color w:val="auto"/>
              </w:rPr>
            </w:pPr>
          </w:p>
        </w:tc>
        <w:tc>
          <w:tcPr>
            <w:tcW w:w="180" w:type="dxa"/>
            <w:vAlign w:val="bottom"/>
            <w:tcBorders>
              <w:top w:val="single" w:sz="8" w:color="CFF0FC"/>
            </w:tcBorders>
          </w:tcPr>
          <w:p>
            <w:pPr>
              <w:spacing w:after="0"/>
              <w:rPr>
                <w:sz w:val="16"/>
                <w:szCs w:val="16"/>
                <w:color w:val="auto"/>
              </w:rPr>
            </w:pPr>
          </w:p>
        </w:tc>
      </w:tr>
      <w:tr>
        <w:trPr>
          <w:trHeight w:val="234"/>
        </w:trPr>
        <w:tc>
          <w:tcPr>
            <w:tcW w:w="63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stockholders</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0.2%</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(20.5)%</w:t>
            </w:r>
          </w:p>
        </w:tc>
      </w:tr>
      <w:tr>
        <w:trPr>
          <w:trHeight w:val="391"/>
        </w:trPr>
        <w:tc>
          <w:tcPr>
            <w:tcW w:w="6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4"/>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Fiscal years ended</w:t>
            </w: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r>
      <w:tr>
        <w:trPr>
          <w:trHeight w:val="117"/>
        </w:trPr>
        <w:tc>
          <w:tcPr>
            <w:tcW w:w="6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80" w:type="dxa"/>
            <w:vAlign w:val="bottom"/>
            <w:gridSpan w:val="3"/>
          </w:tcPr>
          <w:p>
            <w:pPr>
              <w:jc w:val="center"/>
              <w:ind w:right="380"/>
              <w:spacing w:after="0" w:line="118" w:lineRule="exact"/>
              <w:rPr>
                <w:sz w:val="20"/>
                <w:szCs w:val="20"/>
                <w:color w:val="auto"/>
              </w:rPr>
            </w:pPr>
            <w:r>
              <w:rPr>
                <w:rFonts w:ascii="Times New Roman" w:cs="Times New Roman" w:eastAsia="Times New Roman" w:hAnsi="Times New Roman"/>
                <w:sz w:val="13"/>
                <w:szCs w:val="13"/>
                <w:b w:val="1"/>
                <w:bCs w:val="1"/>
                <w:color w:val="auto"/>
              </w:rPr>
              <w:t>January 31,</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20" w:type="dxa"/>
            <w:vAlign w:val="bottom"/>
            <w:gridSpan w:val="3"/>
          </w:tcPr>
          <w:p>
            <w:pPr>
              <w:jc w:val="center"/>
              <w:ind w:right="360"/>
              <w:spacing w:after="0" w:line="118" w:lineRule="exact"/>
              <w:rPr>
                <w:sz w:val="20"/>
                <w:szCs w:val="20"/>
                <w:color w:val="auto"/>
              </w:rPr>
            </w:pPr>
            <w:r>
              <w:rPr>
                <w:rFonts w:ascii="Times New Roman" w:cs="Times New Roman" w:eastAsia="Times New Roman" w:hAnsi="Times New Roman"/>
                <w:sz w:val="13"/>
                <w:szCs w:val="13"/>
                <w:b w:val="1"/>
                <w:bCs w:val="1"/>
                <w:color w:val="auto"/>
              </w:rPr>
              <w:t>February 1,</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40" w:type="dxa"/>
            <w:vAlign w:val="bottom"/>
            <w:gridSpan w:val="2"/>
          </w:tcPr>
          <w:p>
            <w:pPr>
              <w:jc w:val="center"/>
              <w:ind w:right="160"/>
              <w:spacing w:after="0" w:line="118" w:lineRule="exact"/>
              <w:rPr>
                <w:sz w:val="20"/>
                <w:szCs w:val="20"/>
                <w:color w:val="auto"/>
              </w:rPr>
            </w:pPr>
            <w:r>
              <w:rPr>
                <w:rFonts w:ascii="Times New Roman" w:cs="Times New Roman" w:eastAsia="Times New Roman" w:hAnsi="Times New Roman"/>
                <w:sz w:val="13"/>
                <w:szCs w:val="13"/>
                <w:b w:val="1"/>
                <w:bCs w:val="1"/>
                <w:color w:val="auto"/>
              </w:rPr>
              <w:t>February 3,</w:t>
            </w:r>
          </w:p>
        </w:tc>
        <w:tc>
          <w:tcPr>
            <w:tcW w:w="180" w:type="dxa"/>
            <w:vAlign w:val="bottom"/>
          </w:tcPr>
          <w:p>
            <w:pPr>
              <w:spacing w:after="0"/>
              <w:rPr>
                <w:sz w:val="10"/>
                <w:szCs w:val="10"/>
                <w:color w:val="auto"/>
              </w:rPr>
            </w:pPr>
          </w:p>
        </w:tc>
      </w:tr>
      <w:tr>
        <w:trPr>
          <w:trHeight w:val="173"/>
        </w:trPr>
        <w:tc>
          <w:tcPr>
            <w:tcW w:w="6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14"/>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6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r>
      <w:tr>
        <w:trPr>
          <w:trHeight w:val="142"/>
        </w:trPr>
        <w:tc>
          <w:tcPr>
            <w:tcW w:w="6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tcPr>
          <w:p>
            <w:pPr>
              <w:jc w:val="center"/>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(52 weeks)</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(52 weeks)</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tcPr>
          <w:p>
            <w:pPr>
              <w:jc w:val="center"/>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(53 weeks)</w:t>
            </w:r>
          </w:p>
        </w:tc>
        <w:tc>
          <w:tcPr>
            <w:tcW w:w="180" w:type="dxa"/>
            <w:vAlign w:val="bottom"/>
          </w:tcPr>
          <w:p>
            <w:pPr>
              <w:spacing w:after="0"/>
              <w:rPr>
                <w:sz w:val="12"/>
                <w:szCs w:val="12"/>
                <w:color w:val="auto"/>
              </w:rPr>
            </w:pPr>
          </w:p>
        </w:tc>
      </w:tr>
      <w:tr>
        <w:trPr>
          <w:trHeight w:val="216"/>
        </w:trPr>
        <w:tc>
          <w:tcPr>
            <w:tcW w:w="6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Operational Data:</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16"/>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Comparable sales change</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0.3%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6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pet care centers (U.S. and Puerto Rico) at end of period</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1,382</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1,398</w:t>
            </w: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1,423</w:t>
            </w:r>
          </w:p>
        </w:tc>
        <w:tc>
          <w:tcPr>
            <w:tcW w:w="180" w:type="dxa"/>
            <w:vAlign w:val="bottom"/>
            <w:shd w:val="clear" w:color="auto" w:fill="CFF0FC"/>
          </w:tcPr>
          <w:p>
            <w:pPr>
              <w:spacing w:after="0"/>
              <w:rPr>
                <w:sz w:val="18"/>
                <w:szCs w:val="18"/>
                <w:color w:val="auto"/>
              </w:rPr>
            </w:pPr>
          </w:p>
        </w:tc>
      </w:tr>
      <w:tr>
        <w:trPr>
          <w:trHeight w:val="234"/>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 (in thousands)</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408,167</w:t>
            </w:r>
          </w:p>
        </w:tc>
        <w:tc>
          <w:tcPr>
            <w:tcW w:w="220" w:type="dxa"/>
            <w:vAlign w:val="bottom"/>
          </w:tcPr>
          <w:p>
            <w:pPr>
              <w:spacing w:after="0"/>
              <w:rPr>
                <w:sz w:val="20"/>
                <w:szCs w:val="20"/>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336,526</w:t>
            </w:r>
          </w:p>
        </w:tc>
        <w:tc>
          <w:tcPr>
            <w:tcW w:w="240" w:type="dxa"/>
            <w:vAlign w:val="bottom"/>
          </w:tcPr>
          <w:p>
            <w:pPr>
              <w:spacing w:after="0"/>
              <w:rPr>
                <w:sz w:val="20"/>
                <w:szCs w:val="20"/>
                <w:color w:val="auto"/>
              </w:rPr>
            </w:pP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401,103</w:t>
            </w:r>
          </w:p>
        </w:tc>
        <w:tc>
          <w:tcPr>
            <w:tcW w:w="1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4899660</wp:posOffset>
            </wp:positionH>
            <wp:positionV relativeFrom="paragraph">
              <wp:posOffset>-3765550</wp:posOffset>
            </wp:positionV>
            <wp:extent cx="11112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-3765550</wp:posOffset>
            </wp:positionV>
            <wp:extent cx="14605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-3765550</wp:posOffset>
            </wp:positionV>
            <wp:extent cx="14541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-3208655</wp:posOffset>
            </wp:positionV>
            <wp:extent cx="11112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-3208655</wp:posOffset>
            </wp:positionV>
            <wp:extent cx="14605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-3208655</wp:posOffset>
            </wp:positionV>
            <wp:extent cx="14541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-2642870</wp:posOffset>
            </wp:positionV>
            <wp:extent cx="11112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-2642870</wp:posOffset>
            </wp:positionV>
            <wp:extent cx="14605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-2642870</wp:posOffset>
            </wp:positionV>
            <wp:extent cx="14541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-1391285</wp:posOffset>
            </wp:positionV>
            <wp:extent cx="11112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-1391285</wp:posOffset>
            </wp:positionV>
            <wp:extent cx="14605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-1391285</wp:posOffset>
            </wp:positionV>
            <wp:extent cx="14541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45415" cy="8255"/>
                    </a:xfrm>
                    <a:prstGeom prst="rect">
                      <a:avLst/>
                    </a:prstGeom>
                    <a:noFill/>
                  </pic:spPr>
                </pic:pic>
              </a:graphicData>
            </a:graphic>
          </wp:anchor>
        </w:drawing>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Fiscal 2025 (52 weeks) Compared with Fiscal 2024 (52 weeks)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Sales and Comparable Sales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7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Fiscal years ended</w:t>
            </w:r>
          </w:p>
        </w:tc>
        <w:tc>
          <w:tcPr>
            <w:tcW w:w="2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r>
      <w:tr>
        <w:trPr>
          <w:trHeight w:val="117"/>
        </w:trPr>
        <w:tc>
          <w:tcPr>
            <w:tcW w:w="47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20" w:type="dxa"/>
            <w:vAlign w:val="bottom"/>
          </w:tcPr>
          <w:p>
            <w:pPr>
              <w:jc w:val="right"/>
              <w:ind w:right="337"/>
              <w:spacing w:after="0" w:line="118" w:lineRule="exact"/>
              <w:rPr>
                <w:sz w:val="20"/>
                <w:szCs w:val="20"/>
                <w:color w:val="auto"/>
              </w:rPr>
            </w:pPr>
            <w:r>
              <w:rPr>
                <w:rFonts w:ascii="Times New Roman" w:cs="Times New Roman" w:eastAsia="Times New Roman" w:hAnsi="Times New Roman"/>
                <w:sz w:val="13"/>
                <w:szCs w:val="13"/>
                <w:b w:val="1"/>
                <w:bCs w:val="1"/>
                <w:color w:val="auto"/>
              </w:rPr>
              <w:t>January 31,</w:t>
            </w:r>
          </w:p>
        </w:tc>
        <w:tc>
          <w:tcPr>
            <w:tcW w:w="3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40" w:type="dxa"/>
            <w:vAlign w:val="bottom"/>
            <w:gridSpan w:val="2"/>
          </w:tcPr>
          <w:p>
            <w:pPr>
              <w:jc w:val="center"/>
              <w:ind w:right="580"/>
              <w:spacing w:after="0" w:line="118" w:lineRule="exact"/>
              <w:rPr>
                <w:sz w:val="20"/>
                <w:szCs w:val="20"/>
                <w:color w:val="auto"/>
              </w:rPr>
            </w:pPr>
            <w:r>
              <w:rPr>
                <w:rFonts w:ascii="Times New Roman" w:cs="Times New Roman" w:eastAsia="Times New Roman" w:hAnsi="Times New Roman"/>
                <w:sz w:val="13"/>
                <w:szCs w:val="13"/>
                <w:b w:val="1"/>
                <w:bCs w:val="1"/>
                <w:color w:val="auto"/>
              </w:rPr>
              <w:t>February 1,</w:t>
            </w:r>
          </w:p>
        </w:tc>
        <w:tc>
          <w:tcPr>
            <w:tcW w:w="260" w:type="dxa"/>
            <w:vAlign w:val="bottom"/>
          </w:tcPr>
          <w:p>
            <w:pPr>
              <w:spacing w:after="0"/>
              <w:rPr>
                <w:sz w:val="10"/>
                <w:szCs w:val="10"/>
                <w:color w:val="auto"/>
              </w:rPr>
            </w:pPr>
          </w:p>
        </w:tc>
        <w:tc>
          <w:tcPr>
            <w:tcW w:w="1040" w:type="dxa"/>
            <w:vAlign w:val="bottom"/>
          </w:tcPr>
          <w:p>
            <w:pPr>
              <w:jc w:val="right"/>
              <w:ind w:right="537"/>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260" w:type="dxa"/>
            <w:vAlign w:val="bottom"/>
          </w:tcPr>
          <w:p>
            <w:pPr>
              <w:spacing w:after="0"/>
              <w:rPr>
                <w:sz w:val="10"/>
                <w:szCs w:val="10"/>
                <w:color w:val="auto"/>
              </w:rPr>
            </w:pPr>
          </w:p>
        </w:tc>
        <w:tc>
          <w:tcPr>
            <w:tcW w:w="920" w:type="dxa"/>
            <w:vAlign w:val="bottom"/>
          </w:tcPr>
          <w:p>
            <w:pPr>
              <w:jc w:val="right"/>
              <w:ind w:right="317"/>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tcPr>
          <w:p>
            <w:pPr>
              <w:spacing w:after="0"/>
              <w:rPr>
                <w:sz w:val="10"/>
                <w:szCs w:val="10"/>
                <w:color w:val="auto"/>
              </w:rPr>
            </w:pPr>
          </w:p>
        </w:tc>
      </w:tr>
      <w:tr>
        <w:trPr>
          <w:trHeight w:val="173"/>
        </w:trPr>
        <w:tc>
          <w:tcPr>
            <w:tcW w:w="47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2026</w:t>
            </w:r>
          </w:p>
        </w:tc>
        <w:tc>
          <w:tcPr>
            <w:tcW w:w="3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558"/>
              <w:spacing w:after="0"/>
              <w:rPr>
                <w:sz w:val="20"/>
                <w:szCs w:val="20"/>
                <w:color w:val="auto"/>
              </w:rPr>
            </w:pPr>
            <w:r>
              <w:rPr>
                <w:rFonts w:ascii="Times New Roman" w:cs="Times New Roman" w:eastAsia="Times New Roman" w:hAnsi="Times New Roman"/>
                <w:sz w:val="14"/>
                <w:szCs w:val="14"/>
                <w:b w:val="1"/>
                <w:bCs w:val="1"/>
                <w:color w:val="auto"/>
              </w:rPr>
              <w:t>2025</w:t>
            </w:r>
          </w:p>
        </w:tc>
        <w:tc>
          <w:tcPr>
            <w:tcW w:w="3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157"/>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60" w:type="dxa"/>
            <w:vAlign w:val="bottom"/>
          </w:tcPr>
          <w:p>
            <w:pPr>
              <w:spacing w:after="0"/>
              <w:rPr>
                <w:sz w:val="15"/>
                <w:szCs w:val="15"/>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20" w:type="dxa"/>
            <w:vAlign w:val="bottom"/>
          </w:tcPr>
          <w:p>
            <w:pPr>
              <w:spacing w:after="0"/>
              <w:rPr>
                <w:sz w:val="15"/>
                <w:szCs w:val="15"/>
                <w:color w:val="auto"/>
              </w:rPr>
            </w:pPr>
          </w:p>
        </w:tc>
      </w:tr>
      <w:tr>
        <w:trPr>
          <w:trHeight w:val="210"/>
        </w:trPr>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Consumables</w:t>
            </w: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2,968,321</w:t>
            </w:r>
          </w:p>
        </w:tc>
        <w:tc>
          <w:tcPr>
            <w:tcW w:w="5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3,043,178</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(74,857)</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Supplies and companion animals</w:t>
            </w: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1,968,002</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2,073,713</w:t>
            </w:r>
          </w:p>
        </w:tc>
        <w:tc>
          <w:tcPr>
            <w:tcW w:w="26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(105,711)</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Services and other</w:t>
            </w:r>
          </w:p>
        </w:tc>
        <w:tc>
          <w:tcPr>
            <w:tcW w:w="26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1,025,144</w:t>
            </w:r>
          </w:p>
        </w:tc>
        <w:tc>
          <w:tcPr>
            <w:tcW w:w="3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999,571</w:t>
            </w:r>
          </w:p>
        </w:tc>
        <w:tc>
          <w:tcPr>
            <w:tcW w:w="2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25,573</w:t>
            </w:r>
          </w:p>
        </w:tc>
        <w:tc>
          <w:tcPr>
            <w:tcW w:w="1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2.6%</w:t>
            </w:r>
          </w:p>
        </w:tc>
      </w:tr>
      <w:tr>
        <w:trPr>
          <w:trHeight w:val="20"/>
        </w:trPr>
        <w:tc>
          <w:tcPr>
            <w:tcW w:w="47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92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r>
      <w:tr>
        <w:trPr>
          <w:trHeight w:val="209"/>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Net sales</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5,961,467</w:t>
            </w: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6,116,462</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(154,995)</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0"/>
        </w:trPr>
        <w:tc>
          <w:tcPr>
            <w:tcW w:w="47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4017010</wp:posOffset>
            </wp:positionH>
            <wp:positionV relativeFrom="paragraph">
              <wp:posOffset>-170815</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-170815</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-170815</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13"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Net sales decreased $155.0 million, or 2.5%, to $5.96 billion in fiscal 2025 compared to net sales of $6.12 billion in fiscal 2024. The sales decrease primarily reflects lower transaction volume and a lower pet care center count, as well as a greater focus on profitability and margin through a more disciplined approach to managing unit costs, pricing, and promotional strategies. We continue to experience momentum in services, driven in part by our strategic investments in customer acquisition and retention, as well as efforts to optimize our existing veterinary hospital footprint.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0" w:right="339" w:bottom="1440" w:gutter="0" w:footer="0" w:header="0"/>
        </w:sectPr>
      </w:pPr>
    </w:p>
    <w:bookmarkStart w:id="52" w:name="page53"/>
    <w:bookmarkEnd w:id="52"/>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We are unable to quantify certain factors impacting sales described above due to the fact that such factors are based on input measures or qualitative information that do not lend themselves to quantification.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121"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As a percentage of net sales, our gross profit rate was 38.7% for fiscal 2025 compared to 38.0% for fiscal 2024. The increase between the periods reflects more effective management of our inventory, unit costs, pricing, and promotional strategies, as well as improved utilization of our services footprint. We are unable to quantify the factors impacting gross profit rate described above due to the fact that such factors are based on input measures or qualitative information that do not lend themselves to quantification.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121"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As a percentage of net sales, SG&amp;A expenses decreased from 37.9% in fiscal 2024 to 36.6% in fiscal 2025. The decrease in SG&amp;A expenses between the periods was primarily due to lower payroll and other compensation costs, which included improved actuarial results from employee benefits optimization initiatives, as well as lower consulting costs. In addition, the Company incurred disposition costs relating to its Pupbox business during fiscal 2024.</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21" w:lineRule="exact"/>
        <w:rPr>
          <w:sz w:val="20"/>
          <w:szCs w:val="20"/>
          <w:color w:val="auto"/>
        </w:rPr>
      </w:pPr>
    </w:p>
    <w:p>
      <w:pPr>
        <w:jc w:val="both"/>
        <w:ind w:right="40" w:firstLine="509"/>
        <w:spacing w:after="0" w:line="266" w:lineRule="auto"/>
        <w:rPr>
          <w:sz w:val="20"/>
          <w:szCs w:val="20"/>
          <w:color w:val="auto"/>
        </w:rPr>
      </w:pPr>
      <w:r>
        <w:rPr>
          <w:rFonts w:ascii="Times New Roman" w:cs="Times New Roman" w:eastAsia="Times New Roman" w:hAnsi="Times New Roman"/>
          <w:sz w:val="18"/>
          <w:szCs w:val="18"/>
          <w:color w:val="auto"/>
        </w:rPr>
        <w:t>Interest expense decreased $12.3 million, or 8.6%, to $131.2 million in fiscal 2025 compared with $143.5 million in fiscal 2024. The decrease was primarily driven by lower interest rates on the First Lien Term Loan. For more information refer to Note 7, “Senior Secured Credit Facilities,” in the Notes to Consolidated Financial Statements included in Part II, Item 8 of this Annual Report on Form 10-K.</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on Extinguishment and Modification of Debt</w:t>
      </w:r>
    </w:p>
    <w:p>
      <w:pPr>
        <w:spacing w:after="0" w:line="229" w:lineRule="exact"/>
        <w:rPr>
          <w:sz w:val="20"/>
          <w:szCs w:val="20"/>
          <w:color w:val="auto"/>
        </w:rPr>
      </w:pPr>
    </w:p>
    <w:p>
      <w:pPr>
        <w:ind w:right="440" w:firstLine="509"/>
        <w:spacing w:after="0" w:line="261" w:lineRule="auto"/>
        <w:rPr>
          <w:sz w:val="20"/>
          <w:szCs w:val="20"/>
          <w:color w:val="auto"/>
        </w:rPr>
      </w:pPr>
      <w:r>
        <w:rPr>
          <w:rFonts w:ascii="Times New Roman" w:cs="Times New Roman" w:eastAsia="Times New Roman" w:hAnsi="Times New Roman"/>
          <w:sz w:val="18"/>
          <w:szCs w:val="18"/>
          <w:color w:val="auto"/>
        </w:rPr>
        <w:t>In fiscal 2025, the Company recognized $0.6 million of losses on partial extinguishment of debt. This loss was recognized in conjunction with voluntary principal repayments on the First Lien Term Loan during fiscal 2025. The Company did not recognize any losses on extinguishment or modification of debt in fiscal 2024. For more information refer to Note 7, “Senior Secured Credit Facilities,” in the Notes to Consolidated Financial Statements included in Part II, Item 8 of this Annual Report on Form 10-K.</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Non-Operating Income</w:t>
      </w:r>
    </w:p>
    <w:p>
      <w:pPr>
        <w:spacing w:after="0" w:line="229"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There was no other non-operating income or loss recognized during fiscal 2025. Other non-operating income was $4.8 million for fiscal 2024, and was primarily related to remeasurements of an equity investment without a readily determinable fair value. For more information refer to Note 9, “Fair Value Measurements,” to the Notes to Consolidated Financial Statements included in Part II, Item 8 of this Annual Report on Form 10-K.</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 (Benefit)</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Our effective tax rate was 40.9% for fiscal 2025, resulting in income tax expense of $6.3 million, compared to an effective tax rate of 6.8% resulting in income tax benefit of $7.5 million for fiscal 2024. The increase in effective tax rate in fiscal 2025 as compared to fiscal 2024 is primarily driven by an increase in earnings and a decrease in the amount of compensation associated expenses not expected to be deductible for corporate income tax purposes in fiscal 2025.</w:t>
      </w:r>
    </w:p>
    <w:p>
      <w:pPr>
        <w:spacing w:after="0" w:line="180" w:lineRule="exact"/>
        <w:rPr>
          <w:sz w:val="20"/>
          <w:szCs w:val="20"/>
          <w:color w:val="auto"/>
        </w:rPr>
      </w:pPr>
    </w:p>
    <w:p>
      <w:pPr>
        <w:ind w:right="260" w:firstLine="509"/>
        <w:spacing w:after="0" w:line="258" w:lineRule="auto"/>
        <w:rPr>
          <w:sz w:val="20"/>
          <w:szCs w:val="20"/>
          <w:color w:val="auto"/>
        </w:rPr>
      </w:pPr>
      <w:r>
        <w:rPr>
          <w:rFonts w:ascii="Times New Roman" w:cs="Times New Roman" w:eastAsia="Times New Roman" w:hAnsi="Times New Roman"/>
          <w:sz w:val="18"/>
          <w:szCs w:val="18"/>
          <w:color w:val="auto"/>
        </w:rPr>
        <w:t>On July 4, 2025, the One Big Beautiful Bill Act (“OBBBA”) was signed into law. OBBBA introduces significant changes to U.S. income-tax legislation. Key provisions affecting the Company include (i) 100 percent bonus depreciation for qualified property placed in service after January 19, 2025, (ii) immediate expensing of domestic research and experimental expenditures starting January 1, 2025, and (iii) an increase to the cap on the deductibility of business interest expense for taxable years starting after December 31, 2024. These provisions did not have a material impact to income taxes in our financial statements for fiscal 2025.</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53" w:name="page54"/>
    <w:bookmarkEnd w:id="53"/>
    <w:p>
      <w:pPr>
        <w:jc w:val="center"/>
        <w:spacing w:after="0"/>
        <w:rPr>
          <w:sz w:val="20"/>
          <w:szCs w:val="20"/>
          <w:color w:val="auto"/>
        </w:rPr>
      </w:pPr>
      <w:r>
        <w:rPr>
          <w:rFonts w:ascii="Times New Roman" w:cs="Times New Roman" w:eastAsia="Times New Roman" w:hAnsi="Times New Roman"/>
          <w:sz w:val="18"/>
          <w:szCs w:val="18"/>
          <w:b w:val="1"/>
          <w:bCs w:val="1"/>
          <w:color w:val="auto"/>
        </w:rPr>
        <w:t>Prior Year Discussion of Results and Comparisons</w:t>
      </w:r>
    </w:p>
    <w:p>
      <w:pPr>
        <w:spacing w:after="0" w:line="121" w:lineRule="exact"/>
        <w:rPr>
          <w:sz w:val="20"/>
          <w:szCs w:val="20"/>
          <w:color w:val="auto"/>
        </w:rPr>
      </w:pPr>
    </w:p>
    <w:p>
      <w:pPr>
        <w:ind w:right="320" w:firstLine="509"/>
        <w:spacing w:after="0" w:line="282" w:lineRule="auto"/>
        <w:rPr>
          <w:sz w:val="20"/>
          <w:szCs w:val="20"/>
          <w:color w:val="auto"/>
        </w:rPr>
      </w:pPr>
      <w:r>
        <w:rPr>
          <w:rFonts w:ascii="Times New Roman" w:cs="Times New Roman" w:eastAsia="Times New Roman" w:hAnsi="Times New Roman"/>
          <w:sz w:val="18"/>
          <w:szCs w:val="18"/>
          <w:color w:val="auto"/>
        </w:rPr>
        <w:t>For information on fiscal 2024 results and similar comparisons, please read “Management’s Discussion and Analysis of Financial Condition and Results of Operations” in our previous Annual Report on Form 10-K filed with the SEC on March 31, 2025.</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Non-GAAP Financial Measures to GAAP Measures</w:t>
      </w:r>
    </w:p>
    <w:p>
      <w:pPr>
        <w:spacing w:after="0" w:line="121"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The following information provides definitions and reconciliations of certain non-GAAP financial measures to the most directly comparable financial measures calculated and presented in accordance with GAAP. Such non-GAAP financial measures are not calculated in accordance with GAAP and should not be considered superior to, as a substitute for or alternative to, and should be considered in conjunction with, the most comparable GAAP measures. The non-GAAP financial measures presented may differ from similarly-titled measures used by other companies.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EBITDA</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present Adjusted EBITDA, a non-GAAP financial measure, because we believe it enhances an investor’s understanding of our financial and operational performance by excluding certain material non-cash items, unusual or non-recurring items that we do not expect to continue in the future, and certain other adjustments we believe are or are not reflective of our ongoing operations and performance. Adjusted EBITDA enables operating performance to be reviewed across reporting periods on a consistent basis. We use Adjusted EBITDA as one of the principal measures to evaluate and monitor our operating financial performance and to compare our performance to others in our industry. We also use Adjusted EBITDA in connection with establishing discretionary annual incentive compensation targets, to make budgeting decisions, to make strategic decisions regarding the allocation of capital, and to report our quarterly results as defined in our debt agreements, although under such agreements the measure is calculated differently and is used for different purposes.</w:t>
      </w:r>
    </w:p>
    <w:p>
      <w:pPr>
        <w:spacing w:after="0" w:line="192" w:lineRule="exact"/>
        <w:rPr>
          <w:sz w:val="20"/>
          <w:szCs w:val="20"/>
          <w:color w:val="auto"/>
        </w:rPr>
      </w:pPr>
    </w:p>
    <w:p>
      <w:pPr>
        <w:ind w:right="40" w:firstLine="562"/>
        <w:spacing w:after="0" w:line="261" w:lineRule="auto"/>
        <w:rPr>
          <w:sz w:val="20"/>
          <w:szCs w:val="20"/>
          <w:color w:val="auto"/>
        </w:rPr>
      </w:pPr>
      <w:r>
        <w:rPr>
          <w:rFonts w:ascii="Times New Roman" w:cs="Times New Roman" w:eastAsia="Times New Roman" w:hAnsi="Times New Roman"/>
          <w:sz w:val="18"/>
          <w:szCs w:val="18"/>
          <w:color w:val="auto"/>
        </w:rPr>
        <w:t>Adjusted EBITDA is not a substitute for net income (loss), the most comparable GAAP measure, and is subject to a number of limitations as a financial measure, so it should be used in conjunction with GAAP financial measures and not in isolation. There can be no assurances that we will not modify the presentation of Adjusted EBITDA in the future. In addition, other companies in our industry may define Adjusted EBITDA differently, limiting its usefulness as a comparative measure.</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table below reflects the calculation of Adjusted EBITDA and Adjusted EBITDA Margin for the periods presented:</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8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Fiscal years ended</w:t>
            </w:r>
          </w:p>
        </w:tc>
        <w:tc>
          <w:tcPr>
            <w:tcW w:w="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82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40" w:type="dxa"/>
            <w:vAlign w:val="bottom"/>
            <w:gridSpan w:val="2"/>
          </w:tcPr>
          <w:p>
            <w:pPr>
              <w:jc w:val="center"/>
              <w:ind w:right="440"/>
              <w:spacing w:after="0" w:line="118" w:lineRule="exact"/>
              <w:rPr>
                <w:sz w:val="20"/>
                <w:szCs w:val="20"/>
                <w:color w:val="auto"/>
              </w:rPr>
            </w:pPr>
            <w:r>
              <w:rPr>
                <w:rFonts w:ascii="Times New Roman" w:cs="Times New Roman" w:eastAsia="Times New Roman" w:hAnsi="Times New Roman"/>
                <w:sz w:val="13"/>
                <w:szCs w:val="13"/>
                <w:b w:val="1"/>
                <w:bCs w:val="1"/>
                <w:color w:val="auto"/>
              </w:rPr>
              <w:t>January 31,</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00" w:type="dxa"/>
            <w:vAlign w:val="bottom"/>
            <w:gridSpan w:val="2"/>
          </w:tcPr>
          <w:p>
            <w:pPr>
              <w:jc w:val="center"/>
              <w:ind w:right="420"/>
              <w:spacing w:after="0" w:line="118" w:lineRule="exact"/>
              <w:rPr>
                <w:sz w:val="20"/>
                <w:szCs w:val="20"/>
                <w:color w:val="auto"/>
              </w:rPr>
            </w:pPr>
            <w:r>
              <w:rPr>
                <w:rFonts w:ascii="Times New Roman" w:cs="Times New Roman" w:eastAsia="Times New Roman" w:hAnsi="Times New Roman"/>
                <w:sz w:val="13"/>
                <w:szCs w:val="13"/>
                <w:b w:val="1"/>
                <w:bCs w:val="1"/>
                <w:color w:val="auto"/>
              </w:rPr>
              <w:t>February 1,</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20" w:type="dxa"/>
            <w:vAlign w:val="bottom"/>
          </w:tcPr>
          <w:p>
            <w:pPr>
              <w:jc w:val="center"/>
              <w:ind w:right="113"/>
              <w:spacing w:after="0" w:line="118" w:lineRule="exact"/>
              <w:rPr>
                <w:sz w:val="20"/>
                <w:szCs w:val="20"/>
                <w:color w:val="auto"/>
              </w:rPr>
            </w:pPr>
            <w:r>
              <w:rPr>
                <w:rFonts w:ascii="Times New Roman" w:cs="Times New Roman" w:eastAsia="Times New Roman" w:hAnsi="Times New Roman"/>
                <w:sz w:val="13"/>
                <w:szCs w:val="13"/>
                <w:b w:val="1"/>
                <w:bCs w:val="1"/>
                <w:color w:val="auto"/>
              </w:rPr>
              <w:t>February 3,</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8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6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113"/>
              <w:spacing w:after="0"/>
              <w:rPr>
                <w:sz w:val="20"/>
                <w:szCs w:val="20"/>
                <w:color w:val="auto"/>
              </w:rPr>
            </w:pPr>
            <w:r>
              <w:rPr>
                <w:rFonts w:ascii="Times New Roman" w:cs="Times New Roman" w:eastAsia="Times New Roman" w:hAnsi="Times New Roman"/>
                <w:sz w:val="14"/>
                <w:szCs w:val="14"/>
                <w:b w:val="1"/>
                <w:bCs w:val="1"/>
                <w:color w:val="auto"/>
              </w:rPr>
              <w:t>2026</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113"/>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820" w:type="dxa"/>
            <w:vAlign w:val="bottom"/>
            <w:vMerge w:val="continue"/>
          </w:tcPr>
          <w:p>
            <w:pPr>
              <w:spacing w:after="0"/>
              <w:rPr>
                <w:sz w:val="12"/>
                <w:szCs w:val="12"/>
                <w:color w:val="auto"/>
              </w:rPr>
            </w:pPr>
          </w:p>
        </w:tc>
        <w:tc>
          <w:tcPr>
            <w:tcW w:w="1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tcPr>
          <w:p>
            <w:pPr>
              <w:jc w:val="center"/>
              <w:ind w:right="113"/>
              <w:spacing w:after="0" w:line="142" w:lineRule="exact"/>
              <w:rPr>
                <w:sz w:val="20"/>
                <w:szCs w:val="20"/>
                <w:color w:val="auto"/>
              </w:rPr>
            </w:pPr>
            <w:r>
              <w:rPr>
                <w:rFonts w:ascii="Times New Roman" w:cs="Times New Roman" w:eastAsia="Times New Roman" w:hAnsi="Times New Roman"/>
                <w:sz w:val="14"/>
                <w:szCs w:val="14"/>
                <w:b w:val="1"/>
                <w:bCs w:val="1"/>
                <w:color w:val="auto"/>
              </w:rPr>
              <w:t>(52 weeks)</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jc w:val="center"/>
              <w:ind w:right="34"/>
              <w:spacing w:after="0" w:line="142" w:lineRule="exact"/>
              <w:rPr>
                <w:sz w:val="20"/>
                <w:szCs w:val="20"/>
                <w:color w:val="auto"/>
              </w:rPr>
            </w:pPr>
            <w:r>
              <w:rPr>
                <w:rFonts w:ascii="Times New Roman" w:cs="Times New Roman" w:eastAsia="Times New Roman" w:hAnsi="Times New Roman"/>
                <w:sz w:val="14"/>
                <w:szCs w:val="14"/>
                <w:b w:val="1"/>
                <w:bCs w:val="1"/>
                <w:color w:val="auto"/>
              </w:rPr>
              <w:t>(52 weeks)</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jc w:val="center"/>
              <w:ind w:right="113"/>
              <w:spacing w:after="0" w:line="142" w:lineRule="exact"/>
              <w:rPr>
                <w:sz w:val="20"/>
                <w:szCs w:val="20"/>
                <w:color w:val="auto"/>
              </w:rPr>
            </w:pPr>
            <w:r>
              <w:rPr>
                <w:rFonts w:ascii="Times New Roman" w:cs="Times New Roman" w:eastAsia="Times New Roman" w:hAnsi="Times New Roman"/>
                <w:sz w:val="14"/>
                <w:szCs w:val="14"/>
                <w:b w:val="1"/>
                <w:bCs w:val="1"/>
                <w:color w:val="auto"/>
              </w:rPr>
              <w:t>(53 weeks)</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4820" w:type="dxa"/>
            <w:vAlign w:val="bottom"/>
            <w:shd w:val="clear" w:color="auto" w:fill="CFF0FC"/>
          </w:tcPr>
          <w:p>
            <w:pPr>
              <w:ind w:left="120"/>
              <w:spacing w:after="0" w:line="194" w:lineRule="exact"/>
              <w:rPr>
                <w:sz w:val="20"/>
                <w:szCs w:val="20"/>
                <w:color w:val="auto"/>
              </w:rPr>
            </w:pPr>
            <w:r>
              <w:rPr>
                <w:rFonts w:ascii="Times New Roman" w:cs="Times New Roman" w:eastAsia="Times New Roman" w:hAnsi="Times New Roman"/>
                <w:sz w:val="18"/>
                <w:szCs w:val="18"/>
                <w:b w:val="1"/>
                <w:bCs w:val="1"/>
                <w:color w:val="auto"/>
              </w:rPr>
              <w:t>Net income (loss) attributable to Class A and B-1</w:t>
            </w:r>
          </w:p>
        </w:tc>
        <w:tc>
          <w:tcPr>
            <w:tcW w:w="16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48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b w:val="1"/>
                <w:bCs w:val="1"/>
                <w:color w:val="auto"/>
              </w:rPr>
              <w:t>common stockholders</w:t>
            </w:r>
          </w:p>
        </w:tc>
        <w:tc>
          <w:tcPr>
            <w:tcW w:w="18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9,066</w:t>
            </w:r>
          </w:p>
        </w:tc>
        <w:tc>
          <w:tcPr>
            <w:tcW w:w="240" w:type="dxa"/>
            <w:vAlign w:val="bottom"/>
            <w:shd w:val="clear" w:color="auto" w:fill="CFF0FC"/>
          </w:tcPr>
          <w:p>
            <w:pPr>
              <w:spacing w:after="0"/>
              <w:rPr>
                <w:sz w:val="20"/>
                <w:szCs w:val="20"/>
                <w:color w:val="auto"/>
              </w:rPr>
            </w:pP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(101,816)</w:t>
            </w:r>
          </w:p>
        </w:tc>
        <w:tc>
          <w:tcPr>
            <w:tcW w:w="2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(1,280,210)</w:t>
            </w:r>
          </w:p>
        </w:tc>
        <w:tc>
          <w:tcPr>
            <w:tcW w:w="0" w:type="dxa"/>
            <w:vAlign w:val="bottom"/>
          </w:tcPr>
          <w:p>
            <w:pPr>
              <w:spacing w:after="0"/>
              <w:rPr>
                <w:sz w:val="1"/>
                <w:szCs w:val="1"/>
                <w:color w:val="auto"/>
              </w:rPr>
            </w:pPr>
          </w:p>
        </w:tc>
      </w:tr>
      <w:tr>
        <w:trPr>
          <w:trHeight w:val="216"/>
        </w:trPr>
        <w:tc>
          <w:tcPr>
            <w:tcW w:w="4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expense, net</w:t>
            </w:r>
          </w:p>
        </w:tc>
        <w:tc>
          <w:tcPr>
            <w:tcW w:w="1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124,894</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139,817</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147,504</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6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6,266</w:t>
            </w: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(7,481)</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(27,613)</w:t>
            </w:r>
          </w:p>
        </w:tc>
        <w:tc>
          <w:tcPr>
            <w:tcW w:w="0" w:type="dxa"/>
            <w:vAlign w:val="bottom"/>
          </w:tcPr>
          <w:p>
            <w:pPr>
              <w:spacing w:after="0"/>
              <w:rPr>
                <w:sz w:val="1"/>
                <w:szCs w:val="1"/>
                <w:color w:val="auto"/>
              </w:rPr>
            </w:pPr>
          </w:p>
        </w:tc>
      </w:tr>
      <w:tr>
        <w:trPr>
          <w:trHeight w:val="216"/>
        </w:trPr>
        <w:tc>
          <w:tcPr>
            <w:tcW w:w="4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196,710</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208,517</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203,615</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Income from equity method investees</w:t>
            </w:r>
          </w:p>
        </w:tc>
        <w:tc>
          <w:tcPr>
            <w:tcW w:w="16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(20,358)</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(18,669)</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(16,188)</w:t>
            </w:r>
          </w:p>
        </w:tc>
        <w:tc>
          <w:tcPr>
            <w:tcW w:w="0" w:type="dxa"/>
            <w:vAlign w:val="bottom"/>
          </w:tcPr>
          <w:p>
            <w:pPr>
              <w:spacing w:after="0"/>
              <w:rPr>
                <w:sz w:val="1"/>
                <w:szCs w:val="1"/>
                <w:color w:val="auto"/>
              </w:rPr>
            </w:pPr>
          </w:p>
        </w:tc>
      </w:tr>
      <w:tr>
        <w:trPr>
          <w:trHeight w:val="216"/>
        </w:trPr>
        <w:tc>
          <w:tcPr>
            <w:tcW w:w="4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Loss on partial extinguishment of debt</w:t>
            </w:r>
          </w:p>
        </w:tc>
        <w:tc>
          <w:tcPr>
            <w:tcW w:w="1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Goodwill impairment</w:t>
            </w:r>
          </w:p>
        </w:tc>
        <w:tc>
          <w:tcPr>
            <w:tcW w:w="16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1,222,524</w:t>
            </w: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Equity-based compensation expense</w:t>
            </w:r>
          </w:p>
        </w:tc>
        <w:tc>
          <w:tcPr>
            <w:tcW w:w="1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32,650</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50,212</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81,859</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Other non-operating income</w:t>
            </w:r>
          </w:p>
        </w:tc>
        <w:tc>
          <w:tcPr>
            <w:tcW w:w="16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(4,800)</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(4,727)</w:t>
            </w:r>
          </w:p>
        </w:tc>
        <w:tc>
          <w:tcPr>
            <w:tcW w:w="0" w:type="dxa"/>
            <w:vAlign w:val="bottom"/>
          </w:tcPr>
          <w:p>
            <w:pPr>
              <w:spacing w:after="0"/>
              <w:rPr>
                <w:sz w:val="1"/>
                <w:szCs w:val="1"/>
                <w:color w:val="auto"/>
              </w:rPr>
            </w:pPr>
          </w:p>
        </w:tc>
      </w:tr>
      <w:tr>
        <w:trPr>
          <w:trHeight w:val="216"/>
        </w:trPr>
        <w:tc>
          <w:tcPr>
            <w:tcW w:w="4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Mexico joint venture EBITDA (1)</w:t>
            </w:r>
          </w:p>
        </w:tc>
        <w:tc>
          <w:tcPr>
            <w:tcW w:w="1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46,135</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41,615</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38,226</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Acquisition and divestiture-related integration costs (2)</w:t>
            </w:r>
          </w:p>
        </w:tc>
        <w:tc>
          <w:tcPr>
            <w:tcW w:w="16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3,719</w:t>
            </w:r>
          </w:p>
        </w:tc>
        <w:tc>
          <w:tcPr>
            <w:tcW w:w="3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costs (3)</w:t>
            </w:r>
          </w:p>
        </w:tc>
        <w:tc>
          <w:tcPr>
            <w:tcW w:w="16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12,239</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25,412</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35,193</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8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408,167</w:t>
            </w:r>
          </w:p>
        </w:tc>
        <w:tc>
          <w:tcPr>
            <w:tcW w:w="24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336,526</w:t>
            </w:r>
          </w:p>
        </w:tc>
        <w:tc>
          <w:tcPr>
            <w:tcW w:w="30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401,103</w:t>
            </w: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20" w:type="dxa"/>
            <w:vAlign w:val="bottom"/>
            <w:tcBorders>
              <w:top w:val="single" w:sz="8" w:color="CFF0FC"/>
            </w:tcBorders>
            <w:shd w:val="clear" w:color="auto" w:fill="CFF0FC"/>
          </w:tcPr>
          <w:p>
            <w:pPr>
              <w:spacing w:after="0" w:line="20" w:lineRule="exact"/>
              <w:rPr>
                <w:sz w:val="1"/>
                <w:szCs w:val="1"/>
                <w:color w:val="auto"/>
              </w:rPr>
            </w:pPr>
          </w:p>
        </w:tc>
        <w:tc>
          <w:tcPr>
            <w:tcW w:w="16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2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Net sales</w:t>
            </w:r>
          </w:p>
        </w:tc>
        <w:tc>
          <w:tcPr>
            <w:tcW w:w="180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5,961,467</w:t>
            </w:r>
          </w:p>
        </w:tc>
        <w:tc>
          <w:tcPr>
            <w:tcW w:w="240" w:type="dxa"/>
            <w:vAlign w:val="bottom"/>
          </w:tcPr>
          <w:p>
            <w:pPr>
              <w:spacing w:after="0"/>
              <w:rPr>
                <w:sz w:val="17"/>
                <w:szCs w:val="17"/>
                <w:color w:val="auto"/>
              </w:rPr>
            </w:pPr>
          </w:p>
        </w:tc>
        <w:tc>
          <w:tcPr>
            <w:tcW w:w="1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6,116,462</w:t>
            </w:r>
          </w:p>
        </w:tc>
        <w:tc>
          <w:tcPr>
            <w:tcW w:w="300" w:type="dxa"/>
            <w:vAlign w:val="bottom"/>
          </w:tcPr>
          <w:p>
            <w:pPr>
              <w:spacing w:after="0"/>
              <w:rPr>
                <w:sz w:val="17"/>
                <w:szCs w:val="17"/>
                <w:color w:val="auto"/>
              </w:rPr>
            </w:pPr>
          </w:p>
        </w:tc>
        <w:tc>
          <w:tcPr>
            <w:tcW w:w="26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6,255,284</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Net margin (4)</w:t>
            </w:r>
          </w:p>
        </w:tc>
        <w:tc>
          <w:tcPr>
            <w:tcW w:w="16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0.2%</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(20.5)%</w:t>
            </w:r>
          </w:p>
        </w:tc>
        <w:tc>
          <w:tcPr>
            <w:tcW w:w="0" w:type="dxa"/>
            <w:vAlign w:val="bottom"/>
          </w:tcPr>
          <w:p>
            <w:pPr>
              <w:spacing w:after="0"/>
              <w:rPr>
                <w:sz w:val="1"/>
                <w:szCs w:val="1"/>
                <w:color w:val="auto"/>
              </w:rPr>
            </w:pPr>
          </w:p>
        </w:tc>
      </w:tr>
      <w:tr>
        <w:trPr>
          <w:trHeight w:val="234"/>
        </w:trPr>
        <w:tc>
          <w:tcPr>
            <w:tcW w:w="4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Adjusted EBITDA Margin</w:t>
            </w:r>
          </w:p>
        </w:tc>
        <w:tc>
          <w:tcPr>
            <w:tcW w:w="1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5.5%</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630"/>
        </w:trPr>
        <w:tc>
          <w:tcPr>
            <w:tcW w:w="4820" w:type="dxa"/>
            <w:vAlign w:val="bottom"/>
          </w:tcPr>
          <w:p>
            <w:pPr>
              <w:spacing w:after="0"/>
              <w:rPr>
                <w:sz w:val="24"/>
                <w:szCs w:val="24"/>
                <w:color w:val="auto"/>
              </w:rPr>
            </w:pPr>
          </w:p>
        </w:tc>
        <w:tc>
          <w:tcPr>
            <w:tcW w:w="162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rPr>
              <w:t>53</w:t>
            </w: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82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-1344930</wp:posOffset>
            </wp:positionV>
            <wp:extent cx="11112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-1328420</wp:posOffset>
            </wp:positionV>
            <wp:extent cx="11112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-1344930</wp:posOffset>
            </wp:positionV>
            <wp:extent cx="14605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-1328420</wp:posOffset>
            </wp:positionV>
            <wp:extent cx="14605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-1344930</wp:posOffset>
            </wp:positionV>
            <wp:extent cx="14541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-1328420</wp:posOffset>
            </wp:positionV>
            <wp:extent cx="14541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45415" cy="8890"/>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54" w:name="page55"/>
    <w:bookmarkEnd w:id="54"/>
    <w:p>
      <w:pPr>
        <w:ind w:left="520" w:right="20" w:hanging="512"/>
        <w:spacing w:after="0" w:line="236" w:lineRule="auto"/>
        <w:tabs>
          <w:tab w:leader="none" w:pos="5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208280</wp:posOffset>
            </wp:positionH>
            <wp:positionV relativeFrom="page">
              <wp:posOffset>766445</wp:posOffset>
            </wp:positionV>
            <wp:extent cx="190309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903095" cy="8890"/>
                    </a:xfrm>
                    <a:prstGeom prst="rect">
                      <a:avLst/>
                    </a:prstGeom>
                    <a:noFill/>
                  </pic:spPr>
                </pic:pic>
              </a:graphicData>
            </a:graphic>
          </wp:anchor>
        </w:drawing>
        <w:t>Mexico joint venture EBITDA represents 50% of the entity’s operating results for the periods presented, as adjusted to reflect the results on a basis comparable to our Adjusted EBITDA. In the financial statements, this joint venture is accounted for as an equity method investment and reported net of depreciation and income taxes. Because such a presentation would not reflect the adjustments made in our calculation of Adjusted EBITDA, we include our 50% interest in our Mexico joint venture on an Adjusted EBITDA basis to ensure consistency. The table below presents a reconciliation of Mexico joint venture net income to Mexico joint venture EBITDA:</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00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3"/>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Fiscal years ended</w:t>
            </w:r>
          </w:p>
        </w:tc>
        <w:tc>
          <w:tcPr>
            <w:tcW w:w="1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000" w:type="dxa"/>
            <w:vAlign w:val="bottom"/>
          </w:tcPr>
          <w:p>
            <w:pPr>
              <w:spacing w:after="0"/>
              <w:rPr>
                <w:sz w:val="10"/>
                <w:szCs w:val="10"/>
                <w:color w:val="auto"/>
              </w:rPr>
            </w:pPr>
          </w:p>
        </w:tc>
        <w:tc>
          <w:tcPr>
            <w:tcW w:w="3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80" w:type="dxa"/>
            <w:vAlign w:val="bottom"/>
            <w:gridSpan w:val="2"/>
          </w:tcPr>
          <w:p>
            <w:pPr>
              <w:jc w:val="center"/>
              <w:ind w:right="360"/>
              <w:spacing w:after="0" w:line="118" w:lineRule="exact"/>
              <w:rPr>
                <w:sz w:val="20"/>
                <w:szCs w:val="20"/>
                <w:color w:val="auto"/>
              </w:rPr>
            </w:pPr>
            <w:r>
              <w:rPr>
                <w:rFonts w:ascii="Times New Roman" w:cs="Times New Roman" w:eastAsia="Times New Roman" w:hAnsi="Times New Roman"/>
                <w:sz w:val="13"/>
                <w:szCs w:val="13"/>
                <w:b w:val="1"/>
                <w:bCs w:val="1"/>
                <w:color w:val="auto"/>
              </w:rPr>
              <w:t>January 31,</w:t>
            </w: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60" w:type="dxa"/>
            <w:vAlign w:val="bottom"/>
            <w:gridSpan w:val="2"/>
          </w:tcPr>
          <w:p>
            <w:pPr>
              <w:jc w:val="center"/>
              <w:ind w:right="320"/>
              <w:spacing w:after="0" w:line="118" w:lineRule="exact"/>
              <w:rPr>
                <w:sz w:val="20"/>
                <w:szCs w:val="20"/>
                <w:color w:val="auto"/>
              </w:rPr>
            </w:pPr>
            <w:r>
              <w:rPr>
                <w:rFonts w:ascii="Times New Roman" w:cs="Times New Roman" w:eastAsia="Times New Roman" w:hAnsi="Times New Roman"/>
                <w:sz w:val="13"/>
                <w:szCs w:val="13"/>
                <w:b w:val="1"/>
                <w:bCs w:val="1"/>
                <w:color w:val="auto"/>
              </w:rPr>
              <w:t>February 1,</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20" w:type="dxa"/>
            <w:vAlign w:val="bottom"/>
          </w:tcPr>
          <w:p>
            <w:pPr>
              <w:jc w:val="center"/>
              <w:ind w:right="116"/>
              <w:spacing w:after="0" w:line="118" w:lineRule="exact"/>
              <w:rPr>
                <w:sz w:val="20"/>
                <w:szCs w:val="20"/>
                <w:color w:val="auto"/>
              </w:rPr>
            </w:pPr>
            <w:r>
              <w:rPr>
                <w:rFonts w:ascii="Times New Roman" w:cs="Times New Roman" w:eastAsia="Times New Roman" w:hAnsi="Times New Roman"/>
                <w:sz w:val="13"/>
                <w:szCs w:val="13"/>
                <w:b w:val="1"/>
                <w:bCs w:val="1"/>
                <w:color w:val="auto"/>
              </w:rPr>
              <w:t>February 3,</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0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36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116"/>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000" w:type="dxa"/>
            <w:vAlign w:val="bottom"/>
            <w:vMerge w:val="continue"/>
          </w:tcPr>
          <w:p>
            <w:pPr>
              <w:spacing w:after="0"/>
              <w:rPr>
                <w:sz w:val="12"/>
                <w:szCs w:val="12"/>
                <w:color w:val="auto"/>
              </w:rPr>
            </w:pPr>
          </w:p>
        </w:tc>
        <w:tc>
          <w:tcPr>
            <w:tcW w:w="3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jc w:val="center"/>
              <w:ind w:right="136"/>
              <w:spacing w:after="0" w:line="142" w:lineRule="exact"/>
              <w:rPr>
                <w:sz w:val="20"/>
                <w:szCs w:val="20"/>
                <w:color w:val="auto"/>
              </w:rPr>
            </w:pPr>
            <w:r>
              <w:rPr>
                <w:rFonts w:ascii="Times New Roman" w:cs="Times New Roman" w:eastAsia="Times New Roman" w:hAnsi="Times New Roman"/>
                <w:sz w:val="14"/>
                <w:szCs w:val="14"/>
                <w:b w:val="1"/>
                <w:bCs w:val="1"/>
                <w:color w:val="auto"/>
              </w:rPr>
              <w:t>(52 weeks)</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jc w:val="center"/>
              <w:ind w:right="96"/>
              <w:spacing w:after="0" w:line="142" w:lineRule="exact"/>
              <w:rPr>
                <w:sz w:val="20"/>
                <w:szCs w:val="20"/>
                <w:color w:val="auto"/>
              </w:rPr>
            </w:pPr>
            <w:r>
              <w:rPr>
                <w:rFonts w:ascii="Times New Roman" w:cs="Times New Roman" w:eastAsia="Times New Roman" w:hAnsi="Times New Roman"/>
                <w:sz w:val="14"/>
                <w:szCs w:val="14"/>
                <w:b w:val="1"/>
                <w:bCs w:val="1"/>
                <w:color w:val="auto"/>
              </w:rPr>
              <w:t>(52 weeks)</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jc w:val="center"/>
              <w:ind w:right="116"/>
              <w:spacing w:after="0" w:line="142" w:lineRule="exact"/>
              <w:rPr>
                <w:sz w:val="20"/>
                <w:szCs w:val="20"/>
                <w:color w:val="auto"/>
              </w:rPr>
            </w:pPr>
            <w:r>
              <w:rPr>
                <w:rFonts w:ascii="Times New Roman" w:cs="Times New Roman" w:eastAsia="Times New Roman" w:hAnsi="Times New Roman"/>
                <w:sz w:val="14"/>
                <w:szCs w:val="14"/>
                <w:b w:val="1"/>
                <w:bCs w:val="1"/>
                <w:color w:val="auto"/>
              </w:rPr>
              <w:t>(53 weeks)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w:t>
            </w:r>
          </w:p>
        </w:tc>
        <w:tc>
          <w:tcPr>
            <w:tcW w:w="38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40,715</w:t>
            </w:r>
          </w:p>
        </w:tc>
        <w:tc>
          <w:tcPr>
            <w:tcW w:w="320" w:type="dxa"/>
            <w:vAlign w:val="bottom"/>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37,559</w:t>
            </w:r>
          </w:p>
        </w:tc>
        <w:tc>
          <w:tcPr>
            <w:tcW w:w="3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32,375</w:t>
            </w:r>
          </w:p>
        </w:tc>
        <w:tc>
          <w:tcPr>
            <w:tcW w:w="0" w:type="dxa"/>
            <w:vAlign w:val="bottom"/>
          </w:tcPr>
          <w:p>
            <w:pPr>
              <w:spacing w:after="0"/>
              <w:rPr>
                <w:sz w:val="1"/>
                <w:szCs w:val="1"/>
                <w:color w:val="auto"/>
              </w:rPr>
            </w:pPr>
          </w:p>
        </w:tc>
      </w:tr>
      <w:tr>
        <w:trPr>
          <w:trHeight w:val="216"/>
        </w:trPr>
        <w:tc>
          <w:tcPr>
            <w:tcW w:w="3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Depreciation</w:t>
            </w:r>
          </w:p>
        </w:tc>
        <w:tc>
          <w:tcPr>
            <w:tcW w:w="3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28,934</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27,360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26,141</w:t>
            </w:r>
          </w:p>
        </w:tc>
        <w:tc>
          <w:tcPr>
            <w:tcW w:w="0" w:type="dxa"/>
            <w:vAlign w:val="bottom"/>
          </w:tcPr>
          <w:p>
            <w:pPr>
              <w:spacing w:after="0"/>
              <w:rPr>
                <w:sz w:val="1"/>
                <w:szCs w:val="1"/>
                <w:color w:val="auto"/>
              </w:rPr>
            </w:pPr>
          </w:p>
        </w:tc>
      </w:tr>
      <w:tr>
        <w:trPr>
          <w:trHeight w:val="216"/>
        </w:trPr>
        <w:tc>
          <w:tcPr>
            <w:tcW w:w="30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Income tax expense</w:t>
            </w:r>
          </w:p>
        </w:tc>
        <w:tc>
          <w:tcPr>
            <w:tcW w:w="36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18,267</w:t>
            </w: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16,010</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11,449</w:t>
            </w:r>
          </w:p>
        </w:tc>
        <w:tc>
          <w:tcPr>
            <w:tcW w:w="0" w:type="dxa"/>
            <w:vAlign w:val="bottom"/>
          </w:tcPr>
          <w:p>
            <w:pPr>
              <w:spacing w:after="0"/>
              <w:rPr>
                <w:sz w:val="1"/>
                <w:szCs w:val="1"/>
                <w:color w:val="auto"/>
              </w:rPr>
            </w:pPr>
          </w:p>
        </w:tc>
      </w:tr>
      <w:tr>
        <w:trPr>
          <w:trHeight w:val="216"/>
        </w:trPr>
        <w:tc>
          <w:tcPr>
            <w:tcW w:w="3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Foreign currency loss</w:t>
            </w:r>
          </w:p>
        </w:tc>
        <w:tc>
          <w:tcPr>
            <w:tcW w:w="3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772</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1,520</w:t>
            </w:r>
          </w:p>
        </w:tc>
        <w:tc>
          <w:tcPr>
            <w:tcW w:w="0" w:type="dxa"/>
            <w:vAlign w:val="bottom"/>
          </w:tcPr>
          <w:p>
            <w:pPr>
              <w:spacing w:after="0"/>
              <w:rPr>
                <w:sz w:val="1"/>
                <w:szCs w:val="1"/>
                <w:color w:val="auto"/>
              </w:rPr>
            </w:pPr>
          </w:p>
        </w:tc>
      </w:tr>
      <w:tr>
        <w:trPr>
          <w:trHeight w:val="216"/>
        </w:trPr>
        <w:tc>
          <w:tcPr>
            <w:tcW w:w="30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Interest expense, net</w:t>
            </w:r>
          </w:p>
        </w:tc>
        <w:tc>
          <w:tcPr>
            <w:tcW w:w="36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3,581</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2,131</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4,966</w:t>
            </w:r>
          </w:p>
        </w:tc>
        <w:tc>
          <w:tcPr>
            <w:tcW w:w="0" w:type="dxa"/>
            <w:vAlign w:val="bottom"/>
          </w:tcPr>
          <w:p>
            <w:pPr>
              <w:spacing w:after="0"/>
              <w:rPr>
                <w:sz w:val="1"/>
                <w:szCs w:val="1"/>
                <w:color w:val="auto"/>
              </w:rPr>
            </w:pPr>
          </w:p>
        </w:tc>
      </w:tr>
      <w:tr>
        <w:trPr>
          <w:trHeight w:val="20"/>
        </w:trPr>
        <w:tc>
          <w:tcPr>
            <w:tcW w:w="3000" w:type="dxa"/>
            <w:vAlign w:val="bottom"/>
            <w:shd w:val="clear" w:color="auto" w:fill="CFF0FC"/>
          </w:tcPr>
          <w:p>
            <w:pPr>
              <w:spacing w:after="0" w:line="20" w:lineRule="exact"/>
              <w:rPr>
                <w:sz w:val="1"/>
                <w:szCs w:val="1"/>
                <w:color w:val="auto"/>
              </w:rPr>
            </w:pPr>
          </w:p>
        </w:tc>
        <w:tc>
          <w:tcPr>
            <w:tcW w:w="36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EBITDA</w:t>
            </w:r>
          </w:p>
        </w:tc>
        <w:tc>
          <w:tcPr>
            <w:tcW w:w="3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92,269</w:t>
            </w:r>
          </w:p>
        </w:tc>
        <w:tc>
          <w:tcPr>
            <w:tcW w:w="32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83,229</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76,451</w:t>
            </w: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50% of EBITDA</w:t>
            </w:r>
          </w:p>
        </w:tc>
        <w:tc>
          <w:tcPr>
            <w:tcW w:w="38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46,135</w:t>
            </w:r>
          </w:p>
        </w:tc>
        <w:tc>
          <w:tcPr>
            <w:tcW w:w="320" w:type="dxa"/>
            <w:vAlign w:val="bottom"/>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41,615</w:t>
            </w:r>
          </w:p>
        </w:tc>
        <w:tc>
          <w:tcPr>
            <w:tcW w:w="3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38,226</w:t>
            </w:r>
          </w:p>
        </w:tc>
        <w:tc>
          <w:tcPr>
            <w:tcW w:w="0" w:type="dxa"/>
            <w:vAlign w:val="bottom"/>
          </w:tcPr>
          <w:p>
            <w:pPr>
              <w:spacing w:after="0"/>
              <w:rPr>
                <w:sz w:val="1"/>
                <w:szCs w:val="1"/>
                <w:color w:val="auto"/>
              </w:rPr>
            </w:pPr>
          </w:p>
        </w:tc>
      </w:tr>
      <w:tr>
        <w:trPr>
          <w:trHeight w:val="88"/>
        </w:trPr>
        <w:tc>
          <w:tcPr>
            <w:tcW w:w="3000" w:type="dxa"/>
            <w:vAlign w:val="bottom"/>
            <w:tcBorders>
              <w:top w:val="single" w:sz="8" w:color="CFF0FC"/>
              <w:bottom w:val="single" w:sz="8" w:color="auto"/>
            </w:tcBorders>
          </w:tcPr>
          <w:p>
            <w:pPr>
              <w:spacing w:after="0"/>
              <w:rPr>
                <w:sz w:val="7"/>
                <w:szCs w:val="7"/>
                <w:color w:val="auto"/>
              </w:rPr>
            </w:pPr>
          </w:p>
        </w:tc>
        <w:tc>
          <w:tcPr>
            <w:tcW w:w="3640" w:type="dxa"/>
            <w:vAlign w:val="bottom"/>
            <w:tcBorders>
              <w:top w:val="single" w:sz="8" w:color="CFF0FC"/>
            </w:tcBorders>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1140" w:type="dxa"/>
            <w:vAlign w:val="bottom"/>
            <w:tcBorders>
              <w:top w:val="single" w:sz="8" w:color="auto"/>
            </w:tcBorders>
          </w:tcPr>
          <w:p>
            <w:pPr>
              <w:spacing w:after="0"/>
              <w:rPr>
                <w:sz w:val="7"/>
                <w:szCs w:val="7"/>
                <w:color w:val="auto"/>
              </w:rPr>
            </w:pPr>
          </w:p>
        </w:tc>
        <w:tc>
          <w:tcPr>
            <w:tcW w:w="140" w:type="dxa"/>
            <w:vAlign w:val="bottom"/>
            <w:tcBorders>
              <w:top w:val="single" w:sz="8" w:color="CFF0FC"/>
            </w:tcBorders>
          </w:tcPr>
          <w:p>
            <w:pPr>
              <w:spacing w:after="0"/>
              <w:rPr>
                <w:sz w:val="7"/>
                <w:szCs w:val="7"/>
                <w:color w:val="auto"/>
              </w:rPr>
            </w:pPr>
          </w:p>
        </w:tc>
        <w:tc>
          <w:tcPr>
            <w:tcW w:w="140" w:type="dxa"/>
            <w:vAlign w:val="bottom"/>
            <w:tcBorders>
              <w:top w:val="single" w:sz="8" w:color="CFF0FC"/>
            </w:tcBorders>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1120" w:type="dxa"/>
            <w:vAlign w:val="bottom"/>
            <w:tcBorders>
              <w:top w:val="single" w:sz="8" w:color="auto"/>
            </w:tcBorders>
          </w:tcPr>
          <w:p>
            <w:pPr>
              <w:spacing w:after="0"/>
              <w:rPr>
                <w:sz w:val="7"/>
                <w:szCs w:val="7"/>
                <w:color w:val="auto"/>
              </w:rPr>
            </w:pPr>
          </w:p>
        </w:tc>
        <w:tc>
          <w:tcPr>
            <w:tcW w:w="140" w:type="dxa"/>
            <w:vAlign w:val="bottom"/>
            <w:tcBorders>
              <w:top w:val="single" w:sz="8" w:color="CFF0FC"/>
            </w:tcBorders>
          </w:tcPr>
          <w:p>
            <w:pPr>
              <w:spacing w:after="0"/>
              <w:rPr>
                <w:sz w:val="7"/>
                <w:szCs w:val="7"/>
                <w:color w:val="auto"/>
              </w:rPr>
            </w:pPr>
          </w:p>
        </w:tc>
        <w:tc>
          <w:tcPr>
            <w:tcW w:w="120" w:type="dxa"/>
            <w:vAlign w:val="bottom"/>
            <w:tcBorders>
              <w:top w:val="single" w:sz="8" w:color="CFF0FC"/>
            </w:tcBorders>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1120" w:type="dxa"/>
            <w:vAlign w:val="bottom"/>
            <w:tcBorders>
              <w:top w:val="single" w:sz="8" w:color="auto"/>
            </w:tcBorders>
          </w:tcPr>
          <w:p>
            <w:pPr>
              <w:spacing w:after="0"/>
              <w:rPr>
                <w:sz w:val="7"/>
                <w:szCs w:val="7"/>
                <w:color w:val="auto"/>
              </w:rPr>
            </w:pPr>
          </w:p>
        </w:tc>
        <w:tc>
          <w:tcPr>
            <w:tcW w:w="100" w:type="dxa"/>
            <w:vAlign w:val="bottom"/>
            <w:tcBorders>
              <w:top w:val="single" w:sz="8" w:color="CFF0FC"/>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-393700</wp:posOffset>
            </wp:positionV>
            <wp:extent cx="7683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-393700</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-393700</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-102235</wp:posOffset>
            </wp:positionV>
            <wp:extent cx="7683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-85090</wp:posOffset>
            </wp:positionV>
            <wp:extent cx="7683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-102235</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-85090</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-102235</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-85090</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ind w:left="520" w:right="40" w:hanging="512"/>
        <w:spacing w:after="0" w:line="261" w:lineRule="auto"/>
        <w:tabs>
          <w:tab w:leader="none" w:pos="5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Acquisition and divestiture-related costs include direct costs resulting from acquiring, integrating, or divesting businesses. These include third-party professional and legal fees, losses on sales of divestitures, and other integration-related costs that would not have otherwise been incurred as part of the Company’s operations.</w:t>
      </w:r>
    </w:p>
    <w:p>
      <w:pPr>
        <w:spacing w:after="0" w:line="54" w:lineRule="exact"/>
        <w:rPr>
          <w:rFonts w:ascii="Times New Roman" w:cs="Times New Roman" w:eastAsia="Times New Roman" w:hAnsi="Times New Roman"/>
          <w:sz w:val="14"/>
          <w:szCs w:val="14"/>
          <w:color w:val="auto"/>
        </w:rPr>
      </w:pPr>
    </w:p>
    <w:p>
      <w:pPr>
        <w:ind w:left="520" w:right="140" w:hanging="512"/>
        <w:spacing w:after="0" w:line="241" w:lineRule="auto"/>
        <w:tabs>
          <w:tab w:leader="none" w:pos="5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costs include, as incurred: restructuring costs and restructuring-related severance costs; legal reserves associated with significant, non-ordinary course legal or regulatory matters; and costs related to certain significant strategic transactions. In fiscal 2025, other costs were primarily driven by $9.7 million of severance and $2.5 million relating to legal matters. In fiscal 2024, other costs were primarily driven by $15.8 million of severance and $7.7 relating to legal matters and strategic initiatives.</w:t>
      </w:r>
    </w:p>
    <w:p>
      <w:pPr>
        <w:spacing w:after="0" w:line="68" w:lineRule="exact"/>
        <w:rPr>
          <w:rFonts w:ascii="Times New Roman" w:cs="Times New Roman" w:eastAsia="Times New Roman" w:hAnsi="Times New Roman"/>
          <w:sz w:val="14"/>
          <w:szCs w:val="14"/>
          <w:color w:val="auto"/>
        </w:rPr>
      </w:pPr>
    </w:p>
    <w:p>
      <w:pPr>
        <w:ind w:left="520" w:right="60" w:hanging="512"/>
        <w:spacing w:after="0" w:line="261" w:lineRule="auto"/>
        <w:tabs>
          <w:tab w:leader="none" w:pos="5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define net margin as net income (loss) attributable to Class A and B-1 common stockholders divided by net sales and Adjusted EBITDA margin as Adjusted EBITDA divided by net sales.</w:t>
      </w: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Free Cash Flow</w:t>
      </w:r>
    </w:p>
    <w:p>
      <w:pPr>
        <w:spacing w:after="0" w:line="121"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Free Cash Flow is a non-GAAP financial measure that is calculated as net cash provided by operating activities less cash paid for fixed assets. Management believes that Free Cash Flow, which measures our ability to generate additional cash from our business operations, is an important financial measure for use in evaluating the Company’s financial performance.</w:t>
      </w:r>
    </w:p>
    <w:p>
      <w:pPr>
        <w:spacing w:after="0" w:line="176"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Although other companies report their free cash flow, numerous methods exist for calculating a company’s free cash flow. As a result, the method used by the Company’s management to calculate our Free Cash Flow may differ from the methods used by other companies to calculate their free cash flow.</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table below reflects the calculation of Free Cash Flow for the periods presented:</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80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3"/>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Fiscal years ended</w:t>
            </w: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80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00" w:type="dxa"/>
            <w:vAlign w:val="bottom"/>
            <w:gridSpan w:val="2"/>
          </w:tcPr>
          <w:p>
            <w:pPr>
              <w:jc w:val="center"/>
              <w:ind w:right="380"/>
              <w:spacing w:after="0" w:line="118" w:lineRule="exact"/>
              <w:rPr>
                <w:sz w:val="20"/>
                <w:szCs w:val="20"/>
                <w:color w:val="auto"/>
              </w:rPr>
            </w:pPr>
            <w:r>
              <w:rPr>
                <w:rFonts w:ascii="Times New Roman" w:cs="Times New Roman" w:eastAsia="Times New Roman" w:hAnsi="Times New Roman"/>
                <w:sz w:val="13"/>
                <w:szCs w:val="13"/>
                <w:b w:val="1"/>
                <w:bCs w:val="1"/>
                <w:color w:val="auto"/>
              </w:rPr>
              <w:t>January 31,</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80" w:type="dxa"/>
            <w:vAlign w:val="bottom"/>
            <w:gridSpan w:val="2"/>
          </w:tcPr>
          <w:p>
            <w:pPr>
              <w:jc w:val="center"/>
              <w:ind w:right="340"/>
              <w:spacing w:after="0" w:line="118" w:lineRule="exact"/>
              <w:rPr>
                <w:sz w:val="20"/>
                <w:szCs w:val="20"/>
                <w:color w:val="auto"/>
              </w:rPr>
            </w:pPr>
            <w:r>
              <w:rPr>
                <w:rFonts w:ascii="Times New Roman" w:cs="Times New Roman" w:eastAsia="Times New Roman" w:hAnsi="Times New Roman"/>
                <w:sz w:val="13"/>
                <w:szCs w:val="13"/>
                <w:b w:val="1"/>
                <w:bCs w:val="1"/>
                <w:color w:val="auto"/>
              </w:rPr>
              <w:t>February 1,</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20" w:type="dxa"/>
            <w:vAlign w:val="bottom"/>
          </w:tcPr>
          <w:p>
            <w:pPr>
              <w:jc w:val="center"/>
              <w:ind w:right="120"/>
              <w:spacing w:after="0" w:line="118" w:lineRule="exact"/>
              <w:rPr>
                <w:sz w:val="20"/>
                <w:szCs w:val="20"/>
                <w:color w:val="auto"/>
              </w:rPr>
            </w:pPr>
            <w:r>
              <w:rPr>
                <w:rFonts w:ascii="Times New Roman" w:cs="Times New Roman" w:eastAsia="Times New Roman" w:hAnsi="Times New Roman"/>
                <w:sz w:val="13"/>
                <w:szCs w:val="13"/>
                <w:b w:val="1"/>
                <w:bCs w:val="1"/>
                <w:color w:val="auto"/>
              </w:rPr>
              <w:t>February 3,</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8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8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800" w:type="dxa"/>
            <w:vAlign w:val="bottom"/>
            <w:vMerge w:val="continue"/>
          </w:tcPr>
          <w:p>
            <w:pPr>
              <w:spacing w:after="0"/>
              <w:rPr>
                <w:sz w:val="12"/>
                <w:szCs w:val="12"/>
                <w:color w:val="auto"/>
              </w:rPr>
            </w:pPr>
          </w:p>
        </w:tc>
        <w:tc>
          <w:tcPr>
            <w:tcW w:w="1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jc w:val="center"/>
              <w:ind w:right="140"/>
              <w:spacing w:after="0" w:line="142" w:lineRule="exact"/>
              <w:rPr>
                <w:sz w:val="20"/>
                <w:szCs w:val="20"/>
                <w:color w:val="auto"/>
              </w:rPr>
            </w:pPr>
            <w:r>
              <w:rPr>
                <w:rFonts w:ascii="Times New Roman" w:cs="Times New Roman" w:eastAsia="Times New Roman" w:hAnsi="Times New Roman"/>
                <w:sz w:val="14"/>
                <w:szCs w:val="14"/>
                <w:b w:val="1"/>
                <w:bCs w:val="1"/>
                <w:color w:val="auto"/>
              </w:rPr>
              <w:t>(52 weeks)</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jc w:val="center"/>
              <w:ind w:right="100"/>
              <w:spacing w:after="0" w:line="142" w:lineRule="exact"/>
              <w:rPr>
                <w:sz w:val="20"/>
                <w:szCs w:val="20"/>
                <w:color w:val="auto"/>
              </w:rPr>
            </w:pPr>
            <w:r>
              <w:rPr>
                <w:rFonts w:ascii="Times New Roman" w:cs="Times New Roman" w:eastAsia="Times New Roman" w:hAnsi="Times New Roman"/>
                <w:sz w:val="14"/>
                <w:szCs w:val="14"/>
                <w:b w:val="1"/>
                <w:bCs w:val="1"/>
                <w:color w:val="auto"/>
              </w:rPr>
              <w:t>(52 weeks)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jc w:val="center"/>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(53 weeks)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314,050</w:t>
            </w:r>
          </w:p>
        </w:tc>
        <w:tc>
          <w:tcPr>
            <w:tcW w:w="300" w:type="dxa"/>
            <w:vAlign w:val="bottom"/>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177,673</w:t>
            </w:r>
          </w:p>
        </w:tc>
        <w:tc>
          <w:tcPr>
            <w:tcW w:w="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215,719</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Cash paid for fixed assets</w:t>
            </w:r>
          </w:p>
        </w:tc>
        <w:tc>
          <w:tcPr>
            <w:tcW w:w="1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(127,097)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(127,990)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(225,598)</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48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Free Cash Flow</w:t>
            </w:r>
          </w:p>
        </w:tc>
        <w:tc>
          <w:tcPr>
            <w:tcW w:w="2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186,953</w:t>
            </w:r>
          </w:p>
        </w:tc>
        <w:tc>
          <w:tcPr>
            <w:tcW w:w="300" w:type="dxa"/>
            <w:vAlign w:val="bottom"/>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49,683</w:t>
            </w:r>
          </w:p>
        </w:tc>
        <w:tc>
          <w:tcPr>
            <w:tcW w:w="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(9,879)</w:t>
            </w:r>
          </w:p>
        </w:tc>
        <w:tc>
          <w:tcPr>
            <w:tcW w:w="0" w:type="dxa"/>
            <w:vAlign w:val="bottom"/>
          </w:tcPr>
          <w:p>
            <w:pPr>
              <w:spacing w:after="0"/>
              <w:rPr>
                <w:sz w:val="1"/>
                <w:szCs w:val="1"/>
                <w:color w:val="auto"/>
              </w:rPr>
            </w:pPr>
          </w:p>
        </w:tc>
      </w:tr>
      <w:tr>
        <w:trPr>
          <w:trHeight w:val="20"/>
        </w:trPr>
        <w:tc>
          <w:tcPr>
            <w:tcW w:w="4800" w:type="dxa"/>
            <w:vAlign w:val="bottom"/>
            <w:tcBorders>
              <w:top w:val="single" w:sz="8" w:color="CFF0FC"/>
            </w:tcBorders>
            <w:shd w:val="clear" w:color="auto" w:fill="CFF0FC"/>
          </w:tcPr>
          <w:p>
            <w:pPr>
              <w:spacing w:after="0" w:line="20" w:lineRule="exact"/>
              <w:rPr>
                <w:sz w:val="1"/>
                <w:szCs w:val="1"/>
                <w:color w:val="auto"/>
              </w:rPr>
            </w:pPr>
          </w:p>
        </w:tc>
        <w:tc>
          <w:tcPr>
            <w:tcW w:w="18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-25400</wp:posOffset>
            </wp:positionV>
            <wp:extent cx="7683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-8255</wp:posOffset>
            </wp:positionV>
            <wp:extent cx="7683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-25400</wp:posOffset>
            </wp:positionV>
            <wp:extent cx="6858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-8255</wp:posOffset>
            </wp:positionV>
            <wp:extent cx="6858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21"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Our primary sources of liquidity are funds generated by operating activities and available capacity for borrowings on our $581 million ABL Revolving Credit Facility. Our ability to fund our operations, to make planned capital investments, to make scheduled debt payments and to repay or refinance indebtedness depends on our future operating performance and cash flows, which are subject to prevailing economic conditions and financial, business, and other factors, some of which are beyond our control. Our liquidity as of January 31, 2026 was $724.2 million inclusive of cash and cash equivalents of $256.7 million and $467.5 million of availability on the ABL Revolving Credit Facility. We believe that our current resources, together with anticipated cash flows from operations and borrowing capacity under the ABL Revolving Credit Facility, will be sufficient to finance our operations, meet our</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55" w:name="page56"/>
    <w:bookmarkEnd w:id="55"/>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current cash requirements, and fund anticipated capital investments for at least the next 12 months. We may, however, seek additional financing to fund future growth or refinance our existing indebtedness through the debt capital markets, but we cannot be assured that such financing will be available on favorable terms, or at all.</w:t>
      </w:r>
    </w:p>
    <w:p>
      <w:pPr>
        <w:spacing w:after="0" w:line="176"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We are a party to contractual obligations involving commitments to make payments to third parties. These obligations impact our short-term and long-term liquidity and capital resource needs. Certain contractual obligations are reflected on the consolidated balance sheet as of January 31, 2026, while others are considered future obligations. Our contractual obligations primarily consist of operating leases and long-term debt and related interest payments. We also enter certain short-term lease commitments, letters of credit and purchase obligations in the normal course of business. Refer to Note 5, “Leases,” and Note 7, “Senior Secured Credit Facilities,” in the Notes to Consolidated Financial Statements included in Part II, Item 8 of this Annual Report on Form 10-K for amounts outstanding as of January 31, 2026 related to operating leases and debt, respectively. Refer also to further discussion on our debt refinancing transaction in “Sources of Liquidity” below.</w:t>
      </w:r>
    </w:p>
    <w:p>
      <w:pPr>
        <w:spacing w:after="0" w:line="189"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Purchase obligations and commitments consist of open purchase orders, as well as non-cancellable commitments for information technology, marketing and other products and services used in the normal course of business. We also have a commitment for naming rights to a baseball stadium. Refer to Note 14, “Commitments and Contingencies—Baseball Stadium Naming Rights Commitment” in the Notes to Consolidated Financial Statements included in Part II, Item 8 of this Annual Report on Form 10-K for more information. As of January 31, 2026, our purchase obligations and commitments were $372.8 million of which $319.8 million is considered short-term.</w:t>
      </w:r>
    </w:p>
    <w:p>
      <w:pPr>
        <w:sectPr>
          <w:pgSz w:w="11900" w:h="16838" w:orient="portrait"/>
          <w:cols w:equalWidth="0" w:num="1">
            <w:col w:w="11220"/>
          </w:cols>
          <w:pgMar w:left="320" w:top="1201" w:right="359" w:bottom="1440" w:gutter="0" w:footer="0" w:header="0"/>
        </w:sect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jc w:val="right"/>
        <w:ind w:right="1000"/>
        <w:spacing w:after="0"/>
        <w:rPr>
          <w:sz w:val="20"/>
          <w:szCs w:val="20"/>
          <w:color w:val="auto"/>
        </w:rPr>
      </w:pPr>
      <w:r>
        <w:rPr>
          <w:rFonts w:ascii="Times New Roman" w:cs="Times New Roman" w:eastAsia="Times New Roman" w:hAnsi="Times New Roman"/>
          <w:sz w:val="18"/>
          <w:szCs w:val="18"/>
          <w:color w:val="auto"/>
        </w:rPr>
        <w:t>The following table summarizes our consolidated cash flows:</w:t>
      </w: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(dollars in thousands)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 cash provided by (used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3716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activities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60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Financing activities</w:t>
      </w:r>
    </w:p>
    <w:p>
      <w:pPr>
        <w:spacing w:after="0" w:line="9" w:lineRule="exact"/>
        <w:rPr>
          <w:sz w:val="20"/>
          <w:szCs w:val="20"/>
          <w:color w:val="auto"/>
        </w:rPr>
      </w:pPr>
    </w:p>
    <w:p>
      <w:pPr>
        <w:ind w:left="100" w:right="2440" w:hanging="89"/>
        <w:spacing w:after="0" w:line="276" w:lineRule="auto"/>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4"/>
          <w:szCs w:val="14"/>
          <w:b w:val="1"/>
          <w:bCs w:val="1"/>
          <w:color w:val="auto"/>
        </w:rPr>
        <w:t>Fiscal years ended</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17"/>
        </w:trPr>
        <w:tc>
          <w:tcPr>
            <w:tcW w:w="200" w:type="dxa"/>
            <w:vAlign w:val="bottom"/>
            <w:tcBorders>
              <w:top w:val="single" w:sz="8" w:color="auto"/>
            </w:tcBorders>
          </w:tcPr>
          <w:p>
            <w:pPr>
              <w:spacing w:after="0"/>
              <w:rPr>
                <w:sz w:val="10"/>
                <w:szCs w:val="10"/>
                <w:color w:val="auto"/>
              </w:rPr>
            </w:pPr>
          </w:p>
        </w:tc>
        <w:tc>
          <w:tcPr>
            <w:tcW w:w="1280" w:type="dxa"/>
            <w:vAlign w:val="bottom"/>
            <w:tcBorders>
              <w:top w:val="single" w:sz="8" w:color="auto"/>
            </w:tcBorders>
            <w:gridSpan w:val="3"/>
          </w:tcPr>
          <w:p>
            <w:pPr>
              <w:jc w:val="center"/>
              <w:ind w:right="360"/>
              <w:spacing w:after="0" w:line="118" w:lineRule="exact"/>
              <w:rPr>
                <w:sz w:val="20"/>
                <w:szCs w:val="20"/>
                <w:color w:val="auto"/>
              </w:rPr>
            </w:pPr>
            <w:r>
              <w:rPr>
                <w:rFonts w:ascii="Times New Roman" w:cs="Times New Roman" w:eastAsia="Times New Roman" w:hAnsi="Times New Roman"/>
                <w:sz w:val="13"/>
                <w:szCs w:val="13"/>
                <w:b w:val="1"/>
                <w:bCs w:val="1"/>
                <w:color w:val="auto"/>
              </w:rPr>
              <w:t>January 31,</w:t>
            </w:r>
          </w:p>
        </w:tc>
        <w:tc>
          <w:tcPr>
            <w:tcW w:w="8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380" w:type="dxa"/>
            <w:vAlign w:val="bottom"/>
            <w:tcBorders>
              <w:top w:val="single" w:sz="8" w:color="auto"/>
            </w:tcBorders>
            <w:gridSpan w:val="2"/>
          </w:tcPr>
          <w:p>
            <w:pPr>
              <w:jc w:val="center"/>
              <w:ind w:right="440"/>
              <w:spacing w:after="0" w:line="118" w:lineRule="exact"/>
              <w:rPr>
                <w:sz w:val="20"/>
                <w:szCs w:val="20"/>
                <w:color w:val="auto"/>
              </w:rPr>
            </w:pPr>
            <w:r>
              <w:rPr>
                <w:rFonts w:ascii="Times New Roman" w:cs="Times New Roman" w:eastAsia="Times New Roman" w:hAnsi="Times New Roman"/>
                <w:sz w:val="13"/>
                <w:szCs w:val="13"/>
                <w:b w:val="1"/>
                <w:bCs w:val="1"/>
                <w:color w:val="auto"/>
              </w:rPr>
              <w:t>February 1,</w:t>
            </w:r>
          </w:p>
        </w:tc>
        <w:tc>
          <w:tcPr>
            <w:tcW w:w="20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tcPr>
          <w:p>
            <w:pPr>
              <w:jc w:val="center"/>
              <w:ind w:right="118"/>
              <w:spacing w:after="0" w:line="118" w:lineRule="exact"/>
              <w:rPr>
                <w:sz w:val="20"/>
                <w:szCs w:val="20"/>
                <w:color w:val="auto"/>
              </w:rPr>
            </w:pPr>
            <w:r>
              <w:rPr>
                <w:rFonts w:ascii="Times New Roman" w:cs="Times New Roman" w:eastAsia="Times New Roman" w:hAnsi="Times New Roman"/>
                <w:sz w:val="13"/>
                <w:szCs w:val="13"/>
                <w:b w:val="1"/>
                <w:bCs w:val="1"/>
                <w:color w:val="auto"/>
              </w:rPr>
              <w:t>February 3,</w:t>
            </w:r>
          </w:p>
        </w:tc>
        <w:tc>
          <w:tcPr>
            <w:tcW w:w="60" w:type="dxa"/>
            <w:vAlign w:val="bottom"/>
          </w:tcPr>
          <w:p>
            <w:pPr>
              <w:spacing w:after="0"/>
              <w:rPr>
                <w:sz w:val="10"/>
                <w:szCs w:val="10"/>
                <w:color w:val="auto"/>
              </w:rPr>
            </w:pPr>
          </w:p>
        </w:tc>
      </w:tr>
      <w:tr>
        <w:trPr>
          <w:trHeight w:val="173"/>
        </w:trPr>
        <w:tc>
          <w:tcPr>
            <w:tcW w:w="2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118"/>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118"/>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118"/>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Pr>
          <w:p>
            <w:pPr>
              <w:spacing w:after="0"/>
              <w:rPr>
                <w:sz w:val="15"/>
                <w:szCs w:val="15"/>
                <w:color w:val="auto"/>
              </w:rPr>
            </w:pPr>
          </w:p>
        </w:tc>
      </w:tr>
      <w:tr>
        <w:trPr>
          <w:trHeight w:val="184"/>
        </w:trPr>
        <w:tc>
          <w:tcPr>
            <w:tcW w:w="200" w:type="dxa"/>
            <w:vAlign w:val="bottom"/>
          </w:tcPr>
          <w:p>
            <w:pPr>
              <w:spacing w:after="0"/>
              <w:rPr>
                <w:sz w:val="15"/>
                <w:szCs w:val="15"/>
                <w:color w:val="auto"/>
              </w:rPr>
            </w:pPr>
          </w:p>
        </w:tc>
        <w:tc>
          <w:tcPr>
            <w:tcW w:w="1120" w:type="dxa"/>
            <w:vAlign w:val="bottom"/>
          </w:tcPr>
          <w:p>
            <w:pPr>
              <w:jc w:val="center"/>
              <w:ind w:right="118"/>
              <w:spacing w:after="0"/>
              <w:rPr>
                <w:sz w:val="20"/>
                <w:szCs w:val="20"/>
                <w:color w:val="auto"/>
              </w:rPr>
            </w:pPr>
            <w:r>
              <w:rPr>
                <w:rFonts w:ascii="Times New Roman" w:cs="Times New Roman" w:eastAsia="Times New Roman" w:hAnsi="Times New Roman"/>
                <w:sz w:val="14"/>
                <w:szCs w:val="14"/>
                <w:b w:val="1"/>
                <w:bCs w:val="1"/>
                <w:color w:val="auto"/>
              </w:rPr>
              <w:t>(52 weeks)</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jc w:val="center"/>
              <w:ind w:right="118"/>
              <w:spacing w:after="0"/>
              <w:rPr>
                <w:sz w:val="20"/>
                <w:szCs w:val="20"/>
                <w:color w:val="auto"/>
              </w:rPr>
            </w:pPr>
            <w:r>
              <w:rPr>
                <w:rFonts w:ascii="Times New Roman" w:cs="Times New Roman" w:eastAsia="Times New Roman" w:hAnsi="Times New Roman"/>
                <w:sz w:val="14"/>
                <w:szCs w:val="14"/>
                <w:b w:val="1"/>
                <w:bCs w:val="1"/>
                <w:color w:val="auto"/>
              </w:rPr>
              <w:t>(52 weeks)</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jc w:val="center"/>
              <w:ind w:right="118"/>
              <w:spacing w:after="0"/>
              <w:rPr>
                <w:sz w:val="20"/>
                <w:szCs w:val="20"/>
                <w:color w:val="auto"/>
              </w:rPr>
            </w:pPr>
            <w:r>
              <w:rPr>
                <w:rFonts w:ascii="Times New Roman" w:cs="Times New Roman" w:eastAsia="Times New Roman" w:hAnsi="Times New Roman"/>
                <w:sz w:val="14"/>
                <w:szCs w:val="14"/>
                <w:b w:val="1"/>
                <w:bCs w:val="1"/>
                <w:color w:val="auto"/>
              </w:rPr>
              <w:t>(53 weeks)</w:t>
            </w:r>
          </w:p>
        </w:tc>
        <w:tc>
          <w:tcPr>
            <w:tcW w:w="60" w:type="dxa"/>
            <w:vAlign w:val="bottom"/>
          </w:tcPr>
          <w:p>
            <w:pPr>
              <w:spacing w:after="0"/>
              <w:rPr>
                <w:sz w:val="15"/>
                <w:szCs w:val="15"/>
                <w:color w:val="auto"/>
              </w:rPr>
            </w:pPr>
          </w:p>
        </w:tc>
      </w:tr>
      <w:tr>
        <w:trPr>
          <w:trHeight w:val="372"/>
        </w:trPr>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314,050</w:t>
            </w:r>
          </w:p>
        </w:tc>
        <w:tc>
          <w:tcPr>
            <w:tcW w:w="140" w:type="dxa"/>
            <w:vAlign w:val="bottom"/>
          </w:tcPr>
          <w:p>
            <w:pPr>
              <w:spacing w:after="0"/>
              <w:rPr>
                <w:sz w:val="24"/>
                <w:szCs w:val="24"/>
                <w:color w:val="auto"/>
              </w:rPr>
            </w:pPr>
          </w:p>
        </w:tc>
        <w:tc>
          <w:tcPr>
            <w:tcW w:w="2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177,673</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215,719</w:t>
            </w:r>
          </w:p>
        </w:tc>
      </w:tr>
      <w:tr>
        <w:trPr>
          <w:trHeight w:val="216"/>
        </w:trPr>
        <w:tc>
          <w:tcPr>
            <w:tcW w:w="200" w:type="dxa"/>
            <w:vAlign w:val="bottom"/>
          </w:tcPr>
          <w:p>
            <w:pPr>
              <w:spacing w:after="0"/>
              <w:rPr>
                <w:sz w:val="18"/>
                <w:szCs w:val="18"/>
                <w:color w:val="auto"/>
              </w:rPr>
            </w:pPr>
          </w:p>
        </w:tc>
        <w:tc>
          <w:tcPr>
            <w:tcW w:w="12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(124,556)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(123,903)</w:t>
            </w:r>
          </w:p>
        </w:tc>
        <w:tc>
          <w:tcPr>
            <w:tcW w:w="20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(207,445)</w:t>
            </w:r>
          </w:p>
        </w:tc>
      </w:tr>
      <w:tr>
        <w:trPr>
          <w:trHeight w:val="234"/>
        </w:trPr>
        <w:tc>
          <w:tcPr>
            <w:tcW w:w="200" w:type="dxa"/>
            <w:vAlign w:val="bottom"/>
          </w:tcPr>
          <w:p>
            <w:pPr>
              <w:spacing w:after="0"/>
              <w:rPr>
                <w:sz w:val="20"/>
                <w:szCs w:val="20"/>
                <w:color w:val="auto"/>
              </w:rPr>
            </w:pPr>
          </w:p>
        </w:tc>
        <w:tc>
          <w:tcPr>
            <w:tcW w:w="12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(101,747)</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(8,754)</w:t>
            </w:r>
          </w:p>
        </w:tc>
        <w:tc>
          <w:tcPr>
            <w:tcW w:w="200" w:type="dxa"/>
            <w:vAlign w:val="bottom"/>
          </w:tcPr>
          <w:p>
            <w:pPr>
              <w:spacing w:after="0"/>
              <w:rPr>
                <w:sz w:val="20"/>
                <w:szCs w:val="20"/>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(85,352)</w:t>
            </w:r>
          </w:p>
        </w:tc>
      </w:tr>
      <w:tr>
        <w:trPr>
          <w:trHeight w:val="20"/>
        </w:trPr>
        <w:tc>
          <w:tcPr>
            <w:tcW w:w="200" w:type="dxa"/>
            <w:vAlign w:val="bottom"/>
            <w:shd w:val="clear" w:color="auto" w:fill="000000"/>
          </w:tcPr>
          <w:p>
            <w:pPr>
              <w:spacing w:after="0" w:line="20" w:lineRule="exact"/>
              <w:rPr>
                <w:sz w:val="1"/>
                <w:szCs w:val="1"/>
                <w:color w:val="auto"/>
              </w:rPr>
            </w:pPr>
          </w:p>
        </w:tc>
        <w:tc>
          <w:tcPr>
            <w:tcW w:w="114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85"/>
        </w:trPr>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87,747</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45,016</w:t>
            </w:r>
          </w:p>
        </w:tc>
        <w:tc>
          <w:tcPr>
            <w:tcW w:w="240" w:type="dxa"/>
            <w:vAlign w:val="bottom"/>
          </w:tcPr>
          <w:p>
            <w:pPr>
              <w:spacing w:after="0"/>
              <w:rPr>
                <w:sz w:val="24"/>
                <w:szCs w:val="24"/>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(77,078)</w:t>
            </w:r>
          </w:p>
        </w:tc>
      </w:tr>
      <w:tr>
        <w:trPr>
          <w:trHeight w:val="20"/>
        </w:trPr>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697" w:lineRule="exact"/>
        <w:rPr>
          <w:sz w:val="20"/>
          <w:szCs w:val="20"/>
          <w:color w:val="auto"/>
        </w:rPr>
      </w:pPr>
    </w:p>
    <w:p>
      <w:pPr>
        <w:sectPr>
          <w:pgSz w:w="11900" w:h="16838" w:orient="portrait"/>
          <w:cols w:equalWidth="0" w:num="2">
            <w:col w:w="5940" w:space="720"/>
            <w:col w:w="4560"/>
          </w:cols>
          <w:pgMar w:left="320" w:top="1201" w:right="359" w:bottom="1440" w:gutter="0" w:footer="0" w:header="0"/>
          <w:type w:val="continuous"/>
        </w:sectPr>
      </w:pPr>
    </w:p>
    <w:p>
      <w:pPr>
        <w:ind w:right="140" w:firstLine="509"/>
        <w:spacing w:after="0" w:line="255" w:lineRule="auto"/>
        <w:rPr>
          <w:sz w:val="20"/>
          <w:szCs w:val="20"/>
          <w:color w:val="auto"/>
        </w:rPr>
      </w:pPr>
      <w:r>
        <w:rPr>
          <w:rFonts w:ascii="Times New Roman" w:cs="Times New Roman" w:eastAsia="Times New Roman" w:hAnsi="Times New Roman"/>
          <w:sz w:val="18"/>
          <w:szCs w:val="18"/>
          <w:color w:val="auto"/>
        </w:rPr>
        <w:t>Our primary source of operating cash is sales of products and services to customers, which are substantially all on a cash basis, and therefore provide us with a significant source of liquidity. Our primary uses of cash in operating activities include: purchases of inventory; freight and warehousing costs; employee-related expenditures; occupancy-related costs for our pet care centers, distribution centers and corporate support centers; credit card fees; interest under our debt agreements; and marketing expenses. Net cash provided by operating activities is impacted by our net income (loss) adjusted for certain non-cash items, including: depreciation, amortization, impairments and write-offs; amortization of debt discounts and issuance costs; deferred income taxes; equity-based compensation; impairments of goodwill and intangible assets; other non-operating income; and the effect of changes in operating assets and liabilities.</w:t>
      </w:r>
    </w:p>
    <w:p>
      <w:pPr>
        <w:spacing w:after="0" w:line="189"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Net cash provided by operating activities was $314.1 million in fiscal 2025 compared with net cash provided by operating activities of $177.7 million in fiscal 2024. The increase in operating cash flows were primarily driven by a decrease in inventory purchases, lower cash paid for operating leases, lower cash paid for income taxes, and lower operational costs, such as consulting fees. This was partially offset by lower sales and higher payouts of prior year accrued incentive bonuses as well as timing of invoice payments.</w:t>
      </w:r>
    </w:p>
    <w:p>
      <w:pPr>
        <w:spacing w:after="0" w:line="180"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Net cash provided by operating activities was $177.7 million in fiscal 2024 compared with $215.7 million in fiscal 2023. The decrease in operating cash flows were primarily driven by lower sales and the timing of invoice payments. This was partially offset by decreases in inventory purchases, advertising, freight, and cash paid for operating leases.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type w:val="continuous"/>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40" w:lineRule="exact"/>
        <w:rPr>
          <w:sz w:val="20"/>
          <w:szCs w:val="20"/>
          <w:color w:val="auto"/>
        </w:rPr>
      </w:pPr>
    </w:p>
    <w:p>
      <w:pPr>
        <w:ind w:right="280" w:firstLine="162"/>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was $124.6 million, $123.9 million, and $207.4 million for fiscal 2025, fiscal 2024, and fiscal 2023, respectively, and consisted primarily of capital expenditures to support our business.</w:t>
      </w:r>
    </w:p>
    <w:p>
      <w:pPr>
        <w:spacing w:after="0" w:line="162" w:lineRule="exact"/>
        <w:rPr>
          <w:sz w:val="20"/>
          <w:szCs w:val="20"/>
          <w:color w:val="auto"/>
        </w:rPr>
      </w:pPr>
    </w:p>
    <w:p>
      <w:pPr>
        <w:ind w:right="320" w:firstLine="509"/>
        <w:spacing w:after="0" w:line="282" w:lineRule="auto"/>
        <w:rPr>
          <w:sz w:val="20"/>
          <w:szCs w:val="20"/>
          <w:color w:val="auto"/>
        </w:rPr>
      </w:pPr>
      <w:r>
        <w:rPr>
          <w:rFonts w:ascii="Times New Roman" w:cs="Times New Roman" w:eastAsia="Times New Roman" w:hAnsi="Times New Roman"/>
          <w:sz w:val="18"/>
          <w:szCs w:val="18"/>
          <w:color w:val="auto"/>
        </w:rPr>
        <w:t>Capital expenditures were relatively even between fiscal 2025 and fiscal 2024. In fiscal 2026, we expect to spend approximately $140 million in capital expenditures.</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decrease in capital expenditures between fiscal 2024 and fiscal 2023 was primarily driven by reductions in new pet care centers and hospitals.</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Capital expenditures by category during the periods set forth below are as follows: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60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center"/>
              <w:ind w:right="18"/>
              <w:spacing w:after="0"/>
              <w:rPr>
                <w:sz w:val="20"/>
                <w:szCs w:val="20"/>
                <w:color w:val="auto"/>
              </w:rPr>
            </w:pPr>
            <w:r>
              <w:rPr>
                <w:rFonts w:ascii="Times New Roman" w:cs="Times New Roman" w:eastAsia="Times New Roman" w:hAnsi="Times New Roman"/>
                <w:sz w:val="14"/>
                <w:szCs w:val="14"/>
                <w:b w:val="1"/>
                <w:bCs w:val="1"/>
                <w:color w:val="auto"/>
              </w:rPr>
              <w:t>Fiscal years ended</w:t>
            </w:r>
          </w:p>
        </w:tc>
        <w:tc>
          <w:tcPr>
            <w:tcW w:w="2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17"/>
        </w:trPr>
        <w:tc>
          <w:tcPr>
            <w:tcW w:w="460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20" w:type="dxa"/>
            <w:vAlign w:val="bottom"/>
          </w:tcPr>
          <w:p>
            <w:pPr>
              <w:jc w:val="right"/>
              <w:ind w:right="217"/>
              <w:spacing w:after="0" w:line="118" w:lineRule="exact"/>
              <w:rPr>
                <w:sz w:val="20"/>
                <w:szCs w:val="20"/>
                <w:color w:val="auto"/>
              </w:rPr>
            </w:pPr>
            <w:r>
              <w:rPr>
                <w:rFonts w:ascii="Times New Roman" w:cs="Times New Roman" w:eastAsia="Times New Roman" w:hAnsi="Times New Roman"/>
                <w:sz w:val="13"/>
                <w:szCs w:val="13"/>
                <w:b w:val="1"/>
                <w:bCs w:val="1"/>
                <w:color w:val="auto"/>
              </w:rPr>
              <w:t>January 31,</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40" w:type="dxa"/>
            <w:vAlign w:val="bottom"/>
          </w:tcPr>
          <w:p>
            <w:pPr>
              <w:jc w:val="center"/>
              <w:ind w:right="38"/>
              <w:spacing w:after="0" w:line="118" w:lineRule="exact"/>
              <w:rPr>
                <w:sz w:val="20"/>
                <w:szCs w:val="20"/>
                <w:color w:val="auto"/>
              </w:rPr>
            </w:pPr>
            <w:r>
              <w:rPr>
                <w:rFonts w:ascii="Times New Roman" w:cs="Times New Roman" w:eastAsia="Times New Roman" w:hAnsi="Times New Roman"/>
                <w:sz w:val="13"/>
                <w:szCs w:val="13"/>
                <w:b w:val="1"/>
                <w:bCs w:val="1"/>
                <w:color w:val="auto"/>
              </w:rPr>
              <w:t>February 1,</w:t>
            </w: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40" w:type="dxa"/>
            <w:vAlign w:val="bottom"/>
          </w:tcPr>
          <w:p>
            <w:pPr>
              <w:jc w:val="right"/>
              <w:ind w:right="237"/>
              <w:spacing w:after="0" w:line="118" w:lineRule="exact"/>
              <w:rPr>
                <w:sz w:val="20"/>
                <w:szCs w:val="20"/>
                <w:color w:val="auto"/>
              </w:rPr>
            </w:pPr>
            <w:r>
              <w:rPr>
                <w:rFonts w:ascii="Times New Roman" w:cs="Times New Roman" w:eastAsia="Times New Roman" w:hAnsi="Times New Roman"/>
                <w:sz w:val="13"/>
                <w:szCs w:val="13"/>
                <w:b w:val="1"/>
                <w:bCs w:val="1"/>
                <w:color w:val="auto"/>
              </w:rPr>
              <w:t>February 3,</w:t>
            </w:r>
          </w:p>
        </w:tc>
        <w:tc>
          <w:tcPr>
            <w:tcW w:w="100" w:type="dxa"/>
            <w:vAlign w:val="bottom"/>
          </w:tcPr>
          <w:p>
            <w:pPr>
              <w:spacing w:after="0"/>
              <w:rPr>
                <w:sz w:val="10"/>
                <w:szCs w:val="10"/>
                <w:color w:val="auto"/>
              </w:rPr>
            </w:pPr>
          </w:p>
        </w:tc>
      </w:tr>
      <w:tr>
        <w:trPr>
          <w:trHeight w:val="173"/>
        </w:trPr>
        <w:tc>
          <w:tcPr>
            <w:tcW w:w="46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0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2026</w:t>
            </w:r>
          </w:p>
        </w:tc>
        <w:tc>
          <w:tcPr>
            <w:tcW w:w="2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2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r>
      <w:tr>
        <w:trPr>
          <w:trHeight w:val="191"/>
        </w:trPr>
        <w:tc>
          <w:tcPr>
            <w:tcW w:w="46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New and existing pet care center</w:t>
            </w:r>
          </w:p>
        </w:tc>
        <w:tc>
          <w:tcPr>
            <w:tcW w:w="2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4"/>
        </w:trPr>
        <w:tc>
          <w:tcPr>
            <w:tcW w:w="4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locations</w:t>
            </w:r>
          </w:p>
        </w:tc>
        <w:tc>
          <w:tcPr>
            <w:tcW w:w="22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54,060</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46,084</w:t>
            </w:r>
          </w:p>
        </w:tc>
        <w:tc>
          <w:tcPr>
            <w:tcW w:w="4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121,815</w:t>
            </w:r>
          </w:p>
        </w:tc>
        <w:tc>
          <w:tcPr>
            <w:tcW w:w="100" w:type="dxa"/>
            <w:vAlign w:val="bottom"/>
          </w:tcPr>
          <w:p>
            <w:pPr>
              <w:spacing w:after="0"/>
              <w:rPr>
                <w:sz w:val="20"/>
                <w:szCs w:val="20"/>
                <w:color w:val="auto"/>
              </w:rPr>
            </w:pPr>
          </w:p>
        </w:tc>
      </w:tr>
      <w:tr>
        <w:trPr>
          <w:trHeight w:val="216"/>
        </w:trPr>
        <w:tc>
          <w:tcPr>
            <w:tcW w:w="4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Digital and information technology</w:t>
            </w:r>
          </w:p>
        </w:tc>
        <w:tc>
          <w:tcPr>
            <w:tcW w:w="20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53,572</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51,948</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70,598</w:t>
            </w:r>
          </w:p>
        </w:tc>
        <w:tc>
          <w:tcPr>
            <w:tcW w:w="100" w:type="dxa"/>
            <w:vAlign w:val="bottom"/>
            <w:shd w:val="clear" w:color="auto" w:fill="CFF0FC"/>
          </w:tcPr>
          <w:p>
            <w:pPr>
              <w:spacing w:after="0"/>
              <w:rPr>
                <w:sz w:val="18"/>
                <w:szCs w:val="18"/>
                <w:color w:val="auto"/>
              </w:rPr>
            </w:pPr>
          </w:p>
        </w:tc>
      </w:tr>
      <w:tr>
        <w:trPr>
          <w:trHeight w:val="216"/>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Supply chain and other</w:t>
            </w:r>
          </w:p>
        </w:tc>
        <w:tc>
          <w:tcPr>
            <w:tcW w:w="20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19,465</w:t>
            </w:r>
          </w:p>
        </w:tc>
        <w:tc>
          <w:tcPr>
            <w:tcW w:w="2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29,958</w:t>
            </w:r>
          </w:p>
        </w:tc>
        <w:tc>
          <w:tcPr>
            <w:tcW w:w="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33,185</w:t>
            </w:r>
          </w:p>
        </w:tc>
        <w:tc>
          <w:tcPr>
            <w:tcW w:w="100" w:type="dxa"/>
            <w:vAlign w:val="bottom"/>
          </w:tcPr>
          <w:p>
            <w:pPr>
              <w:spacing w:after="0"/>
              <w:rPr>
                <w:sz w:val="18"/>
                <w:szCs w:val="18"/>
                <w:color w:val="auto"/>
              </w:rPr>
            </w:pPr>
          </w:p>
        </w:tc>
      </w:tr>
      <w:tr>
        <w:trPr>
          <w:trHeight w:val="250"/>
        </w:trPr>
        <w:tc>
          <w:tcPr>
            <w:tcW w:w="460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capital expenditures</w:t>
            </w:r>
          </w:p>
        </w:tc>
        <w:tc>
          <w:tcPr>
            <w:tcW w:w="206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127,097</w:t>
            </w:r>
          </w:p>
        </w:tc>
        <w:tc>
          <w:tcPr>
            <w:tcW w:w="2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127,990</w:t>
            </w:r>
          </w:p>
        </w:tc>
        <w:tc>
          <w:tcPr>
            <w:tcW w:w="2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225,598</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-24765</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-7620</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-24765</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-7620</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29"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Net cash used in financing activities was $101.7 million for fiscal 2025, compared with $8.8 million used in financing activities in fiscal 2024 and $85.4 million used in financing activities in fiscal 2023.</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Financing cash flows in fiscal 2025 primarily consisted of $95.3 million in principal repayments on the term loan.</w:t>
      </w:r>
    </w:p>
    <w:p>
      <w:pPr>
        <w:spacing w:after="0" w:line="225"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Financing cash flows in fiscal 2024 primarily consisted of borrowings and repayments on the ABL Revolving Credit Facility and payments for tax withholdings on stock-based awards.</w:t>
      </w:r>
    </w:p>
    <w:p>
      <w:pPr>
        <w:spacing w:after="0" w:line="162"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Financing cash flows in fiscal 2023 primarily consisted of $75.0 million in principal repayments on the term loan, borrowings and repayments under the ABL Revolving Credit Facility, and payments for tax withholdings on stock-based awards.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Senior Secured Credit Facilities</w:t>
      </w:r>
    </w:p>
    <w:p>
      <w:pPr>
        <w:spacing w:after="0" w:line="229"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On March 4, 2021, the Company completed a refinancing transaction by entering into the $1,700.0 million First Lien Term Loan originally maturing on March 4, 2028 and the ABL Revolving Credit Facility, originally maturing on March 4, 2026 with availability of up to $500.0 million, subject to a borrowing base.</w:t>
      </w:r>
    </w:p>
    <w:p>
      <w:pPr>
        <w:spacing w:after="0" w:line="176" w:lineRule="exact"/>
        <w:rPr>
          <w:sz w:val="20"/>
          <w:szCs w:val="20"/>
          <w:color w:val="auto"/>
        </w:rPr>
      </w:pPr>
    </w:p>
    <w:p>
      <w:pPr>
        <w:ind w:right="200" w:firstLine="554"/>
        <w:spacing w:after="0" w:line="261" w:lineRule="auto"/>
        <w:rPr>
          <w:sz w:val="20"/>
          <w:szCs w:val="20"/>
          <w:color w:val="auto"/>
        </w:rPr>
      </w:pPr>
      <w:r>
        <w:rPr>
          <w:rFonts w:ascii="Times New Roman" w:cs="Times New Roman" w:eastAsia="Times New Roman" w:hAnsi="Times New Roman"/>
          <w:sz w:val="18"/>
          <w:szCs w:val="18"/>
          <w:color w:val="auto"/>
        </w:rPr>
        <w:t>Interest on the First Lien Term Loan was based on, at the Company’s option, either a base rate or Adjusted Term SOFR, subject to a 0.75% floor, payable upon maturity of the SOFR contract, in either case plus the applicable rate. The base rate was the greater of the bank prime rate, federal funds effective rate plus 0.5% or Adjusted Term SOFR plus 1.0%. The applicable rate was 2.25% per annum for a base rate loan or 3.25% per annum for an Adjusted Term SOFR loan. Principal and interest payments commenced on June 30, 2021. Principal payments were typically $4.25 million quarterly.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57" w:name="page58"/>
    <w:bookmarkEnd w:id="57"/>
    <w:p>
      <w:pPr>
        <w:ind w:right="400" w:firstLine="509"/>
        <w:spacing w:after="0" w:line="282" w:lineRule="auto"/>
        <w:rPr>
          <w:sz w:val="20"/>
          <w:szCs w:val="20"/>
          <w:color w:val="auto"/>
        </w:rPr>
      </w:pPr>
      <w:r>
        <w:rPr>
          <w:rFonts w:ascii="Times New Roman" w:cs="Times New Roman" w:eastAsia="Times New Roman" w:hAnsi="Times New Roman"/>
          <w:sz w:val="18"/>
          <w:szCs w:val="18"/>
          <w:color w:val="auto"/>
        </w:rPr>
        <w:t>The Company voluntarily repaid $75.0 million of the principal of the First Lien Term Loan using existing cash on hand during fiscal 2023. The repayments were applied to remaining principal payments in order of scheduled payment date.</w:t>
      </w:r>
    </w:p>
    <w:p>
      <w:pPr>
        <w:spacing w:after="0" w:line="162"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In March 2024, the Company amended the ABL Revolving Credit Facility, which now consists of two tranches, to increase its total availability from $500.0 million to $581.0 million and extend the maturity on a portion of this availability. The first tranche has availability of up to $35.0 million, subject to a borrowing base, maturing on March 4, 2026. The second tranche has availability of up to $546.0 million, subject to a borrowing base, maturing on March 29, 2029. Interest on the ABL Revolving Credit Facility is based on, at the Company's option, either the base rate subject to a 1% floor, or Term SOFR subject to a floor of 0%, plus an applicable margin. All other key terms of the ABL Revolving Credit Facility remained unchanged.</w:t>
      </w:r>
    </w:p>
    <w:p>
      <w:pPr>
        <w:spacing w:after="0" w:line="183"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During fiscal 2025, the Company voluntarily repaid $95.3 million of the principal of the First Lien Term Loan using existing cash on hand. The repayments were applied to the remaining principal payments in order of scheduled payment date.</w:t>
      </w:r>
    </w:p>
    <w:p>
      <w:pPr>
        <w:spacing w:after="0" w:line="162"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On February 2, 2026, the Company entered into an amendment to the First Lien Term Loan (“Amended First Lien Term Loan”) and issued $600.0 million in aggregate principal amount of senior secured notes (the “Senior Secured Notes”). Following the amendment, $900.0 million of principal remained on the Amended First Lien Term Loan.</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Senior Secured Notes</w:t>
      </w:r>
    </w:p>
    <w:p>
      <w:pPr>
        <w:spacing w:after="0" w:line="229"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The Senior Secured Notes bear interest at 8.25% per annum and mature on February 1, 2031. The Company issued the Senior Secured Notes pursuant to an indenture, dated as of February 2, 2026 (the “Indenture”). The Indenture contains covenants that, among other things, restrict the Company’s ability and the ability of its restricted subsidiaries to: incur additional indebtedness or guarantee indebtedness; pay dividends or make other distributions in respect of, or repurchase or redeem, capital stock; issue certain preferred stock or similar equity securities; make loans and investments; sell or otherwise dispose of assets; incur liens; enter into transactions with affiliates, enter into agreements restricting our subsidiaries’ ability to pay dividends; and consolidate, merge, or sell all or substantially all assets. These restrictions, however, are subject to a number of important exceptions and qualifications.</w:t>
      </w:r>
    </w:p>
    <w:p>
      <w:pPr>
        <w:spacing w:after="0" w:line="200" w:lineRule="exact"/>
        <w:rPr>
          <w:sz w:val="20"/>
          <w:szCs w:val="20"/>
          <w:color w:val="auto"/>
        </w:rPr>
      </w:pPr>
    </w:p>
    <w:p>
      <w:pPr>
        <w:spacing w:after="0" w:line="203"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The Indenture also provides that the Senior Secured Notes may become subject to redemption under certain circumstances, including a change of control (as defined in the Indenture) of the Company. Prior to February 1, 2028, the Company may, at its option, redeem the Senior Secured Notes in whole or in part, at a redemption price equal to 100% of the principal amount of the Senior Secured Notes being redeemed plus the make-whole premium set forth in the Indenture, together with accrued and unpaid interest. On and after February 1, 2028, the Company may, at its option, redeem the Senior Secured Notes in whole or in part, at certain redemption prices (expressed as percentages of the principal amount thereof) set forth in the Indenture, together with accrued and unpaid interest.</w:t>
      </w:r>
    </w:p>
    <w:p>
      <w:pPr>
        <w:spacing w:after="0" w:line="185" w:lineRule="exact"/>
        <w:rPr>
          <w:sz w:val="20"/>
          <w:szCs w:val="20"/>
          <w:color w:val="auto"/>
        </w:rPr>
      </w:pPr>
    </w:p>
    <w:p>
      <w:pPr>
        <w:ind w:right="600" w:firstLine="509"/>
        <w:spacing w:after="0" w:line="284" w:lineRule="auto"/>
        <w:rPr>
          <w:sz w:val="20"/>
          <w:szCs w:val="20"/>
          <w:color w:val="auto"/>
        </w:rPr>
      </w:pPr>
      <w:r>
        <w:rPr>
          <w:rFonts w:ascii="Times New Roman" w:cs="Times New Roman" w:eastAsia="Times New Roman" w:hAnsi="Times New Roman"/>
          <w:sz w:val="18"/>
          <w:szCs w:val="18"/>
          <w:color w:val="auto"/>
        </w:rPr>
        <w:t>For more information regarding this indebtedness, refer to Note 7, “Senior Secured Credit Facilitie</w:t>
      </w:r>
      <w:r>
        <w:rPr>
          <w:rFonts w:ascii="Times New Roman" w:cs="Times New Roman" w:eastAsia="Times New Roman" w:hAnsi="Times New Roman"/>
          <w:sz w:val="18"/>
          <w:szCs w:val="18"/>
          <w:i w:val="1"/>
          <w:iCs w:val="1"/>
          <w:color w:val="auto"/>
        </w:rPr>
        <w:t>s</w:t>
      </w:r>
      <w:r>
        <w:rPr>
          <w:rFonts w:ascii="Times New Roman" w:cs="Times New Roman" w:eastAsia="Times New Roman" w:hAnsi="Times New Roman"/>
          <w:sz w:val="18"/>
          <w:szCs w:val="18"/>
          <w:color w:val="auto"/>
        </w:rPr>
        <w:t>,” in the Notes to Consolidated Financial Statements included in Part II, Item 8 of this Annual Report on Form 10-K.</w:t>
      </w:r>
    </w:p>
    <w:p>
      <w:pPr>
        <w:spacing w:after="0" w:line="15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Derivative Instruments</w:t>
      </w:r>
    </w:p>
    <w:p>
      <w:pPr>
        <w:spacing w:after="0" w:line="229" w:lineRule="exact"/>
        <w:rPr>
          <w:sz w:val="20"/>
          <w:szCs w:val="20"/>
          <w:color w:val="auto"/>
        </w:rPr>
      </w:pPr>
    </w:p>
    <w:p>
      <w:pPr>
        <w:jc w:val="both"/>
        <w:ind w:right="80" w:firstLine="509"/>
        <w:spacing w:after="0" w:line="266" w:lineRule="auto"/>
        <w:rPr>
          <w:sz w:val="20"/>
          <w:szCs w:val="20"/>
          <w:color w:val="auto"/>
        </w:rPr>
      </w:pPr>
      <w:r>
        <w:rPr>
          <w:rFonts w:ascii="Times New Roman" w:cs="Times New Roman" w:eastAsia="Times New Roman" w:hAnsi="Times New Roman"/>
          <w:sz w:val="18"/>
          <w:szCs w:val="18"/>
          <w:color w:val="auto"/>
        </w:rPr>
        <w:t>The Company entered into interest rate cap, collar and swap agreements to limit the maximum interest on a portion of the Company’s variable-rate debt and decrease its exposure to interest rate variability relating to three-month Term SOFR. For more information regarding derivative instruments, refer to Note 8, “</w:t>
      </w:r>
      <w:r>
        <w:rPr>
          <w:rFonts w:ascii="Times New Roman" w:cs="Times New Roman" w:eastAsia="Times New Roman" w:hAnsi="Times New Roman"/>
          <w:sz w:val="18"/>
          <w:szCs w:val="18"/>
          <w:i w:val="1"/>
          <w:iCs w:val="1"/>
          <w:color w:val="auto"/>
        </w:rPr>
        <w:t>Derivative Instruments</w:t>
      </w:r>
      <w:r>
        <w:rPr>
          <w:rFonts w:ascii="Times New Roman" w:cs="Times New Roman" w:eastAsia="Times New Roman" w:hAnsi="Times New Roman"/>
          <w:sz w:val="18"/>
          <w:szCs w:val="18"/>
          <w:color w:val="auto"/>
        </w:rPr>
        <w:t>,” in the Notes to Consolidated Financial Statements included in Part II, Item 8 of this Annual Report on Form 10-K.</w:t>
      </w: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Segment</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We operate under one reportable segment and support and serve pets and their parents through our integrated ecosystem of pet care centers, services, and e-commerce.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58" w:name="page59"/>
    <w:bookmarkEnd w:id="5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121"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Our financial performance is not significantly impacted by seasonality, as the majority of our sales are generated by pet parents caring for their pets year-round.</w:t>
      </w: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The preparation of our consolidated financial statements in conformity with accounting principles generally accepted in the United States (“GAAP”) requires us to make assumptions and estimates about future results and apply judgments that affect the reported amounts of assets, liabilities, net sales, expenses and related disclosures. We base our estimates and judgments on historical experience, current trends and other factors that we believe to be relevant at the time our consolidated financial statements are prepared. On an ongoing basis, we review the accounting policies, assumptions, estimates and judgments to ensure that our financial statements are presented fairly and in accordance with GAAP. However, because future events and their effects cannot be determined with certainty, actual results could differ from our assumptions and estimates, and such differences could be material.</w:t>
      </w:r>
    </w:p>
    <w:p>
      <w:pPr>
        <w:spacing w:after="0" w:line="187"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We state our significant accounting policies in the notes to our annual consolidated financial statements, which are included in this Annual Report on Form 10-K. We believe that the following accounting policies and estimates described below have the greatest potential impact on our financial statements, and therefore we consider these to be critical to aid in fully understanding and evaluating our reported financial results.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Inventory Reserves</w:t>
      </w:r>
    </w:p>
    <w:p>
      <w:pPr>
        <w:spacing w:after="0" w:line="121"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We value our inventory at the lower of the cost or net realizable value through the establishment of inventory valuation and shrink reserves. Cost is determined by the average cost method and includes inbound freight charges. Our valuation reserves represent the excess of the carrying value or average cost, over the amount we expect to realize from the ultimate sale of the inventory. Valuation reserves establish a new cost basis, and subsequent changes in facts or circumstances do not result in an increase in the newly established cost basis. Our valuation reserves are subject to uncertainties, as the calculation requires us to make assumptions regarding inventory aging, forecasted consumer demand and trends and the promotional environment.</w:t>
      </w:r>
    </w:p>
    <w:p>
      <w:pPr>
        <w:spacing w:after="0" w:line="183"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Our inventory shrink reserve represents estimated physical inventory losses that have occurred since the last physical inventory date. Periodic inventory observations are performed on a regular basis at pet care center locations, and cycle counts are performed for inventory at distribution centers to ensure inventory is properly stated in our consolidated financial statements. During the period between counts at pet care center locations, we accrue for estimated shrink losses based on historical shrinkage results, taking into consideration any current trends in the business</w:t>
      </w:r>
      <w:r>
        <w:rPr>
          <w:rFonts w:ascii="Times New Roman" w:cs="Times New Roman" w:eastAsia="Times New Roman" w:hAnsi="Times New Roman"/>
          <w:sz w:val="18"/>
          <w:szCs w:val="18"/>
          <w:i w:val="1"/>
          <w:iCs w:val="1"/>
          <w:color w:val="auto"/>
        </w:rPr>
        <w:t>.</w:t>
      </w:r>
    </w:p>
    <w:p>
      <w:pPr>
        <w:spacing w:after="0" w:line="180"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We have not made any material changes in our methodology used to establish our inventory valuation and shrink reserves during the past three fiscal years, and we have not had material adjustments between our estimated shrinkage percentages and actual results. A 10% difference in our actual valuation reserve at January 31, 2026 would have an insignificant effect on pre-tax loss in fiscal 2025. Additionally, we do not believe there is a reasonable likelihood that there will be a material change in future estimates or assumptions we use to calculate our shrink reserve. However, if estimates of losses are inaccurate, we may be exposed to losses or gains that could be material. A 10% difference in our actual shrink reserve at January 31, 2026 would have affected pre-tax loss by $3.4 million in fiscal 2025.</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Vendor Allowances</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We receive various forms of consideration from our merchandise vendors (vendor allowances). We receive vendor allowances, primarily in the form of cooperative advertising reimbursements, rebate incentives, prompt purchase discounts, and vendor compliance charges pursuant to agreements with certain vendors. Substantially all vendor allowances are initially deferred as a reduction of the cost of inventory purchased and recorded as a reduction to cost of sales in the consolidated statements of operations as the inventory is sold. Vendor rebates and allowances that are identified as specific, incremental, and identifiable costs incurred by the Company in selling the vendors’ products are classified as a reduction of selling, general and administrative expenses in the consolidated statements of operations as the costs are incurred, as the related costs are also classified as selling, general and administrative expenses.</w:t>
      </w:r>
    </w:p>
    <w:p>
      <w:pPr>
        <w:spacing w:after="0" w:line="187"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We establish a deferral for vendor income that is earned but not yet received and record the deferral as a reduction to merchandise inventory. The majority of the year-end vendor income deferrals are collected within the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59" w:name="page60"/>
    <w:bookmarkEnd w:id="59"/>
    <w:p>
      <w:pPr>
        <w:ind w:right="460"/>
        <w:spacing w:after="0" w:line="266" w:lineRule="auto"/>
        <w:rPr>
          <w:sz w:val="20"/>
          <w:szCs w:val="20"/>
          <w:color w:val="auto"/>
        </w:rPr>
      </w:pPr>
      <w:r>
        <w:rPr>
          <w:rFonts w:ascii="Times New Roman" w:cs="Times New Roman" w:eastAsia="Times New Roman" w:hAnsi="Times New Roman"/>
          <w:sz w:val="18"/>
          <w:szCs w:val="18"/>
          <w:color w:val="auto"/>
        </w:rPr>
        <w:t>following fiscal quarter, and we do not believe there is reasonable likelihood that the assumptions used in our estimate will change significantly. Historically, adjustments to our vendor income deferral have not been material. A 10% difference in our vendor income deferred at January 31, 2026 would have affected pre-tax loss by $2.0 million in fiscal 2025.</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We have not made any material changes in the accounting methodology we use to assess vendor allowances during the past three fiscal years.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Long-lived Assets</w:t>
      </w:r>
    </w:p>
    <w:p>
      <w:pPr>
        <w:spacing w:after="0" w:line="121" w:lineRule="exact"/>
        <w:rPr>
          <w:sz w:val="20"/>
          <w:szCs w:val="20"/>
          <w:color w:val="auto"/>
        </w:rPr>
      </w:pPr>
    </w:p>
    <w:p>
      <w:pPr>
        <w:jc w:val="both"/>
        <w:ind w:right="120" w:firstLine="509"/>
        <w:spacing w:after="0" w:line="258" w:lineRule="auto"/>
        <w:rPr>
          <w:sz w:val="20"/>
          <w:szCs w:val="20"/>
          <w:color w:val="auto"/>
        </w:rPr>
      </w:pPr>
      <w:r>
        <w:rPr>
          <w:rFonts w:ascii="Times New Roman" w:cs="Times New Roman" w:eastAsia="Times New Roman" w:hAnsi="Times New Roman"/>
          <w:sz w:val="18"/>
          <w:szCs w:val="18"/>
          <w:color w:val="auto"/>
        </w:rPr>
        <w:t>Long-lived assets, other than goodwill and intangible assets, which are separately discussed below, are tested for recoverability whenever events or changes in circumstances indicate that the carrying value of an asset may not be recoverable. Long-lived assets are reviewed for impairment at the lowest level of identifiable cash flows, and are not recoverable if the carrying amount exceeds the sum of the undiscounted cash flows expected to result from the use and eventual disposition. If a long-lived asset is not recoverable, an impairment loss is recognized for the amount by which the carrying amount of the long-lived asset (or group of assets) exceeds its fair value, with fair value determined based on the income approach.</w:t>
      </w:r>
    </w:p>
    <w:p>
      <w:pPr>
        <w:spacing w:after="0" w:line="183"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Factors we consider important and which could trigger an impairment review include: (i) significant underperformance of a pet care center relative to expected historical or projected future operating results; (ii) significant changes in the manner of our use of assets or strategy for our overall business; (iii) significant negative industry or economic trends; or (iv) planned pet care center closings.</w:t>
      </w:r>
    </w:p>
    <w:p>
      <w:pPr>
        <w:spacing w:after="0" w:line="17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We have not made any material changes in the accounting methodology we use to assess impairment losses during the past three fiscal years.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and Trade Name Intangible Assets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121" w:lineRule="exact"/>
        <w:rPr>
          <w:sz w:val="20"/>
          <w:szCs w:val="20"/>
          <w:color w:val="auto"/>
        </w:rPr>
      </w:pPr>
    </w:p>
    <w:p>
      <w:pPr>
        <w:ind w:right="140" w:firstLine="509"/>
        <w:spacing w:after="0" w:line="255" w:lineRule="auto"/>
        <w:rPr>
          <w:sz w:val="20"/>
          <w:szCs w:val="20"/>
          <w:color w:val="auto"/>
        </w:rPr>
      </w:pPr>
      <w:r>
        <w:rPr>
          <w:rFonts w:ascii="Times New Roman" w:cs="Times New Roman" w:eastAsia="Times New Roman" w:hAnsi="Times New Roman"/>
          <w:sz w:val="18"/>
          <w:szCs w:val="18"/>
          <w:color w:val="auto"/>
        </w:rPr>
        <w:t>We evaluate goodwill annually in our fourth quarter or whenever events or changes in circumstances indicate that the carrying value may not be recoverable. We have identified one reporting unit and selected our fourth fiscal quarter to perform our annual goodwill impairment testing. Goodwill impairment guidance provides entities the option to perform a qualitative assessment to determine whether further impairment testing is necessary. The qualitative assessment requires significant judgments about economic conditions, including the entity’s operating environment, its industry and other market conditions, entity-specific events related to financial performance or loss of key personnel, and other events that could impact the reporting unit. If management concludes, based on assessment of relevant events, facts, and circumstances, that it is more likely than not that a reporting unit’s fair value is greater than its carrying value, no further impairment testing is required.</w:t>
      </w:r>
    </w:p>
    <w:p>
      <w:pPr>
        <w:spacing w:after="0" w:line="18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If management’s assessment of qualitative factors indicates that it is more likely than not that the fair value of a reporting unit is less than its carrying value, then a quantitative assessment is performed. We also have the option to bypass the qualitative assessment described above and proceed directly to the quantitative assessment, where we compare the fair value of the reporting unit to its carrying value. If the fair value of the reporting unit exceeds the carrying value of our net assets assigned to that unit, goodwill is not considered impaired, and we are not required to perform further testing. If the carrying value of net assets assigned to the reporting unit exceeds the fair value of the reporting unit, then we would record an impairment loss equal to the difference. In cases where a quantitative test is performed, the fair value of our reporting unit is estimated using the assistance of a third-party valuation firm. If a quantitative assessment is performed, the evaluation includes management estimates of cash flow projections based on internal future projections and/or use of a market approach by reviewing transactional and financial data of publicly traded companies. The assumptions used in the impairment analysis are inherently subject to uncertainty and small changes in these assumptions could have a significant impact on the concluded value. The Company's market capitalization is also considered as part of the analysis, in order to further validate the reasonableness of the fair values concluded for the reporting unit. Factors that may trigger an interim impairment test may include, but are not limited to, current economic and market conditions or a significant decline in the Company’s stock price and market capitalization compared to net book value.</w:t>
      </w:r>
    </w:p>
    <w:p>
      <w:pPr>
        <w:spacing w:after="0" w:line="19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have not made any material changes in the accounting methodology we use to assess goodwill impairment losses during the past three fiscal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years.</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60" w:name="page61"/>
    <w:bookmarkEnd w:id="60"/>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Indefinite-lived trade name</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We consider the Petco trade name to be an indefinite-lived intangible asset, as we currently anticipate that this trade name will contribute cash flows to us indefinitely. We perform our annual impairment test during the fourth quarter of each year or whenever events or changes in circumstances indicate the carrying value may not be recoverable. Management has the option to first perform a qualitative assessment of its trade name asset to determine whether it is necessary to perform a quantitative impairment test. We also have the option to bypass the qualitative assessment described above and proceed directly to quantitative assessment.</w:t>
      </w:r>
    </w:p>
    <w:p>
      <w:pPr>
        <w:spacing w:after="0" w:line="183"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In cases where a quantitative test is performed, the fair value of our trade name is estimated using the assistance of a third-party valuation firm. Factors that may trigger an interim impairment test may include, but are not limited to, a significant decline in the Company’s stock price and market capitalization compared to net book value, or changes in the pattern of utilization of the intangible asset. Significant assumptions used in the determination of fair value of the trade name generally include prospective financial information, growth rates, discount rates and comparable multiples from publicly traded companies in similar industries. An impairment charge is recorded for the amount by which the carrying amount of the trade name exceeds its fair value.</w:t>
      </w:r>
    </w:p>
    <w:p>
      <w:pPr>
        <w:spacing w:after="0" w:line="187" w:lineRule="exact"/>
        <w:rPr>
          <w:sz w:val="20"/>
          <w:szCs w:val="20"/>
          <w:color w:val="auto"/>
        </w:rPr>
      </w:pPr>
    </w:p>
    <w:p>
      <w:pPr>
        <w:ind w:right="340" w:firstLine="509"/>
        <w:spacing w:after="0" w:line="282" w:lineRule="auto"/>
        <w:rPr>
          <w:sz w:val="20"/>
          <w:szCs w:val="20"/>
          <w:color w:val="auto"/>
        </w:rPr>
      </w:pPr>
      <w:r>
        <w:rPr>
          <w:rFonts w:ascii="Times New Roman" w:cs="Times New Roman" w:eastAsia="Times New Roman" w:hAnsi="Times New Roman"/>
          <w:sz w:val="18"/>
          <w:szCs w:val="18"/>
          <w:color w:val="auto"/>
        </w:rPr>
        <w:t>We have not made any material changes in the accounting methodology we use to assess indefinite-lived trade name impairment during the past three fiscal years.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Self-insurance Reserves</w:t>
      </w:r>
    </w:p>
    <w:p>
      <w:pPr>
        <w:spacing w:after="0" w:line="121" w:lineRule="exact"/>
        <w:rPr>
          <w:sz w:val="20"/>
          <w:szCs w:val="20"/>
          <w:color w:val="auto"/>
        </w:rPr>
      </w:pPr>
    </w:p>
    <w:p>
      <w:pPr>
        <w:ind w:right="200" w:firstLine="509"/>
        <w:spacing w:after="0" w:line="258" w:lineRule="auto"/>
        <w:rPr>
          <w:sz w:val="20"/>
          <w:szCs w:val="20"/>
          <w:color w:val="auto"/>
        </w:rPr>
      </w:pPr>
      <w:r>
        <w:rPr>
          <w:rFonts w:ascii="Times New Roman" w:cs="Times New Roman" w:eastAsia="Times New Roman" w:hAnsi="Times New Roman"/>
          <w:sz w:val="18"/>
          <w:szCs w:val="18"/>
          <w:color w:val="auto"/>
        </w:rPr>
        <w:t>We maintain accruals for our self-insurance of workers’ compensation, employee-related healthcare benefits and general and auto liabilities. Insurance coverage is in place above per occurrence retention limits to limit our exposure to large claims. These insurance policies have stated maximum coverage limits, after which we bear the risk of loss. When estimating our self-insurance reserves, we consider a number of factors, including historical experience, trends related to claims and payments, and information provided by our insurance brokers and actuaries. Periodically, we review our assumptions and valuations provided by our actuaries to determine the adequacy of our self-insurance reserves.</w:t>
      </w:r>
    </w:p>
    <w:p>
      <w:pPr>
        <w:spacing w:after="0" w:line="183" w:lineRule="exact"/>
        <w:rPr>
          <w:sz w:val="20"/>
          <w:szCs w:val="20"/>
          <w:color w:val="auto"/>
        </w:rPr>
      </w:pPr>
    </w:p>
    <w:p>
      <w:pPr>
        <w:ind w:right="320" w:firstLine="509"/>
        <w:spacing w:after="0" w:line="266" w:lineRule="auto"/>
        <w:rPr>
          <w:sz w:val="20"/>
          <w:szCs w:val="20"/>
          <w:color w:val="auto"/>
        </w:rPr>
      </w:pPr>
      <w:r>
        <w:rPr>
          <w:rFonts w:ascii="Times New Roman" w:cs="Times New Roman" w:eastAsia="Times New Roman" w:hAnsi="Times New Roman"/>
          <w:sz w:val="18"/>
          <w:szCs w:val="18"/>
          <w:color w:val="auto"/>
        </w:rPr>
        <w:t>We are required to make assumptions and to apply judgments to estimate the ultimate cost to settle reported claims and claims incurred but not reported at the balance sheet date. There were no significant changes to the self-insurance reserves during the past three years other than routine current period activity. A 10% change in our self-insurance reserves at January 31, 2026 would have affected pre-tax loss by $9.6 million in fiscal 2025.</w:t>
      </w:r>
    </w:p>
    <w:p>
      <w:pPr>
        <w:spacing w:after="0" w:line="2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21"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Refer to Note 1, “Summary of Significant Accounting Policies,” in the Notes to Consolidated Financial Statements included in Part II, Item 8 of this Annual Report on Form 10-K for information regarding recently issued accounting pronouncements.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121"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We are subject to market risks arising from transactions in the normal course of our business. These risks are primarily associated with interest rate fluctuations, as well as changes in our credit standing, based on the capital and credit markets, which are not predictable. We do not currently hold any instruments for trading purposes.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21"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We are subject to interest rate risk in connection with the First Lien Term Loan and the ABL Revolving Credit Facility. As of January 31, 2026, we had $1,500.0 million outstanding under the First Lien Term Loan and no amounts outstanding under the ABL Revolving Credit Facility. The First Lien Term Loan and the ABL Revolving Credit Facility each bear interest at variable rates. An increase of 100 basis points in the variable rates on the First Lien Term Loan and the ABL Revolving Credit Facility as of January 31, 2026 would have increased annual cash interest in the aggregate by approximately $15.2 million. For information regarding the cash flow hedge agreements that we entered into to limit the maximum interest rate on a portion of our variable-rate debt and limit our exposure to interest rate variability, please refer to the section defined within Liquidity and Capital Resources in Part II, Item 7, “Derivative Instruments” of this Form 10-K.</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61" w:name="page62"/>
    <w:bookmarkEnd w:id="61"/>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Additionally, on February 2, 2026, we entered into an amendment to the First Lien Term Loan and issued senior secured notes to refinance our debt. For additional information about our debt, refer to Note 7, “Senior Secured Credit Facilities,” in the Notes to Consolidated Financial Statements included in Part II, Item 8 of this Annual Report on Form 10-K.</w:t>
      </w:r>
    </w:p>
    <w:p>
      <w:pPr>
        <w:spacing w:after="0" w:line="176" w:lineRule="exact"/>
        <w:rPr>
          <w:sz w:val="20"/>
          <w:szCs w:val="20"/>
          <w:color w:val="auto"/>
        </w:rPr>
      </w:pPr>
    </w:p>
    <w:p>
      <w:pPr>
        <w:jc w:val="both"/>
        <w:ind w:right="260" w:firstLine="509"/>
        <w:spacing w:after="0" w:line="266" w:lineRule="auto"/>
        <w:rPr>
          <w:sz w:val="20"/>
          <w:szCs w:val="20"/>
          <w:color w:val="auto"/>
        </w:rPr>
      </w:pPr>
      <w:r>
        <w:rPr>
          <w:rFonts w:ascii="Times New Roman" w:cs="Times New Roman" w:eastAsia="Times New Roman" w:hAnsi="Times New Roman"/>
          <w:sz w:val="18"/>
          <w:szCs w:val="18"/>
          <w:color w:val="auto"/>
        </w:rPr>
        <w:t>We cannot predict market fluctuations in interest rates and their impact on our debt, nor can there be any assurance that long-term fixed-rate debt will be available at favorable rates, if at all. Consequently, future results may differ materially from estimated results due to adverse changes in interest rates or debt availability.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Risk</w:t>
      </w:r>
    </w:p>
    <w:p>
      <w:pPr>
        <w:spacing w:after="0" w:line="121" w:lineRule="exact"/>
        <w:rPr>
          <w:sz w:val="20"/>
          <w:szCs w:val="20"/>
          <w:color w:val="auto"/>
        </w:rPr>
      </w:pPr>
    </w:p>
    <w:p>
      <w:pPr>
        <w:jc w:val="both"/>
        <w:ind w:right="120" w:firstLine="509"/>
        <w:spacing w:after="0" w:line="266" w:lineRule="auto"/>
        <w:rPr>
          <w:sz w:val="20"/>
          <w:szCs w:val="20"/>
          <w:color w:val="auto"/>
        </w:rPr>
      </w:pPr>
      <w:r>
        <w:rPr>
          <w:rFonts w:ascii="Times New Roman" w:cs="Times New Roman" w:eastAsia="Times New Roman" w:hAnsi="Times New Roman"/>
          <w:sz w:val="18"/>
          <w:szCs w:val="18"/>
          <w:color w:val="auto"/>
        </w:rPr>
        <w:t>As of January 31, 2026, our cash and cash equivalents were maintained at major financial institutions in the United States, and our current deposits are likely in excess of insured limits. We believe these institutions have sufficient assets and liquidity to conduct their operations in the ordinary course of business.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Risk</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Substantially all of our business is currently conducted in U.S. dollars, with a small amount denominated in foreign currencies. Our expenses are generally denominated in the currencies of the jurisdictions in which we conduct our operations. Our results of current and future operations and cash flows are subject to fluctuations due to changes in foreign currency exchange rates. We do not enter into forward currency contracts to hedge our foreign currency exposure. A hypothetical 10% change in foreign currency exchange rates applicable to our business would not have a material effect on our operating results.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9" w:right="35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PETCO HEALTH AND WELLNESS COMPANY, INC.</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920" w:type="dxa"/>
            <w:vAlign w:val="bottom"/>
            <w:gridSpan w:val="11"/>
            <w:vMerge w:val="restart"/>
          </w:tcPr>
          <w:p>
            <w:pPr>
              <w:spacing w:after="0"/>
              <w:rPr>
                <w:sz w:val="20"/>
                <w:szCs w:val="20"/>
                <w:color w:val="auto"/>
              </w:rPr>
            </w:pPr>
            <w:r>
              <w:rPr>
                <w:rFonts w:ascii="Times New Roman" w:cs="Times New Roman" w:eastAsia="Times New Roman" w:hAnsi="Times New Roman"/>
                <w:sz w:val="18"/>
                <w:szCs w:val="18"/>
                <w:b w:val="1"/>
                <w:bCs w:val="1"/>
                <w:color w:val="auto"/>
              </w:rPr>
              <w:t>Audited Consolidated Financial Statements</w:t>
            </w:r>
          </w:p>
        </w:tc>
        <w:tc>
          <w:tcPr>
            <w:tcW w:w="5700" w:type="dxa"/>
            <w:vAlign w:val="bottom"/>
          </w:tcPr>
          <w:p>
            <w:pPr>
              <w:spacing w:after="0"/>
              <w:rPr>
                <w:sz w:val="15"/>
                <w:szCs w:val="15"/>
                <w:color w:val="auto"/>
              </w:rPr>
            </w:pPr>
          </w:p>
        </w:tc>
        <w:tc>
          <w:tcPr>
            <w:tcW w:w="6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05"/>
        </w:trPr>
        <w:tc>
          <w:tcPr>
            <w:tcW w:w="4920" w:type="dxa"/>
            <w:vAlign w:val="bottom"/>
            <w:gridSpan w:val="11"/>
            <w:vMerge w:val="continue"/>
          </w:tcPr>
          <w:p>
            <w:pPr>
              <w:spacing w:after="0"/>
              <w:rPr>
                <w:sz w:val="17"/>
                <w:szCs w:val="17"/>
                <w:color w:val="auto"/>
              </w:rPr>
            </w:pPr>
          </w:p>
        </w:tc>
        <w:tc>
          <w:tcPr>
            <w:tcW w:w="57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4300" w:type="dxa"/>
            <w:vAlign w:val="bottom"/>
            <w:tcBorders>
              <w:bottom w:val="single" w:sz="8" w:color="0000FF"/>
            </w:tcBorders>
            <w:gridSpan w:val="10"/>
          </w:tcPr>
          <w:p>
            <w:pPr>
              <w:spacing w:after="0" w:line="194" w:lineRule="exact"/>
              <w:rPr>
                <w:sz w:val="20"/>
                <w:szCs w:val="20"/>
                <w:color w:val="auto"/>
              </w:rPr>
            </w:pPr>
            <w:r>
              <w:rPr>
                <w:rFonts w:ascii="Times New Roman" w:cs="Times New Roman" w:eastAsia="Times New Roman" w:hAnsi="Times New Roman"/>
                <w:sz w:val="18"/>
                <w:szCs w:val="18"/>
                <w:color w:val="0000FF"/>
                <w:w w:val="99"/>
              </w:rPr>
              <w:t>Reports of Independent Registered Public Accounting Firm</w:t>
            </w:r>
          </w:p>
        </w:tc>
        <w:tc>
          <w:tcPr>
            <w:tcW w:w="620" w:type="dxa"/>
            <w:vAlign w:val="bottom"/>
          </w:tcPr>
          <w:p>
            <w:pPr>
              <w:spacing w:after="0"/>
              <w:rPr>
                <w:sz w:val="16"/>
                <w:szCs w:val="16"/>
                <w:color w:val="auto"/>
              </w:rPr>
            </w:pPr>
          </w:p>
        </w:tc>
        <w:tc>
          <w:tcPr>
            <w:tcW w:w="6320" w:type="dxa"/>
            <w:vAlign w:val="bottom"/>
            <w:gridSpan w:val="2"/>
          </w:tcPr>
          <w:p>
            <w:pPr>
              <w:jc w:val="right"/>
              <w:spacing w:after="0" w:line="194" w:lineRule="exact"/>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09"/>
        </w:trPr>
        <w:tc>
          <w:tcPr>
            <w:tcW w:w="21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Consolidated Balance Sheets</w:t>
            </w:r>
          </w:p>
        </w:tc>
        <w:tc>
          <w:tcPr>
            <w:tcW w:w="20" w:type="dxa"/>
            <w:vAlign w:val="bottom"/>
            <w:tcBorders>
              <w:bottom w:val="single" w:sz="8" w:color="0000EE"/>
            </w:tcBorders>
          </w:tcPr>
          <w:p>
            <w:pPr>
              <w:spacing w:after="0"/>
              <w:rPr>
                <w:sz w:val="18"/>
                <w:szCs w:val="18"/>
                <w:color w:val="auto"/>
              </w:rPr>
            </w:pPr>
          </w:p>
        </w:tc>
        <w:tc>
          <w:tcPr>
            <w:tcW w:w="2800" w:type="dxa"/>
            <w:vAlign w:val="bottom"/>
            <w:gridSpan w:val="9"/>
          </w:tcPr>
          <w:p>
            <w:pPr>
              <w:spacing w:after="0"/>
              <w:rPr>
                <w:sz w:val="18"/>
                <w:szCs w:val="18"/>
                <w:color w:val="auto"/>
              </w:rPr>
            </w:pPr>
          </w:p>
        </w:tc>
        <w:tc>
          <w:tcPr>
            <w:tcW w:w="6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10"/>
        </w:trPr>
        <w:tc>
          <w:tcPr>
            <w:tcW w:w="492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Consolidated Statements of Operations</w:t>
            </w:r>
          </w:p>
        </w:tc>
        <w:tc>
          <w:tcPr>
            <w:tcW w:w="6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0"/>
        </w:trPr>
        <w:tc>
          <w:tcPr>
            <w:tcW w:w="252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tcBorders>
              <w:right w:val="single" w:sz="8" w:color="0000EE"/>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6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92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Consolidated Statements of Comprehensive Income (Loss</w:t>
            </w:r>
            <w:r>
              <w:rPr>
                <w:rFonts w:ascii="Times New Roman" w:cs="Times New Roman" w:eastAsia="Times New Roman" w:hAnsi="Times New Roman"/>
                <w:sz w:val="18"/>
                <w:szCs w:val="18"/>
                <w:color w:val="000000"/>
              </w:rPr>
              <w:t>)</w:t>
            </w:r>
          </w:p>
        </w:tc>
        <w:tc>
          <w:tcPr>
            <w:tcW w:w="6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09"/>
        </w:trPr>
        <w:tc>
          <w:tcPr>
            <w:tcW w:w="252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Consolidated Statements of Equity</w:t>
            </w:r>
          </w:p>
        </w:tc>
        <w:tc>
          <w:tcPr>
            <w:tcW w:w="20" w:type="dxa"/>
            <w:vAlign w:val="bottom"/>
            <w:tcBorders>
              <w:top w:val="single" w:sz="8" w:color="0000FF"/>
              <w:bottom w:val="single" w:sz="8" w:color="0000EE"/>
            </w:tcBorders>
          </w:tcPr>
          <w:p>
            <w:pPr>
              <w:spacing w:after="0"/>
              <w:rPr>
                <w:sz w:val="18"/>
                <w:szCs w:val="18"/>
                <w:color w:val="auto"/>
              </w:rPr>
            </w:pPr>
          </w:p>
        </w:tc>
        <w:tc>
          <w:tcPr>
            <w:tcW w:w="1660" w:type="dxa"/>
            <w:vAlign w:val="bottom"/>
            <w:tcBorders>
              <w:top w:val="single" w:sz="8" w:color="0000FF"/>
            </w:tcBorders>
            <w:gridSpan w:val="5"/>
          </w:tcPr>
          <w:p>
            <w:pPr>
              <w:spacing w:after="0"/>
              <w:rPr>
                <w:sz w:val="18"/>
                <w:szCs w:val="18"/>
                <w:color w:val="auto"/>
              </w:rPr>
            </w:pPr>
          </w:p>
        </w:tc>
        <w:tc>
          <w:tcPr>
            <w:tcW w:w="720" w:type="dxa"/>
            <w:vAlign w:val="bottom"/>
            <w:gridSpan w:val="2"/>
          </w:tcPr>
          <w:p>
            <w:pPr>
              <w:spacing w:after="0"/>
              <w:rPr>
                <w:sz w:val="18"/>
                <w:szCs w:val="18"/>
                <w:color w:val="auto"/>
              </w:rPr>
            </w:pPr>
          </w:p>
        </w:tc>
        <w:tc>
          <w:tcPr>
            <w:tcW w:w="6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10"/>
        </w:trPr>
        <w:tc>
          <w:tcPr>
            <w:tcW w:w="288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Consolidated Statements of Cash Flows</w:t>
            </w:r>
          </w:p>
        </w:tc>
        <w:tc>
          <w:tcPr>
            <w:tcW w:w="20" w:type="dxa"/>
            <w:vAlign w:val="bottom"/>
            <w:tcBorders>
              <w:bottom w:val="single" w:sz="8" w:color="0000EE"/>
            </w:tcBorders>
          </w:tcPr>
          <w:p>
            <w:pPr>
              <w:spacing w:after="0"/>
              <w:rPr>
                <w:sz w:val="18"/>
                <w:szCs w:val="18"/>
                <w:color w:val="auto"/>
              </w:rPr>
            </w:pPr>
          </w:p>
        </w:tc>
        <w:tc>
          <w:tcPr>
            <w:tcW w:w="2020" w:type="dxa"/>
            <w:vAlign w:val="bottom"/>
            <w:gridSpan w:val="4"/>
          </w:tcPr>
          <w:p>
            <w:pPr>
              <w:spacing w:after="0"/>
              <w:rPr>
                <w:sz w:val="18"/>
                <w:szCs w:val="18"/>
                <w:color w:val="auto"/>
              </w:rPr>
            </w:pPr>
          </w:p>
        </w:tc>
        <w:tc>
          <w:tcPr>
            <w:tcW w:w="6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09"/>
        </w:trPr>
        <w:tc>
          <w:tcPr>
            <w:tcW w:w="492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6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885"/>
        </w:trPr>
        <w:tc>
          <w:tcPr>
            <w:tcW w:w="21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700" w:type="dxa"/>
            <w:vAlign w:val="bottom"/>
          </w:tcPr>
          <w:p>
            <w:pPr>
              <w:jc w:val="right"/>
              <w:ind w:right="4810"/>
              <w:spacing w:after="0"/>
              <w:rPr>
                <w:sz w:val="20"/>
                <w:szCs w:val="20"/>
                <w:color w:val="auto"/>
              </w:rPr>
            </w:pPr>
            <w:r>
              <w:rPr>
                <w:rFonts w:ascii="Times New Roman" w:cs="Times New Roman" w:eastAsia="Times New Roman" w:hAnsi="Times New Roman"/>
                <w:sz w:val="18"/>
                <w:szCs w:val="18"/>
                <w:color w:val="auto"/>
              </w:rPr>
              <w:t>62</w:t>
            </w: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2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570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63" w:name="page64"/>
    <w:bookmarkEnd w:id="6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 Petco Health and Wellness Company, Inc.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Petco Health and Wellness Company, Inc. (the Company) as of January 31, 2026 and February 1, 2025, the related consolidated statements of operations, comprehensive income (loss), equity and cash flows for each of the three years in the period ended January 31, 2026, and the related notes (collectively referred to as the “consolidated financial statements”). In our opinion, the consolidated financial statements present fairly, in all material respects, the financial position of the Company at January 31, 2026 and February 1, 2025, and the results of its operations and its cash flows for each of the three years in the period ended January 31, 2026, in conformity with U.S. generally accepted accounting principles.</w:t>
      </w:r>
    </w:p>
    <w:p>
      <w:pPr>
        <w:spacing w:after="0" w:line="187"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Company's internal control over financial reporting as of January 31, 2026, based on criteria established in Internal Control—Integrated Framework issued by the Committee of Sponsoring Organizations of the Treadway Commission (2013 framework) and our report dated March 13, 2026 expressed an unqualified opinion thereon.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79"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8"/>
          <w:szCs w:val="18"/>
          <w:b w:val="1"/>
          <w:bCs w:val="1"/>
          <w:i w:val="1"/>
          <w:iCs w:val="1"/>
          <w:color w:val="auto"/>
        </w:rPr>
        <w:t>Vendor allowances</w:t>
      </w:r>
    </w:p>
    <w:p>
      <w:pPr>
        <w:spacing w:after="0" w:line="227" w:lineRule="exact"/>
        <w:rPr>
          <w:sz w:val="20"/>
          <w:szCs w:val="20"/>
          <w:color w:val="auto"/>
        </w:rPr>
      </w:pPr>
    </w:p>
    <w:p>
      <w:pPr>
        <w:ind w:left="240"/>
        <w:spacing w:after="0"/>
        <w:tabs>
          <w:tab w:leader="none" w:pos="1880" w:val="left"/>
        </w:tabs>
        <w:rPr>
          <w:sz w:val="20"/>
          <w:szCs w:val="20"/>
          <w:color w:val="auto"/>
        </w:rPr>
      </w:pPr>
      <w:r>
        <w:rPr>
          <w:rFonts w:ascii="Times New Roman" w:cs="Times New Roman" w:eastAsia="Times New Roman" w:hAnsi="Times New Roman"/>
          <w:sz w:val="18"/>
          <w:szCs w:val="18"/>
          <w:i w:val="1"/>
          <w:iCs w:val="1"/>
          <w:color w:val="auto"/>
        </w:rPr>
        <w:t>Description of the</w:t>
      </w:r>
      <w:r>
        <w:rPr>
          <w:sz w:val="20"/>
          <w:szCs w:val="20"/>
          <w:color w:val="auto"/>
        </w:rPr>
        <w:tab/>
      </w:r>
      <w:r>
        <w:rPr>
          <w:rFonts w:ascii="Times New Roman" w:cs="Times New Roman" w:eastAsia="Times New Roman" w:hAnsi="Times New Roman"/>
          <w:sz w:val="17"/>
          <w:szCs w:val="17"/>
          <w:color w:val="auto"/>
        </w:rPr>
        <w:t>As discussed in Note 1 to the consolidated financial statements, the Company receives vendor allowances from</w:t>
      </w:r>
    </w:p>
    <w:p>
      <w:pPr>
        <w:spacing w:after="0" w:line="29" w:lineRule="exact"/>
        <w:rPr>
          <w:sz w:val="20"/>
          <w:szCs w:val="20"/>
          <w:color w:val="auto"/>
        </w:rPr>
      </w:pPr>
    </w:p>
    <w:p>
      <w:pPr>
        <w:ind w:left="1900" w:right="1420" w:hanging="1659"/>
        <w:spacing w:after="0" w:line="252" w:lineRule="auto"/>
        <w:tabs>
          <w:tab w:leader="none" w:pos="1880" w:val="left"/>
        </w:tabs>
        <w:rPr>
          <w:sz w:val="20"/>
          <w:szCs w:val="20"/>
          <w:color w:val="auto"/>
        </w:rPr>
      </w:pPr>
      <w:r>
        <w:rPr>
          <w:rFonts w:ascii="Times New Roman" w:cs="Times New Roman" w:eastAsia="Times New Roman" w:hAnsi="Times New Roman"/>
          <w:sz w:val="18"/>
          <w:szCs w:val="18"/>
          <w:i w:val="1"/>
          <w:iCs w:val="1"/>
          <w:color w:val="auto"/>
        </w:rPr>
        <w:t>Matter</w:t>
      </w:r>
      <w:r>
        <w:rPr>
          <w:sz w:val="20"/>
          <w:szCs w:val="20"/>
          <w:color w:val="auto"/>
        </w:rPr>
        <w:tab/>
      </w:r>
      <w:r>
        <w:rPr>
          <w:rFonts w:ascii="Times New Roman" w:cs="Times New Roman" w:eastAsia="Times New Roman" w:hAnsi="Times New Roman"/>
          <w:sz w:val="18"/>
          <w:szCs w:val="18"/>
          <w:color w:val="auto"/>
        </w:rPr>
        <w:t>certain merchandise vendors through a variety of programs intended to offset the cost of inventory and for promoting and selling merchandise inventory. Certain of these programs consist of promotional allowances that are contractually tied to the sale of inventory and are recognized as a reduction to cost of sales at the time of the sale of the specific goods. Auditing vendor allowances was complex due to the number of individual agreements and the varying terms in the respective agreements. Significant audit effort was required to evaluate the terms of the vendor agreements and the related treatment of the vendor allowances in the consolidated financial statements.</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64" w:name="page65"/>
    <w:bookmarkEnd w:id="64"/>
    <w:p>
      <w:pPr>
        <w:spacing w:after="0"/>
        <w:tabs>
          <w:tab w:leader="none" w:pos="1640" w:val="left"/>
        </w:tabs>
        <w:rPr>
          <w:sz w:val="20"/>
          <w:szCs w:val="20"/>
          <w:color w:val="auto"/>
        </w:rPr>
      </w:pPr>
      <w:r>
        <w:rPr>
          <w:rFonts w:ascii="Times New Roman" w:cs="Times New Roman" w:eastAsia="Times New Roman" w:hAnsi="Times New Roman"/>
          <w:sz w:val="18"/>
          <w:szCs w:val="18"/>
          <w:i w:val="1"/>
          <w:iCs w:val="1"/>
          <w:color w:val="auto"/>
        </w:rPr>
        <w:t>How We Addressed</w:t>
      </w:r>
      <w:r>
        <w:rPr>
          <w:sz w:val="20"/>
          <w:szCs w:val="20"/>
          <w:color w:val="auto"/>
        </w:rPr>
        <w:tab/>
      </w:r>
      <w:r>
        <w:rPr>
          <w:rFonts w:ascii="Times New Roman" w:cs="Times New Roman" w:eastAsia="Times New Roman" w:hAnsi="Times New Roman"/>
          <w:sz w:val="17"/>
          <w:szCs w:val="17"/>
          <w:color w:val="auto"/>
        </w:rPr>
        <w:t>We obtained an understanding, evaluated the design and tested the operating effectiveness of internal controls</w:t>
      </w:r>
    </w:p>
    <w:p>
      <w:pPr>
        <w:spacing w:after="0" w:line="29" w:lineRule="exact"/>
        <w:rPr>
          <w:sz w:val="20"/>
          <w:szCs w:val="20"/>
          <w:color w:val="auto"/>
        </w:rPr>
      </w:pPr>
    </w:p>
    <w:p>
      <w:pPr>
        <w:spacing w:after="0"/>
        <w:tabs>
          <w:tab w:leader="none" w:pos="1640" w:val="left"/>
        </w:tabs>
        <w:rPr>
          <w:sz w:val="20"/>
          <w:szCs w:val="20"/>
          <w:color w:val="auto"/>
        </w:rPr>
      </w:pPr>
      <w:r>
        <w:rPr>
          <w:rFonts w:ascii="Times New Roman" w:cs="Times New Roman" w:eastAsia="Times New Roman" w:hAnsi="Times New Roman"/>
          <w:sz w:val="18"/>
          <w:szCs w:val="18"/>
          <w:i w:val="1"/>
          <w:iCs w:val="1"/>
          <w:color w:val="auto"/>
        </w:rPr>
        <w:t>the Matter in Our</w:t>
      </w:r>
      <w:r>
        <w:rPr>
          <w:sz w:val="20"/>
          <w:szCs w:val="20"/>
          <w:color w:val="auto"/>
        </w:rPr>
        <w:tab/>
      </w:r>
      <w:r>
        <w:rPr>
          <w:rFonts w:ascii="Times New Roman" w:cs="Times New Roman" w:eastAsia="Times New Roman" w:hAnsi="Times New Roman"/>
          <w:sz w:val="17"/>
          <w:szCs w:val="17"/>
          <w:color w:val="auto"/>
        </w:rPr>
        <w:t>over the Company’s vendor allowances process, including management’s assessment of the terms of vendor</w:t>
      </w:r>
    </w:p>
    <w:p>
      <w:pPr>
        <w:spacing w:after="0" w:line="9" w:lineRule="exact"/>
        <w:rPr>
          <w:sz w:val="20"/>
          <w:szCs w:val="20"/>
          <w:color w:val="auto"/>
        </w:rPr>
      </w:pPr>
    </w:p>
    <w:p>
      <w:pPr>
        <w:ind w:left="1660" w:right="539" w:hanging="1659"/>
        <w:spacing w:after="0" w:line="260" w:lineRule="auto"/>
        <w:tabs>
          <w:tab w:leader="none" w:pos="1640" w:val="left"/>
        </w:tabs>
        <w:rPr>
          <w:sz w:val="20"/>
          <w:szCs w:val="20"/>
          <w:color w:val="auto"/>
        </w:rPr>
      </w:pPr>
      <w:r>
        <w:rPr>
          <w:rFonts w:ascii="Times New Roman" w:cs="Times New Roman" w:eastAsia="Times New Roman" w:hAnsi="Times New Roman"/>
          <w:sz w:val="18"/>
          <w:szCs w:val="18"/>
          <w:i w:val="1"/>
          <w:iCs w:val="1"/>
          <w:color w:val="auto"/>
        </w:rPr>
        <w:t>Audit</w:t>
      </w:r>
      <w:r>
        <w:rPr>
          <w:sz w:val="20"/>
          <w:szCs w:val="20"/>
          <w:color w:val="auto"/>
        </w:rPr>
        <w:tab/>
      </w:r>
      <w:r>
        <w:rPr>
          <w:rFonts w:ascii="Times New Roman" w:cs="Times New Roman" w:eastAsia="Times New Roman" w:hAnsi="Times New Roman"/>
          <w:sz w:val="18"/>
          <w:szCs w:val="18"/>
          <w:color w:val="auto"/>
        </w:rPr>
        <w:t>agreements, the timing of recognition to the statement of operations and related classification of the vendor allowances.</w:t>
      </w:r>
    </w:p>
    <w:p>
      <w:pPr>
        <w:spacing w:after="0" w:line="181" w:lineRule="exact"/>
        <w:rPr>
          <w:sz w:val="20"/>
          <w:szCs w:val="20"/>
          <w:color w:val="auto"/>
        </w:rPr>
      </w:pPr>
    </w:p>
    <w:p>
      <w:pPr>
        <w:ind w:left="1660" w:right="279"/>
        <w:spacing w:after="0" w:line="258" w:lineRule="auto"/>
        <w:rPr>
          <w:sz w:val="20"/>
          <w:szCs w:val="20"/>
          <w:color w:val="auto"/>
        </w:rPr>
      </w:pPr>
      <w:r>
        <w:rPr>
          <w:rFonts w:ascii="Times New Roman" w:cs="Times New Roman" w:eastAsia="Times New Roman" w:hAnsi="Times New Roman"/>
          <w:sz w:val="18"/>
          <w:szCs w:val="18"/>
          <w:color w:val="auto"/>
        </w:rPr>
        <w:t>To test the recorded amount of vendor allowances, for a sample of vendor contracts, we tested whether the recorded amounts were consistent with the nature of the contractual arrangement and evaluated whether the allowances had been earned as of January 31, 2026, were appropriately recorded in the statement of operations, and were appropriately classified as a reduction of cost of sales based on the contractual terms. For a sample of vendor arrangements, we confirmed the terms of the agreement directly with the vendor.</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Diego, California</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13,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484505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899"/>
          </w:cols>
          <w:pgMar w:left="560" w:top="1307" w:right="1440" w:bottom="1440" w:gutter="0" w:footer="0" w:header="0"/>
        </w:sectPr>
      </w:pPr>
    </w:p>
    <w:bookmarkStart w:id="65" w:name="page66"/>
    <w:bookmarkEnd w:id="65"/>
    <w:p>
      <w:pPr>
        <w:ind w:right="3340" w:firstLine="3362"/>
        <w:spacing w:after="0" w:line="377" w:lineRule="auto"/>
        <w:rPr>
          <w:sz w:val="20"/>
          <w:szCs w:val="20"/>
          <w:color w:val="auto"/>
        </w:rPr>
      </w:pPr>
      <w:r>
        <w:rPr>
          <w:rFonts w:ascii="Times New Roman" w:cs="Times New Roman" w:eastAsia="Times New Roman" w:hAnsi="Times New Roman"/>
          <w:sz w:val="18"/>
          <w:szCs w:val="18"/>
          <w:b w:val="1"/>
          <w:bCs w:val="1"/>
          <w:color w:val="auto"/>
        </w:rPr>
        <w:t xml:space="preserve">Report of Independent Registered Public Accounting Firm </w:t>
      </w:r>
      <w:r>
        <w:rPr>
          <w:rFonts w:ascii="Times New Roman" w:cs="Times New Roman" w:eastAsia="Times New Roman" w:hAnsi="Times New Roman"/>
          <w:sz w:val="18"/>
          <w:szCs w:val="18"/>
          <w:color w:val="auto"/>
        </w:rPr>
        <w:t xml:space="preserve">To the Stockholders and the Board of Directors of Petco Health and Wellness Company, Inc. </w:t>
      </w:r>
      <w:r>
        <w:rPr>
          <w:rFonts w:ascii="Times New Roman" w:cs="Times New Roman" w:eastAsia="Times New Roman" w:hAnsi="Times New Roman"/>
          <w:sz w:val="18"/>
          <w:szCs w:val="18"/>
          <w:b w:val="1"/>
          <w:bCs w:val="1"/>
          <w:color w:val="auto"/>
        </w:rPr>
        <w:t>Opinion on Internal Control Over Financial Reporting</w:t>
      </w:r>
    </w:p>
    <w:p>
      <w:pPr>
        <w:spacing w:after="0" w:line="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We have audited Petco Health and Wellness Company, Inc.’s internal control over financial reporting as of January 31, 2026, based on criteria established in Internal Control—Integrated Framework issued by the Committee of Sponsoring Organizations of the Treadway Commission (2013 framework) (the COSO criteria). In our opinion, Petco Health and Wellness Company, Inc. (the Company) maintained, in all material respects, effective internal control over financial reporting as of January 31, 2026, based on the COSO criteria.</w:t>
      </w:r>
    </w:p>
    <w:p>
      <w:pPr>
        <w:spacing w:after="0" w:line="72"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consolidated balance sheets of the Company as of January 31, 2026 and February 1, 2025, the related consolidated statements of operations, comprehensive income (loss), equity and cash flows for each of the three years in the period ended January 31, 2026, and the related notes and our report dated March 13, 2026, expressed an unqualified opinion thereon.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2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75"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54" w:lineRule="exact"/>
        <w:rPr>
          <w:sz w:val="20"/>
          <w:szCs w:val="20"/>
          <w:color w:val="auto"/>
        </w:rPr>
      </w:pPr>
    </w:p>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84"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Diego,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13, 2026</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66" w:name="page67"/>
    <w:bookmarkEnd w:id="66"/>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PETCO HEALTH AND WELLNESS COMPANY, INC.</w:t>
      </w:r>
    </w:p>
    <w:p>
      <w:pPr>
        <w:spacing w:after="0" w:line="117"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31"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80" w:type="dxa"/>
            <w:vAlign w:val="bottom"/>
            <w:gridSpan w:val="2"/>
          </w:tcPr>
          <w:p>
            <w:pPr>
              <w:jc w:val="right"/>
              <w:ind w:right="740"/>
              <w:spacing w:after="0"/>
              <w:rPr>
                <w:sz w:val="20"/>
                <w:szCs w:val="20"/>
                <w:color w:val="auto"/>
              </w:rPr>
            </w:pPr>
            <w:r>
              <w:rPr>
                <w:rFonts w:ascii="Times New Roman" w:cs="Times New Roman" w:eastAsia="Times New Roman" w:hAnsi="Times New Roman"/>
                <w:sz w:val="13"/>
                <w:szCs w:val="13"/>
                <w:b w:val="1"/>
                <w:bCs w:val="1"/>
                <w:color w:val="auto"/>
              </w:rPr>
              <w:t>January 31,</w:t>
            </w:r>
          </w:p>
        </w:tc>
        <w:tc>
          <w:tcPr>
            <w:tcW w:w="280" w:type="dxa"/>
            <w:vAlign w:val="bottom"/>
          </w:tcPr>
          <w:p>
            <w:pPr>
              <w:spacing w:after="0"/>
              <w:rPr>
                <w:sz w:val="12"/>
                <w:szCs w:val="12"/>
                <w:color w:val="auto"/>
              </w:rPr>
            </w:pPr>
          </w:p>
        </w:tc>
        <w:tc>
          <w:tcPr>
            <w:tcW w:w="1400" w:type="dxa"/>
            <w:vAlign w:val="bottom"/>
            <w:gridSpan w:val="2"/>
          </w:tcPr>
          <w:p>
            <w:pPr>
              <w:jc w:val="right"/>
              <w:ind w:right="580"/>
              <w:spacing w:after="0"/>
              <w:rPr>
                <w:sz w:val="20"/>
                <w:szCs w:val="20"/>
                <w:color w:val="auto"/>
              </w:rPr>
            </w:pPr>
            <w:r>
              <w:rPr>
                <w:rFonts w:ascii="Times New Roman" w:cs="Times New Roman" w:eastAsia="Times New Roman" w:hAnsi="Times New Roman"/>
                <w:sz w:val="13"/>
                <w:szCs w:val="13"/>
                <w:b w:val="1"/>
                <w:bCs w:val="1"/>
                <w:color w:val="auto"/>
              </w:rPr>
              <w:t>February 1,</w:t>
            </w:r>
          </w:p>
        </w:tc>
        <w:tc>
          <w:tcPr>
            <w:tcW w:w="0" w:type="dxa"/>
            <w:vAlign w:val="bottom"/>
          </w:tcPr>
          <w:p>
            <w:pPr>
              <w:spacing w:after="0"/>
              <w:rPr>
                <w:sz w:val="1"/>
                <w:szCs w:val="1"/>
                <w:color w:val="auto"/>
              </w:rPr>
            </w:pPr>
          </w:p>
        </w:tc>
      </w:tr>
      <w:tr>
        <w:trPr>
          <w:trHeight w:val="155"/>
        </w:trPr>
        <w:tc>
          <w:tcPr>
            <w:tcW w:w="772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609"/>
              <w:spacing w:after="0"/>
              <w:rPr>
                <w:sz w:val="20"/>
                <w:szCs w:val="20"/>
                <w:color w:val="auto"/>
              </w:rPr>
            </w:pPr>
            <w:r>
              <w:rPr>
                <w:rFonts w:ascii="Times New Roman" w:cs="Times New Roman" w:eastAsia="Times New Roman" w:hAnsi="Times New Roman"/>
                <w:sz w:val="13"/>
                <w:szCs w:val="13"/>
                <w:b w:val="1"/>
                <w:bCs w:val="1"/>
                <w:color w:val="auto"/>
              </w:rPr>
              <w:t>2026</w:t>
            </w:r>
          </w:p>
        </w:tc>
        <w:tc>
          <w:tcPr>
            <w:tcW w:w="26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609"/>
              <w:spacing w:after="0"/>
              <w:rPr>
                <w:sz w:val="20"/>
                <w:szCs w:val="20"/>
                <w:color w:val="auto"/>
              </w:rPr>
            </w:pPr>
            <w:r>
              <w:rPr>
                <w:rFonts w:ascii="Times New Roman" w:cs="Times New Roman" w:eastAsia="Times New Roman" w:hAnsi="Times New Roman"/>
                <w:sz w:val="13"/>
                <w:szCs w:val="13"/>
                <w:b w:val="1"/>
                <w:bCs w:val="1"/>
                <w:color w:val="auto"/>
              </w:rPr>
              <w:t>2025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772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ASSETS</w:t>
            </w:r>
          </w:p>
        </w:tc>
        <w:tc>
          <w:tcPr>
            <w:tcW w:w="260" w:type="dxa"/>
            <w:vAlign w:val="bottom"/>
            <w:shd w:val="clear" w:color="auto" w:fill="CFF0FC"/>
          </w:tcPr>
          <w:p>
            <w:pPr>
              <w:spacing w:after="0"/>
              <w:rPr>
                <w:sz w:val="12"/>
                <w:szCs w:val="12"/>
                <w:color w:val="auto"/>
              </w:rPr>
            </w:pPr>
          </w:p>
        </w:tc>
        <w:tc>
          <w:tcPr>
            <w:tcW w:w="13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3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Current assets:</w:t>
            </w:r>
          </w:p>
        </w:tc>
        <w:tc>
          <w:tcPr>
            <w:tcW w:w="2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2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Cash and cash equivalents</w:t>
            </w:r>
          </w:p>
        </w:tc>
        <w:tc>
          <w:tcPr>
            <w:tcW w:w="260" w:type="dxa"/>
            <w:vAlign w:val="bottom"/>
            <w:shd w:val="clear" w:color="auto" w:fill="CFF0FC"/>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256,736</w:t>
            </w:r>
          </w:p>
        </w:tc>
        <w:tc>
          <w:tcPr>
            <w:tcW w:w="260" w:type="dxa"/>
            <w:vAlign w:val="bottom"/>
            <w:shd w:val="clear" w:color="auto" w:fill="CFF0FC"/>
          </w:tcPr>
          <w:p>
            <w:pPr>
              <w:spacing w:after="0"/>
              <w:rPr>
                <w:sz w:val="12"/>
                <w:szCs w:val="12"/>
                <w:color w:val="auto"/>
              </w:rPr>
            </w:pPr>
          </w:p>
        </w:tc>
        <w:tc>
          <w:tcPr>
            <w:tcW w:w="280" w:type="dxa"/>
            <w:vAlign w:val="bottom"/>
            <w:shd w:val="clear" w:color="auto" w:fill="CFF0FC"/>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165,756</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72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Receivables, less allowance for credit losses ($779 and $1,594, respectively)</w:t>
            </w:r>
          </w:p>
        </w:tc>
        <w:tc>
          <w:tcPr>
            <w:tcW w:w="26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45,812</w:t>
            </w: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40,425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2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Merchandise inventories, net</w:t>
            </w:r>
          </w:p>
        </w:tc>
        <w:tc>
          <w:tcPr>
            <w:tcW w:w="260" w:type="dxa"/>
            <w:vAlign w:val="bottom"/>
            <w:shd w:val="clear" w:color="auto" w:fill="CFF0FC"/>
          </w:tcPr>
          <w:p>
            <w:pPr>
              <w:spacing w:after="0"/>
              <w:rPr>
                <w:sz w:val="12"/>
                <w:szCs w:val="12"/>
                <w:color w:val="auto"/>
              </w:rPr>
            </w:pPr>
          </w:p>
        </w:tc>
        <w:tc>
          <w:tcPr>
            <w:tcW w:w="13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590,210</w:t>
            </w:r>
          </w:p>
        </w:tc>
        <w:tc>
          <w:tcPr>
            <w:tcW w:w="2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3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653,329</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2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Prepaid expenses</w:t>
            </w:r>
          </w:p>
        </w:tc>
        <w:tc>
          <w:tcPr>
            <w:tcW w:w="26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51,747</w:t>
            </w: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53,515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20" w:type="dxa"/>
            <w:vAlign w:val="bottom"/>
            <w:tcBorders>
              <w:bottom w:val="single" w:sz="8" w:color="CFF0FC"/>
            </w:tcBorders>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Other current assets</w:t>
            </w:r>
          </w:p>
        </w:tc>
        <w:tc>
          <w:tcPr>
            <w:tcW w:w="260" w:type="dxa"/>
            <w:vAlign w:val="bottom"/>
            <w:tcBorders>
              <w:bottom w:val="single" w:sz="8" w:color="auto"/>
            </w:tcBorders>
            <w:shd w:val="clear" w:color="auto" w:fill="CFF0FC"/>
          </w:tcPr>
          <w:p>
            <w:pPr>
              <w:spacing w:after="0"/>
              <w:rPr>
                <w:sz w:val="12"/>
                <w:szCs w:val="12"/>
                <w:color w:val="auto"/>
              </w:rPr>
            </w:pPr>
          </w:p>
        </w:tc>
        <w:tc>
          <w:tcPr>
            <w:tcW w:w="132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75,281</w:t>
            </w:r>
          </w:p>
        </w:tc>
        <w:tc>
          <w:tcPr>
            <w:tcW w:w="260" w:type="dxa"/>
            <w:vAlign w:val="bottom"/>
            <w:tcBorders>
              <w:bottom w:val="single" w:sz="8" w:color="CFF0FC"/>
            </w:tcBorders>
            <w:shd w:val="clear" w:color="auto" w:fill="CFF0FC"/>
          </w:tcPr>
          <w:p>
            <w:pPr>
              <w:spacing w:after="0"/>
              <w:rPr>
                <w:sz w:val="12"/>
                <w:szCs w:val="12"/>
                <w:color w:val="auto"/>
              </w:rPr>
            </w:pPr>
          </w:p>
        </w:tc>
        <w:tc>
          <w:tcPr>
            <w:tcW w:w="280" w:type="dxa"/>
            <w:vAlign w:val="bottom"/>
            <w:tcBorders>
              <w:bottom w:val="single" w:sz="8" w:color="auto"/>
            </w:tcBorders>
            <w:shd w:val="clear" w:color="auto" w:fill="CFF0FC"/>
          </w:tcPr>
          <w:p>
            <w:pPr>
              <w:spacing w:after="0"/>
              <w:rPr>
                <w:sz w:val="12"/>
                <w:szCs w:val="12"/>
                <w:color w:val="auto"/>
              </w:rPr>
            </w:pPr>
          </w:p>
        </w:tc>
        <w:tc>
          <w:tcPr>
            <w:tcW w:w="130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60,594</w:t>
            </w: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720" w:type="dxa"/>
            <w:vAlign w:val="bottom"/>
          </w:tcPr>
          <w:p>
            <w:pPr>
              <w:ind w:left="280"/>
              <w:spacing w:after="0" w:line="142" w:lineRule="exact"/>
              <w:rPr>
                <w:sz w:val="20"/>
                <w:szCs w:val="20"/>
                <w:color w:val="auto"/>
              </w:rPr>
            </w:pPr>
            <w:r>
              <w:rPr>
                <w:rFonts w:ascii="Times New Roman" w:cs="Times New Roman" w:eastAsia="Times New Roman" w:hAnsi="Times New Roman"/>
                <w:sz w:val="14"/>
                <w:szCs w:val="14"/>
                <w:color w:val="auto"/>
              </w:rPr>
              <w:t>Total current assets</w:t>
            </w:r>
          </w:p>
        </w:tc>
        <w:tc>
          <w:tcPr>
            <w:tcW w:w="26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1,019,786</w:t>
            </w:r>
          </w:p>
        </w:tc>
        <w:tc>
          <w:tcPr>
            <w:tcW w:w="26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973,619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72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Fixed assets, net</w:t>
            </w:r>
          </w:p>
        </w:tc>
        <w:tc>
          <w:tcPr>
            <w:tcW w:w="260" w:type="dxa"/>
            <w:vAlign w:val="bottom"/>
            <w:shd w:val="clear" w:color="auto" w:fill="CFF0FC"/>
          </w:tcPr>
          <w:p>
            <w:pPr>
              <w:spacing w:after="0"/>
              <w:rPr>
                <w:sz w:val="12"/>
                <w:szCs w:val="12"/>
                <w:color w:val="auto"/>
              </w:rPr>
            </w:pPr>
          </w:p>
        </w:tc>
        <w:tc>
          <w:tcPr>
            <w:tcW w:w="13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656,148</w:t>
            </w:r>
          </w:p>
        </w:tc>
        <w:tc>
          <w:tcPr>
            <w:tcW w:w="2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3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725,438</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Operating lease right-of-use assets</w:t>
            </w:r>
          </w:p>
        </w:tc>
        <w:tc>
          <w:tcPr>
            <w:tcW w:w="26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1,288,593</w:t>
            </w: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1,302,346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Goodwill</w:t>
            </w:r>
          </w:p>
        </w:tc>
        <w:tc>
          <w:tcPr>
            <w:tcW w:w="260" w:type="dxa"/>
            <w:vAlign w:val="bottom"/>
            <w:shd w:val="clear" w:color="auto" w:fill="CFF0FC"/>
          </w:tcPr>
          <w:p>
            <w:pPr>
              <w:spacing w:after="0"/>
              <w:rPr>
                <w:sz w:val="12"/>
                <w:szCs w:val="12"/>
                <w:color w:val="auto"/>
              </w:rPr>
            </w:pPr>
          </w:p>
        </w:tc>
        <w:tc>
          <w:tcPr>
            <w:tcW w:w="13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980,064</w:t>
            </w:r>
          </w:p>
        </w:tc>
        <w:tc>
          <w:tcPr>
            <w:tcW w:w="2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3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980,064</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Trade name</w:t>
            </w:r>
          </w:p>
        </w:tc>
        <w:tc>
          <w:tcPr>
            <w:tcW w:w="26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1,025,000</w:t>
            </w: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1,025,000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720" w:type="dxa"/>
            <w:vAlign w:val="bottom"/>
            <w:tcBorders>
              <w:bottom w:val="single" w:sz="8" w:color="CFF0FC"/>
            </w:tcBorders>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Other long-term assets</w:t>
            </w:r>
          </w:p>
        </w:tc>
        <w:tc>
          <w:tcPr>
            <w:tcW w:w="260" w:type="dxa"/>
            <w:vAlign w:val="bottom"/>
            <w:tcBorders>
              <w:bottom w:val="single" w:sz="8" w:color="auto"/>
            </w:tcBorders>
            <w:shd w:val="clear" w:color="auto" w:fill="CFF0FC"/>
          </w:tcPr>
          <w:p>
            <w:pPr>
              <w:spacing w:after="0"/>
              <w:rPr>
                <w:sz w:val="12"/>
                <w:szCs w:val="12"/>
                <w:color w:val="auto"/>
              </w:rPr>
            </w:pPr>
          </w:p>
        </w:tc>
        <w:tc>
          <w:tcPr>
            <w:tcW w:w="132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203,834</w:t>
            </w:r>
          </w:p>
        </w:tc>
        <w:tc>
          <w:tcPr>
            <w:tcW w:w="260" w:type="dxa"/>
            <w:vAlign w:val="bottom"/>
            <w:tcBorders>
              <w:bottom w:val="single" w:sz="8" w:color="CFF0FC"/>
            </w:tcBorders>
            <w:shd w:val="clear" w:color="auto" w:fill="CFF0FC"/>
          </w:tcPr>
          <w:p>
            <w:pPr>
              <w:spacing w:after="0"/>
              <w:rPr>
                <w:sz w:val="12"/>
                <w:szCs w:val="12"/>
                <w:color w:val="auto"/>
              </w:rPr>
            </w:pPr>
          </w:p>
        </w:tc>
        <w:tc>
          <w:tcPr>
            <w:tcW w:w="280" w:type="dxa"/>
            <w:vAlign w:val="bottom"/>
            <w:tcBorders>
              <w:bottom w:val="single" w:sz="8" w:color="auto"/>
            </w:tcBorders>
            <w:shd w:val="clear" w:color="auto" w:fill="CFF0FC"/>
          </w:tcPr>
          <w:p>
            <w:pPr>
              <w:spacing w:after="0"/>
              <w:rPr>
                <w:sz w:val="12"/>
                <w:szCs w:val="12"/>
                <w:color w:val="auto"/>
              </w:rPr>
            </w:pPr>
          </w:p>
        </w:tc>
        <w:tc>
          <w:tcPr>
            <w:tcW w:w="130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187,963</w:t>
            </w: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720" w:type="dxa"/>
            <w:vAlign w:val="bottom"/>
          </w:tcPr>
          <w:p>
            <w:pPr>
              <w:ind w:left="280"/>
              <w:spacing w:after="0" w:line="142" w:lineRule="exact"/>
              <w:rPr>
                <w:sz w:val="20"/>
                <w:szCs w:val="20"/>
                <w:color w:val="auto"/>
              </w:rPr>
            </w:pPr>
            <w:r>
              <w:rPr>
                <w:rFonts w:ascii="Times New Roman" w:cs="Times New Roman" w:eastAsia="Times New Roman" w:hAnsi="Times New Roman"/>
                <w:sz w:val="14"/>
                <w:szCs w:val="14"/>
                <w:color w:val="auto"/>
              </w:rPr>
              <w:t>Total assets</w:t>
            </w:r>
          </w:p>
        </w:tc>
        <w:tc>
          <w:tcPr>
            <w:tcW w:w="26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5,173,425</w:t>
            </w:r>
          </w:p>
        </w:tc>
        <w:tc>
          <w:tcPr>
            <w:tcW w:w="260" w:type="dxa"/>
            <w:vAlign w:val="bottom"/>
          </w:tcPr>
          <w:p>
            <w:pPr>
              <w:spacing w:after="0"/>
              <w:rPr>
                <w:sz w:val="12"/>
                <w:szCs w:val="12"/>
                <w:color w:val="auto"/>
              </w:rPr>
            </w:pPr>
          </w:p>
        </w:tc>
        <w:tc>
          <w:tcPr>
            <w:tcW w:w="280" w:type="dxa"/>
            <w:vAlign w:val="bottom"/>
            <w:tcBorders>
              <w:bottom w:val="single" w:sz="8" w:color="auto"/>
            </w:tcBorders>
          </w:tcPr>
          <w:p>
            <w:pPr>
              <w:jc w:val="right"/>
              <w:ind w:right="12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5,194,430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772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LIABILITIES AND EQUITY</w:t>
            </w:r>
          </w:p>
        </w:tc>
        <w:tc>
          <w:tcPr>
            <w:tcW w:w="260" w:type="dxa"/>
            <w:vAlign w:val="bottom"/>
            <w:shd w:val="clear" w:color="auto" w:fill="CFF0FC"/>
          </w:tcPr>
          <w:p>
            <w:pPr>
              <w:spacing w:after="0"/>
              <w:rPr>
                <w:sz w:val="11"/>
                <w:szCs w:val="11"/>
                <w:color w:val="auto"/>
              </w:rPr>
            </w:pPr>
          </w:p>
        </w:tc>
        <w:tc>
          <w:tcPr>
            <w:tcW w:w="13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3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77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Current liabilities:</w:t>
            </w:r>
          </w:p>
        </w:tc>
        <w:tc>
          <w:tcPr>
            <w:tcW w:w="2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2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Accounts payable and book overdrafts</w:t>
            </w:r>
          </w:p>
        </w:tc>
        <w:tc>
          <w:tcPr>
            <w:tcW w:w="260" w:type="dxa"/>
            <w:vAlign w:val="bottom"/>
            <w:shd w:val="clear" w:color="auto" w:fill="CFF0FC"/>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450,552</w:t>
            </w:r>
          </w:p>
        </w:tc>
        <w:tc>
          <w:tcPr>
            <w:tcW w:w="260" w:type="dxa"/>
            <w:vAlign w:val="bottom"/>
            <w:shd w:val="clear" w:color="auto" w:fill="CFF0FC"/>
          </w:tcPr>
          <w:p>
            <w:pPr>
              <w:spacing w:after="0"/>
              <w:rPr>
                <w:sz w:val="12"/>
                <w:szCs w:val="12"/>
                <w:color w:val="auto"/>
              </w:rPr>
            </w:pPr>
          </w:p>
        </w:tc>
        <w:tc>
          <w:tcPr>
            <w:tcW w:w="280" w:type="dxa"/>
            <w:vAlign w:val="bottom"/>
            <w:shd w:val="clear" w:color="auto" w:fill="CFF0FC"/>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492,878</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2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Accrued salaries and employee benefits</w:t>
            </w:r>
          </w:p>
        </w:tc>
        <w:tc>
          <w:tcPr>
            <w:tcW w:w="26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154,148</w:t>
            </w: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157,460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72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Accrued expenses and other liabilities</w:t>
            </w:r>
          </w:p>
        </w:tc>
        <w:tc>
          <w:tcPr>
            <w:tcW w:w="260" w:type="dxa"/>
            <w:vAlign w:val="bottom"/>
            <w:shd w:val="clear" w:color="auto" w:fill="CFF0FC"/>
          </w:tcPr>
          <w:p>
            <w:pPr>
              <w:spacing w:after="0"/>
              <w:rPr>
                <w:sz w:val="12"/>
                <w:szCs w:val="12"/>
                <w:color w:val="auto"/>
              </w:rPr>
            </w:pPr>
          </w:p>
        </w:tc>
        <w:tc>
          <w:tcPr>
            <w:tcW w:w="13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204,751</w:t>
            </w:r>
          </w:p>
        </w:tc>
        <w:tc>
          <w:tcPr>
            <w:tcW w:w="2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3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177,079</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2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Current portion of operating lease liabilities</w:t>
            </w:r>
          </w:p>
        </w:tc>
        <w:tc>
          <w:tcPr>
            <w:tcW w:w="26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320,082</w:t>
            </w: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306,400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20" w:type="dxa"/>
            <w:vAlign w:val="bottom"/>
            <w:tcBorders>
              <w:bottom w:val="single" w:sz="8" w:color="CFF0FC"/>
            </w:tcBorders>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Current portion of long-term debt and other lease liabilities</w:t>
            </w:r>
          </w:p>
        </w:tc>
        <w:tc>
          <w:tcPr>
            <w:tcW w:w="260" w:type="dxa"/>
            <w:vAlign w:val="bottom"/>
            <w:tcBorders>
              <w:bottom w:val="single" w:sz="8" w:color="auto"/>
            </w:tcBorders>
            <w:shd w:val="clear" w:color="auto" w:fill="CFF0FC"/>
          </w:tcPr>
          <w:p>
            <w:pPr>
              <w:spacing w:after="0"/>
              <w:rPr>
                <w:sz w:val="12"/>
                <w:szCs w:val="12"/>
                <w:color w:val="auto"/>
              </w:rPr>
            </w:pPr>
          </w:p>
        </w:tc>
        <w:tc>
          <w:tcPr>
            <w:tcW w:w="132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4,608</w:t>
            </w:r>
          </w:p>
        </w:tc>
        <w:tc>
          <w:tcPr>
            <w:tcW w:w="260" w:type="dxa"/>
            <w:vAlign w:val="bottom"/>
            <w:tcBorders>
              <w:bottom w:val="single" w:sz="8" w:color="CFF0FC"/>
            </w:tcBorders>
            <w:shd w:val="clear" w:color="auto" w:fill="CFF0FC"/>
          </w:tcPr>
          <w:p>
            <w:pPr>
              <w:spacing w:after="0"/>
              <w:rPr>
                <w:sz w:val="12"/>
                <w:szCs w:val="12"/>
                <w:color w:val="auto"/>
              </w:rPr>
            </w:pPr>
          </w:p>
        </w:tc>
        <w:tc>
          <w:tcPr>
            <w:tcW w:w="280" w:type="dxa"/>
            <w:vAlign w:val="bottom"/>
            <w:tcBorders>
              <w:bottom w:val="single" w:sz="8" w:color="auto"/>
            </w:tcBorders>
            <w:shd w:val="clear" w:color="auto" w:fill="CFF0FC"/>
          </w:tcPr>
          <w:p>
            <w:pPr>
              <w:spacing w:after="0"/>
              <w:rPr>
                <w:sz w:val="12"/>
                <w:szCs w:val="12"/>
                <w:color w:val="auto"/>
              </w:rPr>
            </w:pPr>
          </w:p>
        </w:tc>
        <w:tc>
          <w:tcPr>
            <w:tcW w:w="130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5,346</w:t>
            </w: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720" w:type="dxa"/>
            <w:vAlign w:val="bottom"/>
          </w:tcPr>
          <w:p>
            <w:pPr>
              <w:ind w:left="280"/>
              <w:spacing w:after="0" w:line="142" w:lineRule="exact"/>
              <w:rPr>
                <w:sz w:val="20"/>
                <w:szCs w:val="20"/>
                <w:color w:val="auto"/>
              </w:rPr>
            </w:pPr>
            <w:r>
              <w:rPr>
                <w:rFonts w:ascii="Times New Roman" w:cs="Times New Roman" w:eastAsia="Times New Roman" w:hAnsi="Times New Roman"/>
                <w:sz w:val="14"/>
                <w:szCs w:val="14"/>
                <w:color w:val="auto"/>
              </w:rPr>
              <w:t>Total current liabilities</w:t>
            </w:r>
          </w:p>
        </w:tc>
        <w:tc>
          <w:tcPr>
            <w:tcW w:w="26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1,134,141</w:t>
            </w:r>
          </w:p>
        </w:tc>
        <w:tc>
          <w:tcPr>
            <w:tcW w:w="26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1,139,163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72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Senior secured credit facilities, net, excluding current portion</w:t>
            </w:r>
          </w:p>
        </w:tc>
        <w:tc>
          <w:tcPr>
            <w:tcW w:w="260" w:type="dxa"/>
            <w:vAlign w:val="bottom"/>
            <w:shd w:val="clear" w:color="auto" w:fill="CFF0FC"/>
          </w:tcPr>
          <w:p>
            <w:pPr>
              <w:spacing w:after="0"/>
              <w:rPr>
                <w:sz w:val="12"/>
                <w:szCs w:val="12"/>
                <w:color w:val="auto"/>
              </w:rPr>
            </w:pPr>
          </w:p>
        </w:tc>
        <w:tc>
          <w:tcPr>
            <w:tcW w:w="13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1,488,527</w:t>
            </w:r>
          </w:p>
        </w:tc>
        <w:tc>
          <w:tcPr>
            <w:tcW w:w="2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3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1,578,091</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Operating lease liabilities, excluding current portion</w:t>
            </w:r>
          </w:p>
        </w:tc>
        <w:tc>
          <w:tcPr>
            <w:tcW w:w="26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1,047,185</w:t>
            </w: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1,037,206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Deferred taxes, net</w:t>
            </w:r>
          </w:p>
        </w:tc>
        <w:tc>
          <w:tcPr>
            <w:tcW w:w="260" w:type="dxa"/>
            <w:vAlign w:val="bottom"/>
            <w:shd w:val="clear" w:color="auto" w:fill="CFF0FC"/>
          </w:tcPr>
          <w:p>
            <w:pPr>
              <w:spacing w:after="0"/>
              <w:rPr>
                <w:sz w:val="12"/>
                <w:szCs w:val="12"/>
                <w:color w:val="auto"/>
              </w:rPr>
            </w:pPr>
          </w:p>
        </w:tc>
        <w:tc>
          <w:tcPr>
            <w:tcW w:w="13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234,911</w:t>
            </w:r>
          </w:p>
        </w:tc>
        <w:tc>
          <w:tcPr>
            <w:tcW w:w="2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3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217,712</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Other long-term liabilities</w:t>
            </w:r>
          </w:p>
        </w:tc>
        <w:tc>
          <w:tcPr>
            <w:tcW w:w="26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104,407</w:t>
            </w:r>
          </w:p>
        </w:tc>
        <w:tc>
          <w:tcPr>
            <w:tcW w:w="26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108,628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720" w:type="dxa"/>
            <w:vAlign w:val="bottom"/>
            <w:tcBorders>
              <w:bottom w:val="single" w:sz="8" w:color="CFF0FC"/>
            </w:tcBorders>
            <w:shd w:val="clear" w:color="auto" w:fill="CFF0FC"/>
          </w:tcPr>
          <w:p>
            <w:pPr>
              <w:ind w:left="280"/>
              <w:spacing w:after="0" w:line="142" w:lineRule="exact"/>
              <w:rPr>
                <w:sz w:val="20"/>
                <w:szCs w:val="20"/>
                <w:color w:val="auto"/>
              </w:rPr>
            </w:pPr>
            <w:r>
              <w:rPr>
                <w:rFonts w:ascii="Times New Roman" w:cs="Times New Roman" w:eastAsia="Times New Roman" w:hAnsi="Times New Roman"/>
                <w:sz w:val="14"/>
                <w:szCs w:val="14"/>
                <w:color w:val="auto"/>
              </w:rPr>
              <w:t>Total liabilities</w:t>
            </w:r>
          </w:p>
        </w:tc>
        <w:tc>
          <w:tcPr>
            <w:tcW w:w="260" w:type="dxa"/>
            <w:vAlign w:val="bottom"/>
            <w:tcBorders>
              <w:bottom w:val="single" w:sz="8" w:color="auto"/>
            </w:tcBorders>
            <w:shd w:val="clear" w:color="auto" w:fill="CFF0FC"/>
          </w:tcPr>
          <w:p>
            <w:pPr>
              <w:spacing w:after="0"/>
              <w:rPr>
                <w:sz w:val="12"/>
                <w:szCs w:val="12"/>
                <w:color w:val="auto"/>
              </w:rPr>
            </w:pPr>
          </w:p>
        </w:tc>
        <w:tc>
          <w:tcPr>
            <w:tcW w:w="132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4,009,171</w:t>
            </w:r>
          </w:p>
        </w:tc>
        <w:tc>
          <w:tcPr>
            <w:tcW w:w="260" w:type="dxa"/>
            <w:vAlign w:val="bottom"/>
            <w:tcBorders>
              <w:bottom w:val="single" w:sz="8" w:color="CFF0FC"/>
            </w:tcBorders>
            <w:shd w:val="clear" w:color="auto" w:fill="CFF0FC"/>
          </w:tcPr>
          <w:p>
            <w:pPr>
              <w:spacing w:after="0"/>
              <w:rPr>
                <w:sz w:val="12"/>
                <w:szCs w:val="12"/>
                <w:color w:val="auto"/>
              </w:rPr>
            </w:pPr>
          </w:p>
        </w:tc>
        <w:tc>
          <w:tcPr>
            <w:tcW w:w="280" w:type="dxa"/>
            <w:vAlign w:val="bottom"/>
            <w:tcBorders>
              <w:bottom w:val="single" w:sz="8" w:color="auto"/>
            </w:tcBorders>
            <w:shd w:val="clear" w:color="auto" w:fill="CFF0FC"/>
          </w:tcPr>
          <w:p>
            <w:pPr>
              <w:spacing w:after="0"/>
              <w:rPr>
                <w:sz w:val="12"/>
                <w:szCs w:val="12"/>
                <w:color w:val="auto"/>
              </w:rPr>
            </w:pPr>
          </w:p>
        </w:tc>
        <w:tc>
          <w:tcPr>
            <w:tcW w:w="130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4,080,800</w:t>
            </w: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72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Commitments and contingencies (Notes 7 and 14)</w:t>
            </w:r>
          </w:p>
        </w:tc>
        <w:tc>
          <w:tcPr>
            <w:tcW w:w="2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Stockholders' equity:</w:t>
            </w:r>
          </w:p>
        </w:tc>
        <w:tc>
          <w:tcPr>
            <w:tcW w:w="260" w:type="dxa"/>
            <w:vAlign w:val="bottom"/>
            <w:shd w:val="clear" w:color="auto" w:fill="CFF0FC"/>
          </w:tcPr>
          <w:p>
            <w:pPr>
              <w:spacing w:after="0"/>
              <w:rPr>
                <w:sz w:val="12"/>
                <w:szCs w:val="12"/>
                <w:color w:val="auto"/>
              </w:rPr>
            </w:pPr>
          </w:p>
        </w:tc>
        <w:tc>
          <w:tcPr>
            <w:tcW w:w="13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3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7720" w:type="dxa"/>
            <w:vAlign w:val="bottom"/>
          </w:tcPr>
          <w:p>
            <w:pPr>
              <w:ind w:left="140"/>
              <w:spacing w:after="0" w:line="126" w:lineRule="exact"/>
              <w:rPr>
                <w:sz w:val="20"/>
                <w:szCs w:val="20"/>
                <w:color w:val="auto"/>
              </w:rPr>
            </w:pPr>
            <w:r>
              <w:rPr>
                <w:rFonts w:ascii="Times New Roman" w:cs="Times New Roman" w:eastAsia="Times New Roman" w:hAnsi="Times New Roman"/>
                <w:sz w:val="14"/>
                <w:szCs w:val="14"/>
                <w:color w:val="auto"/>
              </w:rPr>
              <w:t>Class A common stock, $0.001 par value: Authorized - 1.0 billion shares;</w:t>
            </w:r>
          </w:p>
        </w:tc>
        <w:tc>
          <w:tcPr>
            <w:tcW w:w="260" w:type="dxa"/>
            <w:vAlign w:val="bottom"/>
          </w:tcPr>
          <w:p>
            <w:pPr>
              <w:spacing w:after="0"/>
              <w:rPr>
                <w:sz w:val="10"/>
                <w:szCs w:val="10"/>
                <w:color w:val="auto"/>
              </w:rPr>
            </w:pP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244</w:t>
            </w:r>
          </w:p>
        </w:tc>
        <w:tc>
          <w:tcPr>
            <w:tcW w:w="2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239</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77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Issued and outstanding - 243.7 million and 239.1 million shares, respectively</w:t>
            </w:r>
          </w:p>
        </w:tc>
        <w:tc>
          <w:tcPr>
            <w:tcW w:w="260" w:type="dxa"/>
            <w:vAlign w:val="bottom"/>
          </w:tcPr>
          <w:p>
            <w:pPr>
              <w:spacing w:after="0"/>
              <w:rPr>
                <w:sz w:val="14"/>
                <w:szCs w:val="14"/>
                <w:color w:val="auto"/>
              </w:rPr>
            </w:pPr>
          </w:p>
        </w:tc>
        <w:tc>
          <w:tcPr>
            <w:tcW w:w="132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7720" w:type="dxa"/>
            <w:vAlign w:val="bottom"/>
            <w:shd w:val="clear" w:color="auto" w:fill="CFF0FC"/>
          </w:tcPr>
          <w:p>
            <w:pPr>
              <w:ind w:left="140"/>
              <w:spacing w:after="0" w:line="126" w:lineRule="exact"/>
              <w:rPr>
                <w:sz w:val="20"/>
                <w:szCs w:val="20"/>
                <w:color w:val="auto"/>
              </w:rPr>
            </w:pPr>
            <w:r>
              <w:rPr>
                <w:rFonts w:ascii="Times New Roman" w:cs="Times New Roman" w:eastAsia="Times New Roman" w:hAnsi="Times New Roman"/>
                <w:sz w:val="14"/>
                <w:szCs w:val="14"/>
                <w:color w:val="auto"/>
              </w:rPr>
              <w:t>Class B-1 common stock, $0.001 par value: Authorized - 75.0 million shares;</w:t>
            </w:r>
          </w:p>
        </w:tc>
        <w:tc>
          <w:tcPr>
            <w:tcW w:w="260" w:type="dxa"/>
            <w:vAlign w:val="bottom"/>
            <w:shd w:val="clear" w:color="auto" w:fill="CFF0FC"/>
          </w:tcPr>
          <w:p>
            <w:pPr>
              <w:spacing w:after="0"/>
              <w:rPr>
                <w:sz w:val="10"/>
                <w:szCs w:val="10"/>
                <w:color w:val="auto"/>
              </w:rPr>
            </w:pPr>
          </w:p>
        </w:tc>
        <w:tc>
          <w:tcPr>
            <w:tcW w:w="13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26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13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77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4"/>
                <w:szCs w:val="14"/>
                <w:color w:val="auto"/>
              </w:rPr>
              <w:t>Issued and outstanding - 37.8 million shares</w:t>
            </w:r>
          </w:p>
        </w:tc>
        <w:tc>
          <w:tcPr>
            <w:tcW w:w="260" w:type="dxa"/>
            <w:vAlign w:val="bottom"/>
            <w:shd w:val="clear" w:color="auto" w:fill="CFF0FC"/>
          </w:tcPr>
          <w:p>
            <w:pPr>
              <w:spacing w:after="0"/>
              <w:rPr>
                <w:sz w:val="14"/>
                <w:szCs w:val="14"/>
                <w:color w:val="auto"/>
              </w:rPr>
            </w:pPr>
          </w:p>
        </w:tc>
        <w:tc>
          <w:tcPr>
            <w:tcW w:w="1320" w:type="dxa"/>
            <w:vAlign w:val="bottom"/>
            <w:vMerge w:val="continue"/>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30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7720" w:type="dxa"/>
            <w:vAlign w:val="bottom"/>
          </w:tcPr>
          <w:p>
            <w:pPr>
              <w:ind w:left="140"/>
              <w:spacing w:after="0" w:line="126" w:lineRule="exact"/>
              <w:rPr>
                <w:sz w:val="20"/>
                <w:szCs w:val="20"/>
                <w:color w:val="auto"/>
              </w:rPr>
            </w:pPr>
            <w:r>
              <w:rPr>
                <w:rFonts w:ascii="Times New Roman" w:cs="Times New Roman" w:eastAsia="Times New Roman" w:hAnsi="Times New Roman"/>
                <w:sz w:val="14"/>
                <w:szCs w:val="14"/>
                <w:color w:val="auto"/>
              </w:rPr>
              <w:t>Class B-2 common stock, $0.000001 par value: Authorized - 75.0 million shares;</w:t>
            </w:r>
          </w:p>
        </w:tc>
        <w:tc>
          <w:tcPr>
            <w:tcW w:w="260" w:type="dxa"/>
            <w:vAlign w:val="bottom"/>
          </w:tcPr>
          <w:p>
            <w:pPr>
              <w:spacing w:after="0"/>
              <w:rPr>
                <w:sz w:val="10"/>
                <w:szCs w:val="10"/>
                <w:color w:val="auto"/>
              </w:rPr>
            </w:pPr>
          </w:p>
        </w:tc>
        <w:tc>
          <w:tcPr>
            <w:tcW w:w="158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0"/>
                <w:szCs w:val="10"/>
                <w:color w:val="auto"/>
              </w:rPr>
            </w:pPr>
          </w:p>
        </w:tc>
        <w:tc>
          <w:tcPr>
            <w:tcW w:w="14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77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Issued and outstanding - 37.8 million shares</w:t>
            </w:r>
          </w:p>
        </w:tc>
        <w:tc>
          <w:tcPr>
            <w:tcW w:w="260" w:type="dxa"/>
            <w:vAlign w:val="bottom"/>
          </w:tcPr>
          <w:p>
            <w:pPr>
              <w:spacing w:after="0"/>
              <w:rPr>
                <w:sz w:val="14"/>
                <w:szCs w:val="14"/>
                <w:color w:val="auto"/>
              </w:rPr>
            </w:pPr>
          </w:p>
        </w:tc>
        <w:tc>
          <w:tcPr>
            <w:tcW w:w="158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14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7720" w:type="dxa"/>
            <w:vAlign w:val="bottom"/>
            <w:shd w:val="clear" w:color="auto" w:fill="CFF0FC"/>
          </w:tcPr>
          <w:p>
            <w:pPr>
              <w:ind w:left="140"/>
              <w:spacing w:after="0" w:line="126" w:lineRule="exact"/>
              <w:rPr>
                <w:sz w:val="20"/>
                <w:szCs w:val="20"/>
                <w:color w:val="auto"/>
              </w:rPr>
            </w:pPr>
            <w:r>
              <w:rPr>
                <w:rFonts w:ascii="Times New Roman" w:cs="Times New Roman" w:eastAsia="Times New Roman" w:hAnsi="Times New Roman"/>
                <w:sz w:val="14"/>
                <w:szCs w:val="14"/>
                <w:color w:val="auto"/>
              </w:rPr>
              <w:t>Preferred stock, $0.001 par value: Authorized - 25.0 million shares;</w:t>
            </w:r>
          </w:p>
        </w:tc>
        <w:tc>
          <w:tcPr>
            <w:tcW w:w="260" w:type="dxa"/>
            <w:vAlign w:val="bottom"/>
            <w:shd w:val="clear" w:color="auto" w:fill="CFF0FC"/>
          </w:tcPr>
          <w:p>
            <w:pPr>
              <w:spacing w:after="0"/>
              <w:rPr>
                <w:sz w:val="10"/>
                <w:szCs w:val="10"/>
                <w:color w:val="auto"/>
              </w:rPr>
            </w:pPr>
          </w:p>
        </w:tc>
        <w:tc>
          <w:tcPr>
            <w:tcW w:w="1580" w:type="dxa"/>
            <w:vAlign w:val="bottom"/>
            <w:gridSpan w:val="2"/>
            <w:vMerge w:val="restart"/>
            <w:shd w:val="clear" w:color="auto" w:fill="CFF0FC"/>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FF0FC"/>
          </w:tcPr>
          <w:p>
            <w:pPr>
              <w:spacing w:after="0"/>
              <w:rPr>
                <w:sz w:val="10"/>
                <w:szCs w:val="10"/>
                <w:color w:val="auto"/>
              </w:rPr>
            </w:pPr>
          </w:p>
        </w:tc>
        <w:tc>
          <w:tcPr>
            <w:tcW w:w="140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77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4"/>
                <w:szCs w:val="14"/>
                <w:color w:val="auto"/>
              </w:rPr>
              <w:t>Issued and outstanding - none</w:t>
            </w:r>
          </w:p>
        </w:tc>
        <w:tc>
          <w:tcPr>
            <w:tcW w:w="260" w:type="dxa"/>
            <w:vAlign w:val="bottom"/>
            <w:shd w:val="clear" w:color="auto" w:fill="CFF0FC"/>
          </w:tcPr>
          <w:p>
            <w:pPr>
              <w:spacing w:after="0"/>
              <w:rPr>
                <w:sz w:val="14"/>
                <w:szCs w:val="14"/>
                <w:color w:val="auto"/>
              </w:rPr>
            </w:pPr>
          </w:p>
        </w:tc>
        <w:tc>
          <w:tcPr>
            <w:tcW w:w="1580" w:type="dxa"/>
            <w:vAlign w:val="bottom"/>
            <w:gridSpan w:val="2"/>
            <w:vMerge w:val="continue"/>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40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72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Additional paid-in-capital</w:t>
            </w:r>
          </w:p>
        </w:tc>
        <w:tc>
          <w:tcPr>
            <w:tcW w:w="26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2,312,354</w:t>
            </w: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2,280,495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2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Accumulated deficit</w:t>
            </w:r>
          </w:p>
        </w:tc>
        <w:tc>
          <w:tcPr>
            <w:tcW w:w="260" w:type="dxa"/>
            <w:vAlign w:val="bottom"/>
            <w:shd w:val="clear" w:color="auto" w:fill="CFF0FC"/>
          </w:tcPr>
          <w:p>
            <w:pPr>
              <w:spacing w:after="0"/>
              <w:rPr>
                <w:sz w:val="12"/>
                <w:szCs w:val="12"/>
                <w:color w:val="auto"/>
              </w:rPr>
            </w:pPr>
          </w:p>
        </w:tc>
        <w:tc>
          <w:tcPr>
            <w:tcW w:w="158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(1,139,993)</w:t>
            </w:r>
          </w:p>
        </w:tc>
        <w:tc>
          <w:tcPr>
            <w:tcW w:w="280" w:type="dxa"/>
            <w:vAlign w:val="bottom"/>
            <w:shd w:val="clear" w:color="auto" w:fill="CFF0FC"/>
          </w:tcPr>
          <w:p>
            <w:pPr>
              <w:spacing w:after="0"/>
              <w:rPr>
                <w:sz w:val="12"/>
                <w:szCs w:val="12"/>
                <w:color w:val="auto"/>
              </w:rPr>
            </w:pPr>
          </w:p>
        </w:tc>
        <w:tc>
          <w:tcPr>
            <w:tcW w:w="140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(1,149,059)</w:t>
            </w:r>
          </w:p>
        </w:tc>
        <w:tc>
          <w:tcPr>
            <w:tcW w:w="0" w:type="dxa"/>
            <w:vAlign w:val="bottom"/>
          </w:tcPr>
          <w:p>
            <w:pPr>
              <w:spacing w:after="0"/>
              <w:rPr>
                <w:sz w:val="1"/>
                <w:szCs w:val="1"/>
                <w:color w:val="auto"/>
              </w:rPr>
            </w:pPr>
          </w:p>
        </w:tc>
      </w:tr>
      <w:tr>
        <w:trPr>
          <w:trHeight w:val="149"/>
        </w:trPr>
        <w:tc>
          <w:tcPr>
            <w:tcW w:w="772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Accumulated other comprehensive loss</w:t>
            </w:r>
          </w:p>
        </w:tc>
        <w:tc>
          <w:tcPr>
            <w:tcW w:w="260" w:type="dxa"/>
            <w:vAlign w:val="bottom"/>
          </w:tcPr>
          <w:p>
            <w:pPr>
              <w:spacing w:after="0"/>
              <w:rPr>
                <w:sz w:val="12"/>
                <w:szCs w:val="12"/>
                <w:color w:val="auto"/>
              </w:rPr>
            </w:pPr>
          </w:p>
        </w:tc>
        <w:tc>
          <w:tcPr>
            <w:tcW w:w="15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(8,389)</w:t>
            </w:r>
          </w:p>
        </w:tc>
        <w:tc>
          <w:tcPr>
            <w:tcW w:w="280" w:type="dxa"/>
            <w:vAlign w:val="bottom"/>
          </w:tcPr>
          <w:p>
            <w:pPr>
              <w:spacing w:after="0"/>
              <w:rPr>
                <w:sz w:val="12"/>
                <w:szCs w:val="12"/>
                <w:color w:val="auto"/>
              </w:rPr>
            </w:pPr>
          </w:p>
        </w:tc>
        <w:tc>
          <w:tcPr>
            <w:tcW w:w="14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(18,083)</w:t>
            </w:r>
          </w:p>
        </w:tc>
        <w:tc>
          <w:tcPr>
            <w:tcW w:w="0" w:type="dxa"/>
            <w:vAlign w:val="bottom"/>
          </w:tcPr>
          <w:p>
            <w:pPr>
              <w:spacing w:after="0"/>
              <w:rPr>
                <w:sz w:val="1"/>
                <w:szCs w:val="1"/>
                <w:color w:val="auto"/>
              </w:rPr>
            </w:pPr>
          </w:p>
        </w:tc>
      </w:tr>
      <w:tr>
        <w:trPr>
          <w:trHeight w:val="142"/>
        </w:trPr>
        <w:tc>
          <w:tcPr>
            <w:tcW w:w="7720" w:type="dxa"/>
            <w:vAlign w:val="bottom"/>
            <w:tcBorders>
              <w:bottom w:val="single" w:sz="8" w:color="CFF0FC"/>
            </w:tcBorders>
            <w:shd w:val="clear" w:color="auto" w:fill="CFF0FC"/>
          </w:tcPr>
          <w:p>
            <w:pPr>
              <w:ind w:left="280"/>
              <w:spacing w:after="0" w:line="142" w:lineRule="exact"/>
              <w:rPr>
                <w:sz w:val="20"/>
                <w:szCs w:val="20"/>
                <w:color w:val="auto"/>
              </w:rPr>
            </w:pPr>
            <w:r>
              <w:rPr>
                <w:rFonts w:ascii="Times New Roman" w:cs="Times New Roman" w:eastAsia="Times New Roman" w:hAnsi="Times New Roman"/>
                <w:sz w:val="14"/>
                <w:szCs w:val="14"/>
                <w:color w:val="auto"/>
              </w:rPr>
              <w:t>Total stockholders’ equity</w:t>
            </w:r>
          </w:p>
        </w:tc>
        <w:tc>
          <w:tcPr>
            <w:tcW w:w="260" w:type="dxa"/>
            <w:vAlign w:val="bottom"/>
            <w:tcBorders>
              <w:top w:val="single" w:sz="8" w:color="auto"/>
              <w:bottom w:val="single" w:sz="8" w:color="auto"/>
            </w:tcBorders>
            <w:shd w:val="clear" w:color="auto" w:fill="CFF0FC"/>
          </w:tcPr>
          <w:p>
            <w:pPr>
              <w:spacing w:after="0"/>
              <w:rPr>
                <w:sz w:val="12"/>
                <w:szCs w:val="12"/>
                <w:color w:val="auto"/>
              </w:rPr>
            </w:pPr>
          </w:p>
        </w:tc>
        <w:tc>
          <w:tcPr>
            <w:tcW w:w="13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1,164,254</w:t>
            </w:r>
          </w:p>
        </w:tc>
        <w:tc>
          <w:tcPr>
            <w:tcW w:w="260" w:type="dxa"/>
            <w:vAlign w:val="bottom"/>
            <w:tcBorders>
              <w:bottom w:val="single" w:sz="8" w:color="CFF0FC"/>
            </w:tcBorders>
            <w:shd w:val="clear" w:color="auto" w:fill="CFF0FC"/>
          </w:tcPr>
          <w:p>
            <w:pPr>
              <w:spacing w:after="0"/>
              <w:rPr>
                <w:sz w:val="12"/>
                <w:szCs w:val="12"/>
                <w:color w:val="auto"/>
              </w:rPr>
            </w:pPr>
          </w:p>
        </w:tc>
        <w:tc>
          <w:tcPr>
            <w:tcW w:w="280" w:type="dxa"/>
            <w:vAlign w:val="bottom"/>
            <w:tcBorders>
              <w:top w:val="single" w:sz="8" w:color="auto"/>
              <w:bottom w:val="single" w:sz="8" w:color="auto"/>
            </w:tcBorders>
            <w:shd w:val="clear" w:color="auto" w:fill="CFF0FC"/>
          </w:tcPr>
          <w:p>
            <w:pPr>
              <w:spacing w:after="0"/>
              <w:rPr>
                <w:sz w:val="12"/>
                <w:szCs w:val="12"/>
                <w:color w:val="auto"/>
              </w:rPr>
            </w:pPr>
          </w:p>
        </w:tc>
        <w:tc>
          <w:tcPr>
            <w:tcW w:w="130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1,113,630</w:t>
            </w: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720" w:type="dxa"/>
            <w:vAlign w:val="bottom"/>
          </w:tcPr>
          <w:p>
            <w:pPr>
              <w:ind w:left="280"/>
              <w:spacing w:after="0" w:line="142" w:lineRule="exact"/>
              <w:rPr>
                <w:sz w:val="20"/>
                <w:szCs w:val="20"/>
                <w:color w:val="auto"/>
              </w:rPr>
            </w:pPr>
            <w:r>
              <w:rPr>
                <w:rFonts w:ascii="Times New Roman" w:cs="Times New Roman" w:eastAsia="Times New Roman" w:hAnsi="Times New Roman"/>
                <w:sz w:val="14"/>
                <w:szCs w:val="14"/>
                <w:color w:val="auto"/>
              </w:rPr>
              <w:t>Total liabilities and stockholders’ equity</w:t>
            </w:r>
          </w:p>
        </w:tc>
        <w:tc>
          <w:tcPr>
            <w:tcW w:w="26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5,173,425</w:t>
            </w:r>
          </w:p>
        </w:tc>
        <w:tc>
          <w:tcPr>
            <w:tcW w:w="260" w:type="dxa"/>
            <w:vAlign w:val="bottom"/>
          </w:tcPr>
          <w:p>
            <w:pPr>
              <w:spacing w:after="0"/>
              <w:rPr>
                <w:sz w:val="12"/>
                <w:szCs w:val="12"/>
                <w:color w:val="auto"/>
              </w:rPr>
            </w:pPr>
          </w:p>
        </w:tc>
        <w:tc>
          <w:tcPr>
            <w:tcW w:w="280" w:type="dxa"/>
            <w:vAlign w:val="bottom"/>
            <w:tcBorders>
              <w:bottom w:val="single" w:sz="8" w:color="auto"/>
            </w:tcBorders>
          </w:tcPr>
          <w:p>
            <w:pPr>
              <w:jc w:val="right"/>
              <w:ind w:right="12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5,194,430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-3428365</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-3428365</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-2845435</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-2845435</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-2056765</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-2056765</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-1464945</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-1464945</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-128270</wp:posOffset>
            </wp:positionV>
            <wp:extent cx="6858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-128270</wp:posOffset>
            </wp:positionV>
            <wp:extent cx="6858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67" w:name="page68"/>
    <w:bookmarkEnd w:id="67"/>
    <w:p>
      <w:pPr>
        <w:jc w:val="center"/>
        <w:spacing w:after="0"/>
        <w:rPr>
          <w:sz w:val="20"/>
          <w:szCs w:val="20"/>
          <w:color w:val="auto"/>
        </w:rPr>
      </w:pPr>
      <w:r>
        <w:rPr>
          <w:rFonts w:ascii="Times New Roman" w:cs="Times New Roman" w:eastAsia="Times New Roman" w:hAnsi="Times New Roman"/>
          <w:sz w:val="18"/>
          <w:szCs w:val="18"/>
          <w:b w:val="1"/>
          <w:bCs w:val="1"/>
          <w:color w:val="auto"/>
        </w:rPr>
        <w:t>PETCO HEALTH AND WELLNESS COMPANY,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5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3"/>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Fiscal years ended</w:t>
            </w:r>
          </w:p>
        </w:tc>
        <w:tc>
          <w:tcPr>
            <w:tcW w:w="1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17"/>
        </w:trPr>
        <w:tc>
          <w:tcPr>
            <w:tcW w:w="55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60" w:type="dxa"/>
            <w:vAlign w:val="bottom"/>
            <w:gridSpan w:val="2"/>
          </w:tcPr>
          <w:p>
            <w:pPr>
              <w:jc w:val="center"/>
              <w:ind w:right="340"/>
              <w:spacing w:after="0" w:line="118" w:lineRule="exact"/>
              <w:rPr>
                <w:sz w:val="20"/>
                <w:szCs w:val="20"/>
                <w:color w:val="auto"/>
              </w:rPr>
            </w:pPr>
            <w:r>
              <w:rPr>
                <w:rFonts w:ascii="Times New Roman" w:cs="Times New Roman" w:eastAsia="Times New Roman" w:hAnsi="Times New Roman"/>
                <w:sz w:val="13"/>
                <w:szCs w:val="13"/>
                <w:b w:val="1"/>
                <w:bCs w:val="1"/>
                <w:color w:val="auto"/>
              </w:rPr>
              <w:t>January 31,</w:t>
            </w: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40" w:type="dxa"/>
            <w:vAlign w:val="bottom"/>
            <w:gridSpan w:val="2"/>
          </w:tcPr>
          <w:p>
            <w:pPr>
              <w:jc w:val="center"/>
              <w:ind w:right="320"/>
              <w:spacing w:after="0" w:line="118" w:lineRule="exact"/>
              <w:rPr>
                <w:sz w:val="20"/>
                <w:szCs w:val="20"/>
                <w:color w:val="auto"/>
              </w:rPr>
            </w:pPr>
            <w:r>
              <w:rPr>
                <w:rFonts w:ascii="Times New Roman" w:cs="Times New Roman" w:eastAsia="Times New Roman" w:hAnsi="Times New Roman"/>
                <w:sz w:val="13"/>
                <w:szCs w:val="13"/>
                <w:b w:val="1"/>
                <w:bCs w:val="1"/>
                <w:color w:val="auto"/>
              </w:rPr>
              <w:t>February 1,</w:t>
            </w: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40" w:type="dxa"/>
            <w:vAlign w:val="bottom"/>
          </w:tcPr>
          <w:p>
            <w:pPr>
              <w:jc w:val="center"/>
              <w:ind w:right="112"/>
              <w:spacing w:after="0" w:line="118" w:lineRule="exact"/>
              <w:rPr>
                <w:sz w:val="20"/>
                <w:szCs w:val="20"/>
                <w:color w:val="auto"/>
              </w:rPr>
            </w:pPr>
            <w:r>
              <w:rPr>
                <w:rFonts w:ascii="Times New Roman" w:cs="Times New Roman" w:eastAsia="Times New Roman" w:hAnsi="Times New Roman"/>
                <w:sz w:val="13"/>
                <w:szCs w:val="13"/>
                <w:b w:val="1"/>
                <w:bCs w:val="1"/>
                <w:color w:val="auto"/>
              </w:rPr>
              <w:t>February 3,</w:t>
            </w:r>
          </w:p>
        </w:tc>
        <w:tc>
          <w:tcPr>
            <w:tcW w:w="100" w:type="dxa"/>
            <w:vAlign w:val="bottom"/>
          </w:tcPr>
          <w:p>
            <w:pPr>
              <w:spacing w:after="0"/>
              <w:rPr>
                <w:sz w:val="10"/>
                <w:szCs w:val="10"/>
                <w:color w:val="auto"/>
              </w:rPr>
            </w:pPr>
          </w:p>
        </w:tc>
      </w:tr>
      <w:tr>
        <w:trPr>
          <w:trHeight w:val="173"/>
        </w:trPr>
        <w:tc>
          <w:tcPr>
            <w:tcW w:w="55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132"/>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112"/>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1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r>
      <w:tr>
        <w:trPr>
          <w:trHeight w:val="142"/>
        </w:trPr>
        <w:tc>
          <w:tcPr>
            <w:tcW w:w="55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jc w:val="center"/>
              <w:ind w:right="132"/>
              <w:spacing w:after="0" w:line="142" w:lineRule="exact"/>
              <w:rPr>
                <w:sz w:val="20"/>
                <w:szCs w:val="20"/>
                <w:color w:val="auto"/>
              </w:rPr>
            </w:pPr>
            <w:r>
              <w:rPr>
                <w:rFonts w:ascii="Times New Roman" w:cs="Times New Roman" w:eastAsia="Times New Roman" w:hAnsi="Times New Roman"/>
                <w:sz w:val="14"/>
                <w:szCs w:val="14"/>
                <w:b w:val="1"/>
                <w:bCs w:val="1"/>
                <w:color w:val="auto"/>
              </w:rPr>
              <w:t>(52 weeks)</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jc w:val="center"/>
              <w:ind w:right="112"/>
              <w:spacing w:after="0" w:line="142" w:lineRule="exact"/>
              <w:rPr>
                <w:sz w:val="20"/>
                <w:szCs w:val="20"/>
                <w:color w:val="auto"/>
              </w:rPr>
            </w:pPr>
            <w:r>
              <w:rPr>
                <w:rFonts w:ascii="Times New Roman" w:cs="Times New Roman" w:eastAsia="Times New Roman" w:hAnsi="Times New Roman"/>
                <w:sz w:val="14"/>
                <w:szCs w:val="14"/>
                <w:b w:val="1"/>
                <w:bCs w:val="1"/>
                <w:color w:val="auto"/>
              </w:rPr>
              <w:t>(52 weeks)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tcPr>
          <w:p>
            <w:pPr>
              <w:jc w:val="center"/>
              <w:ind w:right="112"/>
              <w:spacing w:after="0" w:line="142" w:lineRule="exact"/>
              <w:rPr>
                <w:sz w:val="20"/>
                <w:szCs w:val="20"/>
                <w:color w:val="auto"/>
              </w:rPr>
            </w:pPr>
            <w:r>
              <w:rPr>
                <w:rFonts w:ascii="Times New Roman" w:cs="Times New Roman" w:eastAsia="Times New Roman" w:hAnsi="Times New Roman"/>
                <w:sz w:val="14"/>
                <w:szCs w:val="14"/>
                <w:b w:val="1"/>
                <w:bCs w:val="1"/>
                <w:color w:val="auto"/>
              </w:rPr>
              <w:t>(53 weeks)</w:t>
            </w:r>
          </w:p>
        </w:tc>
        <w:tc>
          <w:tcPr>
            <w:tcW w:w="100" w:type="dxa"/>
            <w:vAlign w:val="bottom"/>
          </w:tcPr>
          <w:p>
            <w:pPr>
              <w:spacing w:after="0"/>
              <w:rPr>
                <w:sz w:val="12"/>
                <w:szCs w:val="12"/>
                <w:color w:val="auto"/>
              </w:rPr>
            </w:pPr>
          </w:p>
        </w:tc>
      </w:tr>
      <w:tr>
        <w:trPr>
          <w:trHeight w:val="216"/>
        </w:trPr>
        <w:tc>
          <w:tcPr>
            <w:tcW w:w="5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sales:</w:t>
            </w:r>
          </w:p>
        </w:tc>
        <w:tc>
          <w:tcPr>
            <w:tcW w:w="10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5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Products</w:t>
            </w: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4,936,323</w:t>
            </w:r>
          </w:p>
        </w:tc>
        <w:tc>
          <w:tcPr>
            <w:tcW w:w="120" w:type="dxa"/>
            <w:vAlign w:val="bottom"/>
          </w:tcPr>
          <w:p>
            <w:pPr>
              <w:spacing w:after="0"/>
              <w:rPr>
                <w:sz w:val="18"/>
                <w:szCs w:val="18"/>
                <w:color w:val="auto"/>
              </w:rPr>
            </w:pPr>
          </w:p>
        </w:tc>
        <w:tc>
          <w:tcPr>
            <w:tcW w:w="34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5,116,891</w:t>
            </w:r>
          </w:p>
        </w:tc>
        <w:tc>
          <w:tcPr>
            <w:tcW w:w="120" w:type="dxa"/>
            <w:vAlign w:val="bottom"/>
          </w:tcPr>
          <w:p>
            <w:pPr>
              <w:spacing w:after="0"/>
              <w:rPr>
                <w:sz w:val="18"/>
                <w:szCs w:val="18"/>
                <w:color w:val="auto"/>
              </w:rPr>
            </w:pP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5,273,710</w:t>
            </w:r>
          </w:p>
        </w:tc>
        <w:tc>
          <w:tcPr>
            <w:tcW w:w="100" w:type="dxa"/>
            <w:vAlign w:val="bottom"/>
          </w:tcPr>
          <w:p>
            <w:pPr>
              <w:spacing w:after="0"/>
              <w:rPr>
                <w:sz w:val="18"/>
                <w:szCs w:val="18"/>
                <w:color w:val="auto"/>
              </w:rPr>
            </w:pPr>
          </w:p>
        </w:tc>
      </w:tr>
      <w:tr>
        <w:trPr>
          <w:trHeight w:val="216"/>
        </w:trPr>
        <w:tc>
          <w:tcPr>
            <w:tcW w:w="556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Services and other</w:t>
            </w:r>
          </w:p>
        </w:tc>
        <w:tc>
          <w:tcPr>
            <w:tcW w:w="10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1,025,144</w:t>
            </w:r>
          </w:p>
        </w:tc>
        <w:tc>
          <w:tcPr>
            <w:tcW w:w="1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999,571</w:t>
            </w: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981,574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5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net sales</w:t>
            </w: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5,961,467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6,116,462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6,255,284</w:t>
            </w:r>
          </w:p>
        </w:tc>
        <w:tc>
          <w:tcPr>
            <w:tcW w:w="100" w:type="dxa"/>
            <w:vAlign w:val="bottom"/>
          </w:tcPr>
          <w:p>
            <w:pPr>
              <w:spacing w:after="0"/>
              <w:rPr>
                <w:sz w:val="18"/>
                <w:szCs w:val="18"/>
                <w:color w:val="auto"/>
              </w:rPr>
            </w:pPr>
          </w:p>
        </w:tc>
      </w:tr>
      <w:tr>
        <w:trPr>
          <w:trHeight w:val="216"/>
        </w:trPr>
        <w:tc>
          <w:tcPr>
            <w:tcW w:w="5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0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5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Products</w:t>
            </w: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3,028,909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3,173,269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3,269,628</w:t>
            </w:r>
          </w:p>
        </w:tc>
        <w:tc>
          <w:tcPr>
            <w:tcW w:w="100" w:type="dxa"/>
            <w:vAlign w:val="bottom"/>
          </w:tcPr>
          <w:p>
            <w:pPr>
              <w:spacing w:after="0"/>
              <w:rPr>
                <w:sz w:val="18"/>
                <w:szCs w:val="18"/>
                <w:color w:val="auto"/>
              </w:rPr>
            </w:pPr>
          </w:p>
        </w:tc>
      </w:tr>
      <w:tr>
        <w:trPr>
          <w:trHeight w:val="216"/>
        </w:trPr>
        <w:tc>
          <w:tcPr>
            <w:tcW w:w="556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Services and other</w:t>
            </w:r>
          </w:p>
        </w:tc>
        <w:tc>
          <w:tcPr>
            <w:tcW w:w="10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627,486</w:t>
            </w:r>
          </w:p>
        </w:tc>
        <w:tc>
          <w:tcPr>
            <w:tcW w:w="1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618,791</w:t>
            </w: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631,821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5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cost of sales</w:t>
            </w:r>
          </w:p>
        </w:tc>
        <w:tc>
          <w:tcPr>
            <w:tcW w:w="10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3,656,395</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3,792,060</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3,901,449</w:t>
            </w:r>
          </w:p>
        </w:tc>
        <w:tc>
          <w:tcPr>
            <w:tcW w:w="100" w:type="dxa"/>
            <w:vAlign w:val="bottom"/>
          </w:tcPr>
          <w:p>
            <w:pPr>
              <w:spacing w:after="0"/>
              <w:rPr>
                <w:sz w:val="18"/>
                <w:szCs w:val="18"/>
                <w:color w:val="auto"/>
              </w:rPr>
            </w:pPr>
          </w:p>
        </w:tc>
      </w:tr>
      <w:tr>
        <w:trPr>
          <w:trHeight w:val="209"/>
        </w:trPr>
        <w:tc>
          <w:tcPr>
            <w:tcW w:w="55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Gross profit</w:t>
            </w:r>
          </w:p>
        </w:tc>
        <w:tc>
          <w:tcPr>
            <w:tcW w:w="10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2,305,072</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2,324,402</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2,353,835</w:t>
            </w:r>
          </w:p>
        </w:tc>
        <w:tc>
          <w:tcPr>
            <w:tcW w:w="100" w:type="dxa"/>
            <w:vAlign w:val="bottom"/>
            <w:shd w:val="clear" w:color="auto" w:fill="CFF0FC"/>
          </w:tcPr>
          <w:p>
            <w:pPr>
              <w:spacing w:after="0"/>
              <w:rPr>
                <w:sz w:val="18"/>
                <w:szCs w:val="18"/>
                <w:color w:val="auto"/>
              </w:rPr>
            </w:pPr>
          </w:p>
        </w:tc>
      </w:tr>
      <w:tr>
        <w:trPr>
          <w:trHeight w:val="216"/>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2,184,639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2,317,351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2,311,625</w:t>
            </w:r>
          </w:p>
        </w:tc>
        <w:tc>
          <w:tcPr>
            <w:tcW w:w="100" w:type="dxa"/>
            <w:vAlign w:val="bottom"/>
          </w:tcPr>
          <w:p>
            <w:pPr>
              <w:spacing w:after="0"/>
              <w:rPr>
                <w:sz w:val="18"/>
                <w:szCs w:val="18"/>
                <w:color w:val="auto"/>
              </w:rPr>
            </w:pPr>
          </w:p>
        </w:tc>
      </w:tr>
      <w:tr>
        <w:trPr>
          <w:trHeight w:val="216"/>
        </w:trPr>
        <w:tc>
          <w:tcPr>
            <w:tcW w:w="55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Goodwill impairment</w:t>
            </w:r>
          </w:p>
        </w:tc>
        <w:tc>
          <w:tcPr>
            <w:tcW w:w="10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1,222,524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55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Operating income (loss)</w:t>
            </w: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120,433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(1,180,314)</w:t>
            </w:r>
          </w:p>
        </w:tc>
      </w:tr>
      <w:tr>
        <w:trPr>
          <w:trHeight w:val="216"/>
        </w:trPr>
        <w:tc>
          <w:tcPr>
            <w:tcW w:w="5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0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(6,305)</w:t>
            </w: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(3,714)</w:t>
            </w: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(3,405)</w:t>
            </w:r>
          </w:p>
        </w:tc>
      </w:tr>
      <w:tr>
        <w:trPr>
          <w:trHeight w:val="216"/>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131,199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143,531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150,909</w:t>
            </w:r>
          </w:p>
        </w:tc>
        <w:tc>
          <w:tcPr>
            <w:tcW w:w="100" w:type="dxa"/>
            <w:vAlign w:val="bottom"/>
          </w:tcPr>
          <w:p>
            <w:pPr>
              <w:spacing w:after="0"/>
              <w:rPr>
                <w:sz w:val="18"/>
                <w:szCs w:val="18"/>
                <w:color w:val="auto"/>
              </w:rPr>
            </w:pPr>
          </w:p>
        </w:tc>
      </w:tr>
      <w:tr>
        <w:trPr>
          <w:trHeight w:val="216"/>
        </w:trPr>
        <w:tc>
          <w:tcPr>
            <w:tcW w:w="5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on partial extinguishment of debt</w:t>
            </w:r>
          </w:p>
        </w:tc>
        <w:tc>
          <w:tcPr>
            <w:tcW w:w="10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920</w:t>
            </w:r>
          </w:p>
        </w:tc>
        <w:tc>
          <w:tcPr>
            <w:tcW w:w="100" w:type="dxa"/>
            <w:vAlign w:val="bottom"/>
            <w:shd w:val="clear" w:color="auto" w:fill="CFF0FC"/>
          </w:tcPr>
          <w:p>
            <w:pPr>
              <w:spacing w:after="0"/>
              <w:rPr>
                <w:sz w:val="18"/>
                <w:szCs w:val="18"/>
                <w:color w:val="auto"/>
              </w:rPr>
            </w:pPr>
          </w:p>
        </w:tc>
      </w:tr>
      <w:tr>
        <w:trPr>
          <w:trHeight w:val="216"/>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Other non-operating income</w:t>
            </w: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(4,800)</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(4,727)</w:t>
            </w:r>
          </w:p>
        </w:tc>
      </w:tr>
      <w:tr>
        <w:trPr>
          <w:trHeight w:val="191"/>
        </w:trPr>
        <w:tc>
          <w:tcPr>
            <w:tcW w:w="5560" w:type="dxa"/>
            <w:vAlign w:val="bottom"/>
            <w:shd w:val="clear" w:color="auto" w:fill="CFF0FC"/>
          </w:tcPr>
          <w:p>
            <w:pPr>
              <w:ind w:left="240"/>
              <w:spacing w:after="0" w:line="191" w:lineRule="exact"/>
              <w:rPr>
                <w:sz w:val="20"/>
                <w:szCs w:val="20"/>
                <w:color w:val="auto"/>
              </w:rPr>
            </w:pPr>
            <w:r>
              <w:rPr>
                <w:rFonts w:ascii="Times New Roman" w:cs="Times New Roman" w:eastAsia="Times New Roman" w:hAnsi="Times New Roman"/>
                <w:sz w:val="18"/>
                <w:szCs w:val="18"/>
                <w:color w:val="auto"/>
              </w:rPr>
              <w:t>Loss before income taxes and income from</w:t>
            </w:r>
          </w:p>
        </w:tc>
        <w:tc>
          <w:tcPr>
            <w:tcW w:w="1080" w:type="dxa"/>
            <w:vAlign w:val="bottom"/>
            <w:shd w:val="clear" w:color="auto" w:fill="CFF0FC"/>
          </w:tcPr>
          <w:p>
            <w:pPr>
              <w:spacing w:after="0"/>
              <w:rPr>
                <w:sz w:val="16"/>
                <w:szCs w:val="16"/>
                <w:color w:val="auto"/>
              </w:rPr>
            </w:pPr>
          </w:p>
        </w:tc>
        <w:tc>
          <w:tcPr>
            <w:tcW w:w="200" w:type="dxa"/>
            <w:vAlign w:val="bottom"/>
            <w:tcBorders>
              <w:top w:val="single" w:sz="8" w:color="auto"/>
            </w:tcBorders>
            <w:shd w:val="clear" w:color="auto" w:fill="CFF0FC"/>
          </w:tcPr>
          <w:p>
            <w:pPr>
              <w:spacing w:after="0"/>
              <w:rPr>
                <w:sz w:val="16"/>
                <w:szCs w:val="16"/>
                <w:color w:val="auto"/>
              </w:rPr>
            </w:pPr>
          </w:p>
        </w:tc>
        <w:tc>
          <w:tcPr>
            <w:tcW w:w="1140" w:type="dxa"/>
            <w:vAlign w:val="bottom"/>
            <w:tcBorders>
              <w:top w:val="single" w:sz="8" w:color="auto"/>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80" w:type="dxa"/>
            <w:vAlign w:val="bottom"/>
            <w:tcBorders>
              <w:top w:val="single" w:sz="8" w:color="auto"/>
            </w:tcBorders>
            <w:shd w:val="clear" w:color="auto" w:fill="CFF0FC"/>
          </w:tcPr>
          <w:p>
            <w:pPr>
              <w:spacing w:after="0"/>
              <w:rPr>
                <w:sz w:val="16"/>
                <w:szCs w:val="16"/>
                <w:color w:val="auto"/>
              </w:rPr>
            </w:pPr>
          </w:p>
        </w:tc>
        <w:tc>
          <w:tcPr>
            <w:tcW w:w="1120" w:type="dxa"/>
            <w:vAlign w:val="bottom"/>
            <w:tcBorders>
              <w:top w:val="single" w:sz="8" w:color="auto"/>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80" w:type="dxa"/>
            <w:vAlign w:val="bottom"/>
            <w:tcBorders>
              <w:top w:val="single" w:sz="8" w:color="auto"/>
            </w:tcBorders>
            <w:shd w:val="clear" w:color="auto" w:fill="CFF0FC"/>
          </w:tcPr>
          <w:p>
            <w:pPr>
              <w:spacing w:after="0"/>
              <w:rPr>
                <w:sz w:val="16"/>
                <w:szCs w:val="16"/>
                <w:color w:val="auto"/>
              </w:rPr>
            </w:pPr>
          </w:p>
        </w:tc>
        <w:tc>
          <w:tcPr>
            <w:tcW w:w="1140" w:type="dxa"/>
            <w:vAlign w:val="bottom"/>
            <w:tcBorders>
              <w:top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34"/>
        </w:trPr>
        <w:tc>
          <w:tcPr>
            <w:tcW w:w="55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equity method investees</w:t>
            </w:r>
          </w:p>
        </w:tc>
        <w:tc>
          <w:tcPr>
            <w:tcW w:w="10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(5,026)</w:t>
            </w:r>
          </w:p>
        </w:tc>
        <w:tc>
          <w:tcPr>
            <w:tcW w:w="1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(127,966)</w:t>
            </w:r>
          </w:p>
        </w:tc>
        <w:tc>
          <w:tcPr>
            <w:tcW w:w="1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(1,324,011)</w:t>
            </w:r>
          </w:p>
        </w:tc>
      </w:tr>
      <w:tr>
        <w:trPr>
          <w:trHeight w:val="216"/>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(7,481)</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(27,613)</w:t>
            </w:r>
          </w:p>
        </w:tc>
      </w:tr>
      <w:tr>
        <w:trPr>
          <w:trHeight w:val="216"/>
        </w:trPr>
        <w:tc>
          <w:tcPr>
            <w:tcW w:w="5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from equity method investees</w:t>
            </w:r>
          </w:p>
        </w:tc>
        <w:tc>
          <w:tcPr>
            <w:tcW w:w="10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(20,358)</w:t>
            </w: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(18,669)</w:t>
            </w: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(16,188)</w:t>
            </w:r>
          </w:p>
        </w:tc>
      </w:tr>
      <w:tr>
        <w:trPr>
          <w:trHeight w:val="191"/>
        </w:trPr>
        <w:tc>
          <w:tcPr>
            <w:tcW w:w="5560" w:type="dxa"/>
            <w:vAlign w:val="bottom"/>
            <w:tcBorders>
              <w:top w:val="single" w:sz="8" w:color="CFF0FC"/>
            </w:tcBorders>
          </w:tcPr>
          <w:p>
            <w:pPr>
              <w:ind w:left="240"/>
              <w:spacing w:after="0" w:line="191" w:lineRule="exact"/>
              <w:rPr>
                <w:sz w:val="20"/>
                <w:szCs w:val="20"/>
                <w:color w:val="auto"/>
              </w:rPr>
            </w:pPr>
            <w:r>
              <w:rPr>
                <w:rFonts w:ascii="Times New Roman" w:cs="Times New Roman" w:eastAsia="Times New Roman" w:hAnsi="Times New Roman"/>
                <w:sz w:val="18"/>
                <w:szCs w:val="18"/>
                <w:color w:val="auto"/>
              </w:rPr>
              <w:t>Net income (loss) attributable to Class A and B-1 common</w:t>
            </w:r>
          </w:p>
        </w:tc>
        <w:tc>
          <w:tcPr>
            <w:tcW w:w="1080" w:type="dxa"/>
            <w:vAlign w:val="bottom"/>
            <w:tcBorders>
              <w:top w:val="single" w:sz="8" w:color="CFF0FC"/>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20" w:type="dxa"/>
            <w:vAlign w:val="bottom"/>
            <w:tcBorders>
              <w:top w:val="single" w:sz="8" w:color="CFF0FC"/>
            </w:tcBorders>
          </w:tcPr>
          <w:p>
            <w:pPr>
              <w:spacing w:after="0"/>
              <w:rPr>
                <w:sz w:val="16"/>
                <w:szCs w:val="16"/>
                <w:color w:val="auto"/>
              </w:rPr>
            </w:pPr>
          </w:p>
        </w:tc>
        <w:tc>
          <w:tcPr>
            <w:tcW w:w="160" w:type="dxa"/>
            <w:vAlign w:val="bottom"/>
            <w:tcBorders>
              <w:top w:val="single" w:sz="8" w:color="CFF0FC"/>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20" w:type="dxa"/>
            <w:vAlign w:val="bottom"/>
            <w:tcBorders>
              <w:top w:val="single" w:sz="8" w:color="CFF0FC"/>
            </w:tcBorders>
          </w:tcPr>
          <w:p>
            <w:pPr>
              <w:spacing w:after="0"/>
              <w:rPr>
                <w:sz w:val="16"/>
                <w:szCs w:val="16"/>
                <w:color w:val="auto"/>
              </w:rPr>
            </w:pPr>
          </w:p>
        </w:tc>
        <w:tc>
          <w:tcPr>
            <w:tcW w:w="140" w:type="dxa"/>
            <w:vAlign w:val="bottom"/>
            <w:tcBorders>
              <w:top w:val="single" w:sz="8" w:color="CFF0FC"/>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00" w:type="dxa"/>
            <w:vAlign w:val="bottom"/>
            <w:tcBorders>
              <w:top w:val="single" w:sz="8" w:color="CFF0FC"/>
            </w:tcBorders>
          </w:tcPr>
          <w:p>
            <w:pPr>
              <w:spacing w:after="0"/>
              <w:rPr>
                <w:sz w:val="16"/>
                <w:szCs w:val="16"/>
                <w:color w:val="auto"/>
              </w:rPr>
            </w:pPr>
          </w:p>
        </w:tc>
      </w:tr>
      <w:tr>
        <w:trPr>
          <w:trHeight w:val="234"/>
        </w:trPr>
        <w:tc>
          <w:tcPr>
            <w:tcW w:w="55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stockholders</w:t>
            </w: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9,066</w:t>
            </w:r>
          </w:p>
        </w:tc>
        <w:tc>
          <w:tcPr>
            <w:tcW w:w="120" w:type="dxa"/>
            <w:vAlign w:val="bottom"/>
          </w:tcPr>
          <w:p>
            <w:pPr>
              <w:spacing w:after="0"/>
              <w:rPr>
                <w:sz w:val="20"/>
                <w:szCs w:val="20"/>
                <w:color w:val="auto"/>
              </w:rPr>
            </w:pPr>
          </w:p>
        </w:tc>
        <w:tc>
          <w:tcPr>
            <w:tcW w:w="34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(101,816)</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(1,280,210)</w:t>
            </w:r>
          </w:p>
        </w:tc>
      </w:tr>
      <w:tr>
        <w:trPr>
          <w:trHeight w:val="216"/>
        </w:trPr>
        <w:tc>
          <w:tcPr>
            <w:tcW w:w="55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 per Class A and B-1 common share:</w:t>
            </w: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5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12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2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(0.37)</w:t>
            </w:r>
          </w:p>
        </w:tc>
        <w:tc>
          <w:tcPr>
            <w:tcW w:w="3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(4.78)</w:t>
            </w:r>
          </w:p>
        </w:tc>
      </w:tr>
      <w:tr>
        <w:trPr>
          <w:trHeight w:val="216"/>
        </w:trPr>
        <w:tc>
          <w:tcPr>
            <w:tcW w:w="55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Diluted</w:t>
            </w: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20" w:type="dxa"/>
            <w:vAlign w:val="bottom"/>
          </w:tcPr>
          <w:p>
            <w:pPr>
              <w:spacing w:after="0"/>
              <w:rPr>
                <w:sz w:val="18"/>
                <w:szCs w:val="18"/>
                <w:color w:val="auto"/>
              </w:rPr>
            </w:pPr>
          </w:p>
        </w:tc>
        <w:tc>
          <w:tcPr>
            <w:tcW w:w="34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(0.37)</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(4.78)</w:t>
            </w:r>
          </w:p>
        </w:tc>
      </w:tr>
      <w:tr>
        <w:trPr>
          <w:trHeight w:val="216"/>
        </w:trPr>
        <w:tc>
          <w:tcPr>
            <w:tcW w:w="55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198"/>
        </w:trPr>
        <w:tc>
          <w:tcPr>
            <w:tcW w:w="55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Weighted average shares used in computing net income (loss)</w:t>
            </w: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5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per Class A and B-1 common share:</w:t>
            </w: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55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10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279,555</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273,410</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267,549</w:t>
            </w:r>
          </w:p>
        </w:tc>
        <w:tc>
          <w:tcPr>
            <w:tcW w:w="100" w:type="dxa"/>
            <w:vAlign w:val="bottom"/>
            <w:shd w:val="clear" w:color="auto" w:fill="CFF0FC"/>
          </w:tcPr>
          <w:p>
            <w:pPr>
              <w:spacing w:after="0"/>
              <w:rPr>
                <w:sz w:val="18"/>
                <w:szCs w:val="18"/>
                <w:color w:val="auto"/>
              </w:rPr>
            </w:pPr>
          </w:p>
        </w:tc>
      </w:tr>
      <w:tr>
        <w:trPr>
          <w:trHeight w:val="234"/>
        </w:trPr>
        <w:tc>
          <w:tcPr>
            <w:tcW w:w="55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Diluted</w:t>
            </w: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286,148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273,410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267,549</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-3902710</wp:posOffset>
            </wp:positionV>
            <wp:extent cx="7683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-3902710</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-3902710</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-3345815</wp:posOffset>
            </wp:positionV>
            <wp:extent cx="7683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-3345815</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-3345815</wp:posOffset>
            </wp:positionV>
            <wp:extent cx="68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-2780030</wp:posOffset>
            </wp:positionV>
            <wp:extent cx="7683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-2780030</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-2780030</wp:posOffset>
            </wp:positionV>
            <wp:extent cx="68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-1528445</wp:posOffset>
            </wp:positionV>
            <wp:extent cx="7683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-1528445</wp:posOffset>
            </wp:positionV>
            <wp:extent cx="68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-1528445</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68" w:name="page69"/>
    <w:bookmarkEnd w:id="68"/>
    <w:p>
      <w:pPr>
        <w:ind w:left="3440"/>
        <w:spacing w:after="0"/>
        <w:rPr>
          <w:sz w:val="20"/>
          <w:szCs w:val="20"/>
          <w:color w:val="auto"/>
        </w:rPr>
      </w:pPr>
      <w:r>
        <w:rPr>
          <w:rFonts w:ascii="Times New Roman" w:cs="Times New Roman" w:eastAsia="Times New Roman" w:hAnsi="Times New Roman"/>
          <w:sz w:val="18"/>
          <w:szCs w:val="18"/>
          <w:b w:val="1"/>
          <w:bCs w:val="1"/>
          <w:color w:val="auto"/>
        </w:rPr>
        <w:t>PETCO HEALTH AND WELLNESS COMPANY, INC.</w:t>
      </w:r>
    </w:p>
    <w:p>
      <w:pPr>
        <w:spacing w:after="0" w:line="117"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 (LOSS)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3"/>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Fiscal years ended</w:t>
            </w:r>
          </w:p>
        </w:tc>
        <w:tc>
          <w:tcPr>
            <w:tcW w:w="1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60" w:type="dxa"/>
            <w:vAlign w:val="bottom"/>
            <w:gridSpan w:val="2"/>
          </w:tcPr>
          <w:p>
            <w:pPr>
              <w:jc w:val="center"/>
              <w:ind w:right="340"/>
              <w:spacing w:after="0" w:line="118" w:lineRule="exact"/>
              <w:rPr>
                <w:sz w:val="20"/>
                <w:szCs w:val="20"/>
                <w:color w:val="auto"/>
              </w:rPr>
            </w:pPr>
            <w:r>
              <w:rPr>
                <w:rFonts w:ascii="Times New Roman" w:cs="Times New Roman" w:eastAsia="Times New Roman" w:hAnsi="Times New Roman"/>
                <w:sz w:val="13"/>
                <w:szCs w:val="13"/>
                <w:b w:val="1"/>
                <w:bCs w:val="1"/>
                <w:color w:val="auto"/>
              </w:rPr>
              <w:t>January 31,</w:t>
            </w: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40" w:type="dxa"/>
            <w:vAlign w:val="bottom"/>
            <w:gridSpan w:val="2"/>
          </w:tcPr>
          <w:p>
            <w:pPr>
              <w:jc w:val="center"/>
              <w:ind w:right="320"/>
              <w:spacing w:after="0" w:line="118" w:lineRule="exact"/>
              <w:rPr>
                <w:sz w:val="20"/>
                <w:szCs w:val="20"/>
                <w:color w:val="auto"/>
              </w:rPr>
            </w:pPr>
            <w:r>
              <w:rPr>
                <w:rFonts w:ascii="Times New Roman" w:cs="Times New Roman" w:eastAsia="Times New Roman" w:hAnsi="Times New Roman"/>
                <w:sz w:val="13"/>
                <w:szCs w:val="13"/>
                <w:b w:val="1"/>
                <w:bCs w:val="1"/>
                <w:color w:val="auto"/>
              </w:rPr>
              <w:t>February 1,</w:t>
            </w: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40" w:type="dxa"/>
            <w:vAlign w:val="bottom"/>
          </w:tcPr>
          <w:p>
            <w:pPr>
              <w:jc w:val="center"/>
              <w:ind w:right="117"/>
              <w:spacing w:after="0" w:line="118" w:lineRule="exact"/>
              <w:rPr>
                <w:sz w:val="20"/>
                <w:szCs w:val="20"/>
                <w:color w:val="auto"/>
              </w:rPr>
            </w:pPr>
            <w:r>
              <w:rPr>
                <w:rFonts w:ascii="Times New Roman" w:cs="Times New Roman" w:eastAsia="Times New Roman" w:hAnsi="Times New Roman"/>
                <w:sz w:val="13"/>
                <w:szCs w:val="13"/>
                <w:b w:val="1"/>
                <w:bCs w:val="1"/>
                <w:color w:val="auto"/>
              </w:rPr>
              <w:t>February 3,</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66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137"/>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jc w:val="center"/>
              <w:ind w:right="137"/>
              <w:spacing w:after="0" w:line="142" w:lineRule="exact"/>
              <w:rPr>
                <w:sz w:val="20"/>
                <w:szCs w:val="20"/>
                <w:color w:val="auto"/>
              </w:rPr>
            </w:pPr>
            <w:r>
              <w:rPr>
                <w:rFonts w:ascii="Times New Roman" w:cs="Times New Roman" w:eastAsia="Times New Roman" w:hAnsi="Times New Roman"/>
                <w:sz w:val="14"/>
                <w:szCs w:val="14"/>
                <w:b w:val="1"/>
                <w:bCs w:val="1"/>
                <w:color w:val="auto"/>
              </w:rPr>
              <w:t>(52 weeks)</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jc w:val="center"/>
              <w:ind w:right="117"/>
              <w:spacing w:after="0" w:line="142" w:lineRule="exact"/>
              <w:rPr>
                <w:sz w:val="20"/>
                <w:szCs w:val="20"/>
                <w:color w:val="auto"/>
              </w:rPr>
            </w:pPr>
            <w:r>
              <w:rPr>
                <w:rFonts w:ascii="Times New Roman" w:cs="Times New Roman" w:eastAsia="Times New Roman" w:hAnsi="Times New Roman"/>
                <w:sz w:val="14"/>
                <w:szCs w:val="14"/>
                <w:b w:val="1"/>
                <w:bCs w:val="1"/>
                <w:color w:val="auto"/>
              </w:rPr>
              <w:t>(52 weeks)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tcPr>
          <w:p>
            <w:pPr>
              <w:jc w:val="center"/>
              <w:ind w:right="117"/>
              <w:spacing w:after="0" w:line="142" w:lineRule="exact"/>
              <w:rPr>
                <w:sz w:val="20"/>
                <w:szCs w:val="20"/>
                <w:color w:val="auto"/>
              </w:rPr>
            </w:pPr>
            <w:r>
              <w:rPr>
                <w:rFonts w:ascii="Times New Roman" w:cs="Times New Roman" w:eastAsia="Times New Roman" w:hAnsi="Times New Roman"/>
                <w:sz w:val="14"/>
                <w:szCs w:val="14"/>
                <w:b w:val="1"/>
                <w:bCs w:val="1"/>
                <w:color w:val="auto"/>
              </w:rPr>
              <w:t>(53 weeks)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664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Net income (loss) attributable to Class A and B-1 common</w:t>
            </w:r>
          </w:p>
        </w:tc>
        <w:tc>
          <w:tcPr>
            <w:tcW w:w="20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6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stockholders</w:t>
            </w: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9,066</w:t>
            </w:r>
          </w:p>
        </w:tc>
        <w:tc>
          <w:tcPr>
            <w:tcW w:w="120" w:type="dxa"/>
            <w:vAlign w:val="bottom"/>
            <w:shd w:val="clear" w:color="auto" w:fill="CFF0FC"/>
          </w:tcPr>
          <w:p>
            <w:pPr>
              <w:spacing w:after="0"/>
              <w:rPr>
                <w:sz w:val="20"/>
                <w:szCs w:val="20"/>
                <w:color w:val="auto"/>
              </w:rPr>
            </w:pPr>
          </w:p>
        </w:tc>
        <w:tc>
          <w:tcPr>
            <w:tcW w:w="340" w:type="dxa"/>
            <w:vAlign w:val="bottom"/>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(101,816)</w:t>
            </w:r>
          </w:p>
        </w:tc>
        <w:tc>
          <w:tcPr>
            <w:tcW w:w="3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(1,280,210)</w:t>
            </w:r>
          </w:p>
        </w:tc>
        <w:tc>
          <w:tcPr>
            <w:tcW w:w="0" w:type="dxa"/>
            <w:vAlign w:val="bottom"/>
          </w:tcPr>
          <w:p>
            <w:pPr>
              <w:spacing w:after="0"/>
              <w:rPr>
                <w:sz w:val="1"/>
                <w:szCs w:val="1"/>
                <w:color w:val="auto"/>
              </w:rPr>
            </w:pPr>
          </w:p>
        </w:tc>
      </w:tr>
      <w:tr>
        <w:trPr>
          <w:trHeight w:val="216"/>
        </w:trPr>
        <w:tc>
          <w:tcPr>
            <w:tcW w:w="6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10,699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(21,836)</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Unrealized (loss) gain on derivatives</w:t>
            </w:r>
          </w:p>
        </w:tc>
        <w:tc>
          <w:tcPr>
            <w:tcW w:w="20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(587)</w:t>
            </w: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4,303</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Gains on derivatives reclassified to income</w:t>
            </w:r>
          </w:p>
        </w:tc>
        <w:tc>
          <w:tcPr>
            <w:tcW w:w="20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(418)</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(2,371)</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(367)</w:t>
            </w: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other comprehensive income (loss), net of tax</w:t>
            </w: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9,694</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(19,904)</w:t>
            </w: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5,919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6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Comprehensive income (loss) attributable to Class A and B-1</w:t>
            </w:r>
          </w:p>
        </w:tc>
        <w:tc>
          <w:tcPr>
            <w:tcW w:w="200" w:type="dxa"/>
            <w:vAlign w:val="bottom"/>
            <w:vMerge w:val="restart"/>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18,760</w:t>
            </w:r>
          </w:p>
        </w:tc>
        <w:tc>
          <w:tcPr>
            <w:tcW w:w="120" w:type="dxa"/>
            <w:vAlign w:val="bottom"/>
          </w:tcPr>
          <w:p>
            <w:pPr>
              <w:spacing w:after="0"/>
              <w:rPr>
                <w:sz w:val="16"/>
                <w:szCs w:val="16"/>
                <w:color w:val="auto"/>
              </w:rPr>
            </w:pPr>
          </w:p>
        </w:tc>
        <w:tc>
          <w:tcPr>
            <w:tcW w:w="340" w:type="dxa"/>
            <w:vAlign w:val="bottom"/>
            <w:gridSpan w:val="2"/>
            <w:vMerge w:val="restart"/>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(121,720)</w:t>
            </w:r>
          </w:p>
        </w:tc>
        <w:tc>
          <w:tcPr>
            <w:tcW w:w="3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(1,274,291)</w:t>
            </w:r>
          </w:p>
        </w:tc>
        <w:tc>
          <w:tcPr>
            <w:tcW w:w="0" w:type="dxa"/>
            <w:vAlign w:val="bottom"/>
          </w:tcPr>
          <w:p>
            <w:pPr>
              <w:spacing w:after="0"/>
              <w:rPr>
                <w:sz w:val="1"/>
                <w:szCs w:val="1"/>
                <w:color w:val="auto"/>
              </w:rPr>
            </w:pPr>
          </w:p>
        </w:tc>
      </w:tr>
      <w:tr>
        <w:trPr>
          <w:trHeight w:val="194"/>
        </w:trPr>
        <w:tc>
          <w:tcPr>
            <w:tcW w:w="6640" w:type="dxa"/>
            <w:vAlign w:val="bottom"/>
          </w:tcPr>
          <w:p>
            <w:pPr>
              <w:ind w:left="140"/>
              <w:spacing w:after="0" w:line="194" w:lineRule="exact"/>
              <w:rPr>
                <w:sz w:val="20"/>
                <w:szCs w:val="20"/>
                <w:color w:val="auto"/>
              </w:rPr>
            </w:pPr>
            <w:r>
              <w:rPr>
                <w:rFonts w:ascii="Times New Roman" w:cs="Times New Roman" w:eastAsia="Times New Roman" w:hAnsi="Times New Roman"/>
                <w:sz w:val="18"/>
                <w:szCs w:val="18"/>
                <w:color w:val="auto"/>
              </w:rPr>
              <w:t>common stockholders</w:t>
            </w:r>
          </w:p>
        </w:tc>
        <w:tc>
          <w:tcPr>
            <w:tcW w:w="200" w:type="dxa"/>
            <w:vAlign w:val="bottom"/>
            <w:vMerge w:val="continue"/>
          </w:tcPr>
          <w:p>
            <w:pPr>
              <w:spacing w:after="0"/>
              <w:rPr>
                <w:sz w:val="16"/>
                <w:szCs w:val="16"/>
                <w:color w:val="auto"/>
              </w:rPr>
            </w:pPr>
          </w:p>
        </w:tc>
        <w:tc>
          <w:tcPr>
            <w:tcW w:w="11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gridSpan w:val="2"/>
            <w:vMerge w:val="continue"/>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320" w:type="dxa"/>
            <w:vAlign w:val="bottom"/>
            <w:gridSpan w:val="2"/>
            <w:vMerge w:val="continue"/>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-281940</wp:posOffset>
            </wp:positionV>
            <wp:extent cx="7683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-281940</wp:posOffset>
            </wp:positionV>
            <wp:extent cx="685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-281940</wp:posOffset>
            </wp:positionV>
            <wp:extent cx="685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69" w:name="page70"/>
    <w:bookmarkEnd w:id="69"/>
    <w:p>
      <w:pPr>
        <w:ind w:left="3440"/>
        <w:spacing w:after="0"/>
        <w:rPr>
          <w:sz w:val="20"/>
          <w:szCs w:val="20"/>
          <w:color w:val="auto"/>
        </w:rPr>
      </w:pPr>
      <w:r>
        <w:rPr>
          <w:rFonts w:ascii="Times New Roman" w:cs="Times New Roman" w:eastAsia="Times New Roman" w:hAnsi="Times New Roman"/>
          <w:sz w:val="18"/>
          <w:szCs w:val="18"/>
          <w:b w:val="1"/>
          <w:bCs w:val="1"/>
          <w:color w:val="auto"/>
        </w:rPr>
        <w:t>PETCO HEALTH AND WELLNESS COMPANY, INC.</w:t>
      </w:r>
    </w:p>
    <w:p>
      <w:pPr>
        <w:spacing w:after="0" w:line="117"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8"/>
          <w:szCs w:val="18"/>
          <w:b w:val="1"/>
          <w:bCs w:val="1"/>
          <w:color w:val="auto"/>
        </w:rPr>
        <w:t>CONSOLIDATED STATEMENTS OF EQUITY</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3380" w:type="dxa"/>
            <w:vAlign w:val="bottom"/>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820" w:type="dxa"/>
            <w:vAlign w:val="bottom"/>
            <w:tcBorders>
              <w:bottom w:val="single" w:sz="8" w:color="auto"/>
            </w:tcBorders>
            <w:gridSpan w:val="3"/>
          </w:tcPr>
          <w:p>
            <w:pPr>
              <w:jc w:val="right"/>
              <w:ind w:right="526"/>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1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9"/>
              </w:rPr>
              <w:t>Accumulated</w:t>
            </w: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33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4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3380" w:type="dxa"/>
            <w:vAlign w:val="bottom"/>
          </w:tcPr>
          <w:p>
            <w:pPr>
              <w:spacing w:after="0"/>
              <w:rPr>
                <w:sz w:val="10"/>
                <w:szCs w:val="10"/>
                <w:color w:val="auto"/>
              </w:rPr>
            </w:pPr>
          </w:p>
        </w:tc>
        <w:tc>
          <w:tcPr>
            <w:tcW w:w="8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5"/>
              </w:rPr>
              <w:t>Class</w:t>
            </w:r>
          </w:p>
        </w:tc>
        <w:tc>
          <w:tcPr>
            <w:tcW w:w="120" w:type="dxa"/>
            <w:vAlign w:val="bottom"/>
          </w:tcPr>
          <w:p>
            <w:pPr>
              <w:spacing w:after="0"/>
              <w:rPr>
                <w:sz w:val="10"/>
                <w:szCs w:val="10"/>
                <w:color w:val="auto"/>
              </w:rPr>
            </w:pPr>
          </w:p>
        </w:tc>
        <w:tc>
          <w:tcPr>
            <w:tcW w:w="8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5"/>
              </w:rPr>
              <w:t>Class</w:t>
            </w:r>
          </w:p>
        </w:tc>
        <w:tc>
          <w:tcPr>
            <w:tcW w:w="120" w:type="dxa"/>
            <w:vAlign w:val="bottom"/>
          </w:tcPr>
          <w:p>
            <w:pPr>
              <w:spacing w:after="0"/>
              <w:rPr>
                <w:sz w:val="10"/>
                <w:szCs w:val="10"/>
                <w:color w:val="auto"/>
              </w:rPr>
            </w:pPr>
          </w:p>
        </w:tc>
        <w:tc>
          <w:tcPr>
            <w:tcW w:w="860" w:type="dxa"/>
            <w:vAlign w:val="bottom"/>
          </w:tcPr>
          <w:p>
            <w:pPr>
              <w:jc w:val="center"/>
              <w:ind w:right="6"/>
              <w:spacing w:after="0" w:line="122" w:lineRule="exact"/>
              <w:rPr>
                <w:sz w:val="20"/>
                <w:szCs w:val="20"/>
                <w:color w:val="auto"/>
              </w:rPr>
            </w:pPr>
            <w:r>
              <w:rPr>
                <w:rFonts w:ascii="Times New Roman" w:cs="Times New Roman" w:eastAsia="Times New Roman" w:hAnsi="Times New Roman"/>
                <w:sz w:val="11"/>
                <w:szCs w:val="11"/>
                <w:b w:val="1"/>
                <w:bCs w:val="1"/>
                <w:color w:val="auto"/>
                <w:w w:val="95"/>
              </w:rPr>
              <w:t>Class</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40" w:type="dxa"/>
            <w:vAlign w:val="bottom"/>
            <w:gridSpan w:val="2"/>
          </w:tcPr>
          <w:p>
            <w:pPr>
              <w:jc w:val="center"/>
              <w:ind w:right="200"/>
              <w:spacing w:after="0" w:line="122" w:lineRule="exact"/>
              <w:rPr>
                <w:sz w:val="20"/>
                <w:szCs w:val="20"/>
                <w:color w:val="auto"/>
              </w:rPr>
            </w:pPr>
            <w:r>
              <w:rPr>
                <w:rFonts w:ascii="Times New Roman" w:cs="Times New Roman" w:eastAsia="Times New Roman" w:hAnsi="Times New Roman"/>
                <w:sz w:val="11"/>
                <w:szCs w:val="11"/>
                <w:b w:val="1"/>
                <w:bCs w:val="1"/>
                <w:color w:val="auto"/>
                <w:w w:val="98"/>
              </w:rPr>
              <w:t>Retained earnings</w:t>
            </w:r>
          </w:p>
        </w:tc>
        <w:tc>
          <w:tcPr>
            <w:tcW w:w="100" w:type="dxa"/>
            <w:vAlign w:val="bottom"/>
          </w:tcPr>
          <w:p>
            <w:pPr>
              <w:spacing w:after="0"/>
              <w:rPr>
                <w:sz w:val="10"/>
                <w:szCs w:val="10"/>
                <w:color w:val="auto"/>
              </w:rPr>
            </w:pPr>
          </w:p>
        </w:tc>
        <w:tc>
          <w:tcPr>
            <w:tcW w:w="104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1"/>
                <w:szCs w:val="11"/>
                <w:b w:val="1"/>
                <w:bCs w:val="1"/>
                <w:color w:val="auto"/>
              </w:rPr>
              <w:t>other</w:t>
            </w:r>
          </w:p>
        </w:tc>
        <w:tc>
          <w:tcPr>
            <w:tcW w:w="60" w:type="dxa"/>
            <w:vAlign w:val="bottom"/>
          </w:tcPr>
          <w:p>
            <w:pPr>
              <w:spacing w:after="0"/>
              <w:rPr>
                <w:sz w:val="10"/>
                <w:szCs w:val="10"/>
                <w:color w:val="auto"/>
              </w:rPr>
            </w:pPr>
          </w:p>
        </w:tc>
        <w:tc>
          <w:tcPr>
            <w:tcW w:w="880" w:type="dxa"/>
            <w:vAlign w:val="bottom"/>
            <w:gridSpan w:val="2"/>
          </w:tcPr>
          <w:p>
            <w:pPr>
              <w:jc w:val="center"/>
              <w:ind w:right="180"/>
              <w:spacing w:after="0" w:line="122" w:lineRule="exact"/>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22"/>
        </w:trPr>
        <w:tc>
          <w:tcPr>
            <w:tcW w:w="3380" w:type="dxa"/>
            <w:vAlign w:val="bottom"/>
          </w:tcPr>
          <w:p>
            <w:pPr>
              <w:spacing w:after="0"/>
              <w:rPr>
                <w:sz w:val="10"/>
                <w:szCs w:val="10"/>
                <w:color w:val="auto"/>
              </w:rPr>
            </w:pPr>
          </w:p>
        </w:tc>
        <w:tc>
          <w:tcPr>
            <w:tcW w:w="8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rPr>
              <w:t>A</w:t>
            </w:r>
          </w:p>
        </w:tc>
        <w:tc>
          <w:tcPr>
            <w:tcW w:w="120" w:type="dxa"/>
            <w:vAlign w:val="bottom"/>
          </w:tcPr>
          <w:p>
            <w:pPr>
              <w:spacing w:after="0"/>
              <w:rPr>
                <w:sz w:val="10"/>
                <w:szCs w:val="10"/>
                <w:color w:val="auto"/>
              </w:rPr>
            </w:pPr>
          </w:p>
        </w:tc>
        <w:tc>
          <w:tcPr>
            <w:tcW w:w="8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6"/>
              </w:rPr>
              <w:t>B-1</w:t>
            </w:r>
          </w:p>
        </w:tc>
        <w:tc>
          <w:tcPr>
            <w:tcW w:w="120" w:type="dxa"/>
            <w:vAlign w:val="bottom"/>
          </w:tcPr>
          <w:p>
            <w:pPr>
              <w:spacing w:after="0"/>
              <w:rPr>
                <w:sz w:val="10"/>
                <w:szCs w:val="10"/>
                <w:color w:val="auto"/>
              </w:rPr>
            </w:pPr>
          </w:p>
        </w:tc>
        <w:tc>
          <w:tcPr>
            <w:tcW w:w="860" w:type="dxa"/>
            <w:vAlign w:val="bottom"/>
          </w:tcPr>
          <w:p>
            <w:pPr>
              <w:jc w:val="center"/>
              <w:ind w:right="6"/>
              <w:spacing w:after="0" w:line="122" w:lineRule="exact"/>
              <w:rPr>
                <w:sz w:val="20"/>
                <w:szCs w:val="20"/>
                <w:color w:val="auto"/>
              </w:rPr>
            </w:pPr>
            <w:r>
              <w:rPr>
                <w:rFonts w:ascii="Times New Roman" w:cs="Times New Roman" w:eastAsia="Times New Roman" w:hAnsi="Times New Roman"/>
                <w:sz w:val="11"/>
                <w:szCs w:val="11"/>
                <w:b w:val="1"/>
                <w:bCs w:val="1"/>
                <w:color w:val="auto"/>
                <w:w w:val="96"/>
              </w:rPr>
              <w:t>B-2</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3"/>
          </w:tcPr>
          <w:p>
            <w:pPr>
              <w:ind w:left="20"/>
              <w:spacing w:after="0" w:line="122" w:lineRule="exact"/>
              <w:rPr>
                <w:sz w:val="20"/>
                <w:szCs w:val="20"/>
                <w:color w:val="auto"/>
              </w:rPr>
            </w:pPr>
            <w:r>
              <w:rPr>
                <w:rFonts w:ascii="Times New Roman" w:cs="Times New Roman" w:eastAsia="Times New Roman" w:hAnsi="Times New Roman"/>
                <w:sz w:val="11"/>
                <w:szCs w:val="11"/>
                <w:b w:val="1"/>
                <w:bCs w:val="1"/>
                <w:color w:val="auto"/>
              </w:rPr>
              <w:t>Additional paid-</w:t>
            </w:r>
          </w:p>
        </w:tc>
        <w:tc>
          <w:tcPr>
            <w:tcW w:w="60" w:type="dxa"/>
            <w:vAlign w:val="bottom"/>
          </w:tcPr>
          <w:p>
            <w:pPr>
              <w:spacing w:after="0"/>
              <w:rPr>
                <w:sz w:val="10"/>
                <w:szCs w:val="10"/>
                <w:color w:val="auto"/>
              </w:rPr>
            </w:pPr>
          </w:p>
        </w:tc>
        <w:tc>
          <w:tcPr>
            <w:tcW w:w="1040" w:type="dxa"/>
            <w:vAlign w:val="bottom"/>
            <w:gridSpan w:val="2"/>
          </w:tcPr>
          <w:p>
            <w:pPr>
              <w:jc w:val="center"/>
              <w:ind w:right="180"/>
              <w:spacing w:after="0" w:line="122" w:lineRule="exact"/>
              <w:rPr>
                <w:sz w:val="20"/>
                <w:szCs w:val="20"/>
                <w:color w:val="auto"/>
              </w:rPr>
            </w:pPr>
            <w:r>
              <w:rPr>
                <w:rFonts w:ascii="Times New Roman" w:cs="Times New Roman" w:eastAsia="Times New Roman" w:hAnsi="Times New Roman"/>
                <w:sz w:val="11"/>
                <w:szCs w:val="11"/>
                <w:b w:val="1"/>
                <w:bCs w:val="1"/>
                <w:color w:val="auto"/>
                <w:w w:val="97"/>
              </w:rPr>
              <w:t>(accumulated</w:t>
            </w:r>
          </w:p>
        </w:tc>
        <w:tc>
          <w:tcPr>
            <w:tcW w:w="100" w:type="dxa"/>
            <w:vAlign w:val="bottom"/>
          </w:tcPr>
          <w:p>
            <w:pPr>
              <w:spacing w:after="0"/>
              <w:rPr>
                <w:sz w:val="10"/>
                <w:szCs w:val="10"/>
                <w:color w:val="auto"/>
              </w:rPr>
            </w:pPr>
          </w:p>
        </w:tc>
        <w:tc>
          <w:tcPr>
            <w:tcW w:w="104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1"/>
                <w:szCs w:val="11"/>
                <w:b w:val="1"/>
                <w:bCs w:val="1"/>
                <w:color w:val="auto"/>
                <w:w w:val="99"/>
              </w:rPr>
              <w:t>comprehensive</w:t>
            </w:r>
          </w:p>
        </w:tc>
        <w:tc>
          <w:tcPr>
            <w:tcW w:w="60" w:type="dxa"/>
            <w:vAlign w:val="bottom"/>
          </w:tcPr>
          <w:p>
            <w:pPr>
              <w:spacing w:after="0"/>
              <w:rPr>
                <w:sz w:val="10"/>
                <w:szCs w:val="10"/>
                <w:color w:val="auto"/>
              </w:rPr>
            </w:pPr>
          </w:p>
        </w:tc>
        <w:tc>
          <w:tcPr>
            <w:tcW w:w="88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1"/>
                <w:szCs w:val="11"/>
                <w:b w:val="1"/>
                <w:bCs w:val="1"/>
                <w:color w:val="auto"/>
                <w:w w:val="98"/>
              </w:rPr>
              <w:t>stockholders’</w:t>
            </w:r>
          </w:p>
        </w:tc>
        <w:tc>
          <w:tcPr>
            <w:tcW w:w="0" w:type="dxa"/>
            <w:vAlign w:val="bottom"/>
          </w:tcPr>
          <w:p>
            <w:pPr>
              <w:spacing w:after="0"/>
              <w:rPr>
                <w:sz w:val="1"/>
                <w:szCs w:val="1"/>
                <w:color w:val="auto"/>
              </w:rPr>
            </w:pPr>
          </w:p>
        </w:tc>
      </w:tr>
      <w:tr>
        <w:trPr>
          <w:trHeight w:val="137"/>
        </w:trPr>
        <w:tc>
          <w:tcPr>
            <w:tcW w:w="3380" w:type="dxa"/>
            <w:vAlign w:val="bottom"/>
          </w:tcPr>
          <w:p>
            <w:pPr>
              <w:spacing w:after="0"/>
              <w:rPr>
                <w:sz w:val="11"/>
                <w:szCs w:val="11"/>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20" w:type="dxa"/>
            <w:vAlign w:val="bottom"/>
          </w:tcPr>
          <w:p>
            <w:pPr>
              <w:spacing w:after="0"/>
              <w:rPr>
                <w:sz w:val="11"/>
                <w:szCs w:val="11"/>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(shares)</w:t>
            </w:r>
          </w:p>
        </w:tc>
        <w:tc>
          <w:tcPr>
            <w:tcW w:w="120" w:type="dxa"/>
            <w:vAlign w:val="bottom"/>
          </w:tcPr>
          <w:p>
            <w:pPr>
              <w:spacing w:after="0"/>
              <w:rPr>
                <w:sz w:val="11"/>
                <w:szCs w:val="11"/>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(shares)</w:t>
            </w:r>
          </w:p>
        </w:tc>
        <w:tc>
          <w:tcPr>
            <w:tcW w:w="1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166"/>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126"/>
              <w:spacing w:after="0"/>
              <w:rPr>
                <w:sz w:val="20"/>
                <w:szCs w:val="20"/>
                <w:color w:val="auto"/>
              </w:rPr>
            </w:pPr>
            <w:r>
              <w:rPr>
                <w:rFonts w:ascii="Times New Roman" w:cs="Times New Roman" w:eastAsia="Times New Roman" w:hAnsi="Times New Roman"/>
                <w:sz w:val="11"/>
                <w:szCs w:val="11"/>
                <w:b w:val="1"/>
                <w:bCs w:val="1"/>
                <w:color w:val="auto"/>
              </w:rPr>
              <w:t>in capital</w:t>
            </w:r>
          </w:p>
        </w:tc>
        <w:tc>
          <w:tcPr>
            <w:tcW w:w="12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center"/>
              <w:ind w:right="46"/>
              <w:spacing w:after="0"/>
              <w:rPr>
                <w:sz w:val="20"/>
                <w:szCs w:val="20"/>
                <w:color w:val="auto"/>
              </w:rPr>
            </w:pPr>
            <w:r>
              <w:rPr>
                <w:rFonts w:ascii="Times New Roman" w:cs="Times New Roman" w:eastAsia="Times New Roman" w:hAnsi="Times New Roman"/>
                <w:sz w:val="11"/>
                <w:szCs w:val="11"/>
                <w:b w:val="1"/>
                <w:bCs w:val="1"/>
                <w:color w:val="auto"/>
                <w:w w:val="96"/>
              </w:rPr>
              <w:t>deficit)</w:t>
            </w:r>
          </w:p>
        </w:tc>
        <w:tc>
          <w:tcPr>
            <w:tcW w:w="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center"/>
              <w:ind w:right="66"/>
              <w:spacing w:after="0"/>
              <w:rPr>
                <w:sz w:val="20"/>
                <w:szCs w:val="20"/>
                <w:color w:val="auto"/>
              </w:rPr>
            </w:pPr>
            <w:r>
              <w:rPr>
                <w:rFonts w:ascii="Times New Roman" w:cs="Times New Roman" w:eastAsia="Times New Roman" w:hAnsi="Times New Roman"/>
                <w:sz w:val="11"/>
                <w:szCs w:val="11"/>
                <w:b w:val="1"/>
                <w:bCs w:val="1"/>
                <w:color w:val="auto"/>
                <w:w w:val="98"/>
              </w:rPr>
              <w:t>(loss) income</w:t>
            </w:r>
          </w:p>
        </w:tc>
        <w:tc>
          <w:tcPr>
            <w:tcW w:w="12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center"/>
              <w:ind w:right="26"/>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3380" w:type="dxa"/>
            <w:vAlign w:val="bottom"/>
            <w:shd w:val="clear" w:color="auto" w:fill="CFF0FC"/>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Balance at January 28, 2023</w:t>
            </w:r>
          </w:p>
        </w:tc>
        <w:tc>
          <w:tcPr>
            <w:tcW w:w="82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228,338</w:t>
            </w:r>
          </w:p>
        </w:tc>
        <w:tc>
          <w:tcPr>
            <w:tcW w:w="960" w:type="dxa"/>
            <w:vAlign w:val="bottom"/>
            <w:gridSpan w:val="2"/>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37,791</w:t>
            </w:r>
          </w:p>
        </w:tc>
        <w:tc>
          <w:tcPr>
            <w:tcW w:w="980" w:type="dxa"/>
            <w:vAlign w:val="bottom"/>
            <w:gridSpan w:val="2"/>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37,791</w:t>
            </w:r>
          </w:p>
        </w:tc>
        <w:tc>
          <w:tcPr>
            <w:tcW w:w="240" w:type="dxa"/>
            <w:vAlign w:val="bottom"/>
            <w:gridSpan w:val="2"/>
            <w:shd w:val="clear" w:color="auto" w:fill="CFF0FC"/>
          </w:tcPr>
          <w:p>
            <w:pPr>
              <w:jc w:val="right"/>
              <w:ind w:right="26"/>
              <w:spacing w:after="0" w:line="115"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266</w:t>
            </w:r>
          </w:p>
        </w:tc>
        <w:tc>
          <w:tcPr>
            <w:tcW w:w="220" w:type="dxa"/>
            <w:vAlign w:val="bottom"/>
            <w:gridSpan w:val="2"/>
            <w:shd w:val="clear" w:color="auto" w:fill="CFF0FC"/>
          </w:tcPr>
          <w:p>
            <w:pPr>
              <w:ind w:left="100"/>
              <w:spacing w:after="0" w:line="115" w:lineRule="exact"/>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2,152,342</w:t>
            </w: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94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232,967</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gridSpan w:val="2"/>
            <w:shd w:val="clear" w:color="auto" w:fill="CFF0FC"/>
          </w:tcPr>
          <w:p>
            <w:pPr>
              <w:jc w:val="right"/>
              <w:ind w:right="80"/>
              <w:spacing w:after="0" w:line="115" w:lineRule="exact"/>
              <w:rPr>
                <w:sz w:val="20"/>
                <w:szCs w:val="20"/>
                <w:color w:val="auto"/>
              </w:rPr>
            </w:pPr>
            <w:r>
              <w:rPr>
                <w:rFonts w:ascii="Times New Roman" w:cs="Times New Roman" w:eastAsia="Times New Roman" w:hAnsi="Times New Roman"/>
                <w:sz w:val="11"/>
                <w:szCs w:val="11"/>
                <w:color w:val="auto"/>
              </w:rPr>
              <w:t>(4,098)</w:t>
            </w:r>
          </w:p>
        </w:tc>
        <w:tc>
          <w:tcPr>
            <w:tcW w:w="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78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2,381,477</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88"/>
        </w:trPr>
        <w:tc>
          <w:tcPr>
            <w:tcW w:w="3380" w:type="dxa"/>
            <w:vAlign w:val="bottom"/>
            <w:tcBorders>
              <w:top w:val="single" w:sz="8" w:color="CFF0FC"/>
            </w:tcBorders>
          </w:tcPr>
          <w:p>
            <w:pPr>
              <w:spacing w:after="0" w:line="89" w:lineRule="exact"/>
              <w:rPr>
                <w:sz w:val="20"/>
                <w:szCs w:val="20"/>
                <w:color w:val="auto"/>
              </w:rPr>
            </w:pPr>
            <w:r>
              <w:rPr>
                <w:rFonts w:ascii="Times New Roman" w:cs="Times New Roman" w:eastAsia="Times New Roman" w:hAnsi="Times New Roman"/>
                <w:sz w:val="10"/>
                <w:szCs w:val="10"/>
                <w:color w:val="auto"/>
              </w:rPr>
              <w:t>Equity-based compensation expense</w:t>
            </w:r>
          </w:p>
        </w:tc>
        <w:tc>
          <w:tcPr>
            <w:tcW w:w="820" w:type="dxa"/>
            <w:vAlign w:val="bottom"/>
            <w:tcBorders>
              <w:top w:val="single" w:sz="8" w:color="auto"/>
            </w:tcBorders>
          </w:tcPr>
          <w:p>
            <w:pPr>
              <w:spacing w:after="0"/>
              <w:rPr>
                <w:sz w:val="7"/>
                <w:szCs w:val="7"/>
                <w:color w:val="auto"/>
              </w:rPr>
            </w:pPr>
          </w:p>
        </w:tc>
        <w:tc>
          <w:tcPr>
            <w:tcW w:w="120" w:type="dxa"/>
            <w:vAlign w:val="bottom"/>
            <w:tcBorders>
              <w:top w:val="single" w:sz="8" w:color="CFF0FC"/>
            </w:tcBorders>
          </w:tcPr>
          <w:p>
            <w:pPr>
              <w:spacing w:after="0"/>
              <w:rPr>
                <w:sz w:val="7"/>
                <w:szCs w:val="7"/>
                <w:color w:val="auto"/>
              </w:rPr>
            </w:pPr>
          </w:p>
        </w:tc>
        <w:tc>
          <w:tcPr>
            <w:tcW w:w="840" w:type="dxa"/>
            <w:vAlign w:val="bottom"/>
            <w:tcBorders>
              <w:top w:val="single" w:sz="8" w:color="auto"/>
            </w:tcBorders>
          </w:tcPr>
          <w:p>
            <w:pPr>
              <w:spacing w:after="0"/>
              <w:rPr>
                <w:sz w:val="7"/>
                <w:szCs w:val="7"/>
                <w:color w:val="auto"/>
              </w:rPr>
            </w:pPr>
          </w:p>
        </w:tc>
        <w:tc>
          <w:tcPr>
            <w:tcW w:w="120" w:type="dxa"/>
            <w:vAlign w:val="bottom"/>
            <w:tcBorders>
              <w:top w:val="single" w:sz="8" w:color="CFF0FC"/>
            </w:tcBorders>
          </w:tcPr>
          <w:p>
            <w:pPr>
              <w:spacing w:after="0"/>
              <w:rPr>
                <w:sz w:val="7"/>
                <w:szCs w:val="7"/>
                <w:color w:val="auto"/>
              </w:rPr>
            </w:pPr>
          </w:p>
        </w:tc>
        <w:tc>
          <w:tcPr>
            <w:tcW w:w="860" w:type="dxa"/>
            <w:vAlign w:val="bottom"/>
            <w:tcBorders>
              <w:top w:val="single" w:sz="8" w:color="auto"/>
            </w:tcBorders>
          </w:tcPr>
          <w:p>
            <w:pPr>
              <w:spacing w:after="0"/>
              <w:rPr>
                <w:sz w:val="7"/>
                <w:szCs w:val="7"/>
                <w:color w:val="auto"/>
              </w:rPr>
            </w:pPr>
          </w:p>
        </w:tc>
        <w:tc>
          <w:tcPr>
            <w:tcW w:w="100" w:type="dxa"/>
            <w:vAlign w:val="bottom"/>
            <w:tcBorders>
              <w:top w:val="single" w:sz="8" w:color="CFF0FC"/>
            </w:tcBorders>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660" w:type="dxa"/>
            <w:vAlign w:val="bottom"/>
            <w:tcBorders>
              <w:top w:val="single" w:sz="8" w:color="auto"/>
            </w:tcBorders>
          </w:tcPr>
          <w:p>
            <w:pPr>
              <w:spacing w:after="0"/>
              <w:rPr>
                <w:sz w:val="7"/>
                <w:szCs w:val="7"/>
                <w:color w:val="auto"/>
              </w:rPr>
            </w:pPr>
          </w:p>
        </w:tc>
        <w:tc>
          <w:tcPr>
            <w:tcW w:w="100" w:type="dxa"/>
            <w:vAlign w:val="bottom"/>
            <w:tcBorders>
              <w:top w:val="single" w:sz="8" w:color="CFF0FC"/>
            </w:tcBorders>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680" w:type="dxa"/>
            <w:vAlign w:val="bottom"/>
            <w:tcBorders>
              <w:top w:val="single" w:sz="8" w:color="auto"/>
            </w:tcBorders>
          </w:tcPr>
          <w:p>
            <w:pPr>
              <w:spacing w:after="0"/>
              <w:rPr>
                <w:sz w:val="7"/>
                <w:szCs w:val="7"/>
                <w:color w:val="auto"/>
              </w:rPr>
            </w:pPr>
          </w:p>
        </w:tc>
        <w:tc>
          <w:tcPr>
            <w:tcW w:w="120" w:type="dxa"/>
            <w:vAlign w:val="bottom"/>
            <w:tcBorders>
              <w:top w:val="single" w:sz="8" w:color="CFF0FC"/>
            </w:tcBorders>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940" w:type="dxa"/>
            <w:vAlign w:val="bottom"/>
            <w:tcBorders>
              <w:top w:val="single" w:sz="8" w:color="auto"/>
            </w:tcBorders>
          </w:tcPr>
          <w:p>
            <w:pPr>
              <w:spacing w:after="0"/>
              <w:rPr>
                <w:sz w:val="7"/>
                <w:szCs w:val="7"/>
                <w:color w:val="auto"/>
              </w:rPr>
            </w:pPr>
          </w:p>
        </w:tc>
        <w:tc>
          <w:tcPr>
            <w:tcW w:w="100" w:type="dxa"/>
            <w:vAlign w:val="bottom"/>
            <w:tcBorders>
              <w:top w:val="single" w:sz="8" w:color="CFF0FC"/>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920" w:type="dxa"/>
            <w:vAlign w:val="bottom"/>
            <w:tcBorders>
              <w:top w:val="single" w:sz="8" w:color="auto"/>
            </w:tcBorders>
          </w:tcPr>
          <w:p>
            <w:pPr>
              <w:spacing w:after="0"/>
              <w:rPr>
                <w:sz w:val="7"/>
                <w:szCs w:val="7"/>
                <w:color w:val="auto"/>
              </w:rPr>
            </w:pPr>
          </w:p>
        </w:tc>
        <w:tc>
          <w:tcPr>
            <w:tcW w:w="120" w:type="dxa"/>
            <w:vAlign w:val="bottom"/>
            <w:tcBorders>
              <w:top w:val="single" w:sz="8" w:color="CFF0FC"/>
            </w:tcBorders>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100" w:type="dxa"/>
            <w:vAlign w:val="bottom"/>
            <w:tcBorders>
              <w:top w:val="single" w:sz="8" w:color="CFF0FC"/>
            </w:tcBorders>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338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(Note 11)</w:t>
            </w: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82,680</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82,680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3380" w:type="dxa"/>
            <w:vAlign w:val="bottom"/>
            <w:shd w:val="clear" w:color="auto" w:fill="CFF0FC"/>
          </w:tcPr>
          <w:p>
            <w:pPr>
              <w:spacing w:after="0" w:line="122" w:lineRule="exact"/>
              <w:rPr>
                <w:sz w:val="20"/>
                <w:szCs w:val="20"/>
                <w:color w:val="auto"/>
              </w:rPr>
            </w:pPr>
            <w:r>
              <w:rPr>
                <w:rFonts w:ascii="Times New Roman" w:cs="Times New Roman" w:eastAsia="Times New Roman" w:hAnsi="Times New Roman"/>
                <w:sz w:val="11"/>
                <w:szCs w:val="11"/>
                <w:color w:val="auto"/>
              </w:rPr>
              <w:t>Net loss</w:t>
            </w:r>
          </w:p>
        </w:tc>
        <w:tc>
          <w:tcPr>
            <w:tcW w:w="82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8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8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0" w:type="dxa"/>
            <w:vAlign w:val="bottom"/>
            <w:gridSpan w:val="2"/>
            <w:shd w:val="clear" w:color="auto" w:fill="CFF0F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spacing w:after="0"/>
              <w:rPr>
                <w:sz w:val="10"/>
                <w:szCs w:val="10"/>
                <w:color w:val="auto"/>
              </w:rPr>
            </w:pPr>
          </w:p>
        </w:tc>
        <w:tc>
          <w:tcPr>
            <w:tcW w:w="1040" w:type="dxa"/>
            <w:vAlign w:val="bottom"/>
            <w:gridSpan w:val="2"/>
            <w:shd w:val="clear" w:color="auto" w:fill="CFF0FC"/>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(1,280,210)</w:t>
            </w:r>
          </w:p>
        </w:tc>
        <w:tc>
          <w:tcPr>
            <w:tcW w:w="100" w:type="dxa"/>
            <w:vAlign w:val="bottom"/>
            <w:shd w:val="clear" w:color="auto" w:fill="CFF0FC"/>
          </w:tcPr>
          <w:p>
            <w:pPr>
              <w:spacing w:after="0"/>
              <w:rPr>
                <w:sz w:val="10"/>
                <w:szCs w:val="10"/>
                <w:color w:val="auto"/>
              </w:rPr>
            </w:pPr>
          </w:p>
        </w:tc>
        <w:tc>
          <w:tcPr>
            <w:tcW w:w="1040" w:type="dxa"/>
            <w:vAlign w:val="bottom"/>
            <w:gridSpan w:val="2"/>
            <w:shd w:val="clear" w:color="auto" w:fill="CFF0F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spacing w:after="0"/>
              <w:rPr>
                <w:sz w:val="10"/>
                <w:szCs w:val="10"/>
                <w:color w:val="auto"/>
              </w:rPr>
            </w:pPr>
          </w:p>
        </w:tc>
        <w:tc>
          <w:tcPr>
            <w:tcW w:w="880" w:type="dxa"/>
            <w:vAlign w:val="bottom"/>
            <w:gridSpan w:val="2"/>
            <w:shd w:val="clear" w:color="auto" w:fill="CFF0FC"/>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(1,280,210)</w:t>
            </w:r>
          </w:p>
        </w:tc>
        <w:tc>
          <w:tcPr>
            <w:tcW w:w="0" w:type="dxa"/>
            <w:vAlign w:val="bottom"/>
          </w:tcPr>
          <w:p>
            <w:pPr>
              <w:spacing w:after="0"/>
              <w:rPr>
                <w:sz w:val="1"/>
                <w:szCs w:val="1"/>
                <w:color w:val="auto"/>
              </w:rPr>
            </w:pPr>
          </w:p>
        </w:tc>
      </w:tr>
      <w:tr>
        <w:trPr>
          <w:trHeight w:val="108"/>
        </w:trPr>
        <w:tc>
          <w:tcPr>
            <w:tcW w:w="3380" w:type="dxa"/>
            <w:vAlign w:val="bottom"/>
          </w:tcPr>
          <w:p>
            <w:pPr>
              <w:spacing w:after="0" w:line="108" w:lineRule="exact"/>
              <w:rPr>
                <w:sz w:val="20"/>
                <w:szCs w:val="20"/>
                <w:color w:val="auto"/>
              </w:rPr>
            </w:pPr>
            <w:r>
              <w:rPr>
                <w:rFonts w:ascii="Times New Roman" w:cs="Times New Roman" w:eastAsia="Times New Roman" w:hAnsi="Times New Roman"/>
                <w:sz w:val="11"/>
                <w:szCs w:val="11"/>
                <w:color w:val="auto"/>
              </w:rPr>
              <w:t>Foreign currency translation</w:t>
            </w: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38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adjustment, net of tax of $1,932</w:t>
            </w: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1"/>
                <w:szCs w:val="11"/>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5,534</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5,534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3380" w:type="dxa"/>
            <w:vAlign w:val="bottom"/>
            <w:shd w:val="clear" w:color="auto" w:fill="CFF0FC"/>
          </w:tcPr>
          <w:p>
            <w:pPr>
              <w:spacing w:after="0" w:line="108" w:lineRule="exact"/>
              <w:rPr>
                <w:sz w:val="20"/>
                <w:szCs w:val="20"/>
                <w:color w:val="auto"/>
              </w:rPr>
            </w:pPr>
            <w:r>
              <w:rPr>
                <w:rFonts w:ascii="Times New Roman" w:cs="Times New Roman" w:eastAsia="Times New Roman" w:hAnsi="Times New Roman"/>
                <w:sz w:val="11"/>
                <w:szCs w:val="11"/>
                <w:color w:val="auto"/>
              </w:rPr>
              <w:t>Unrealized gain on derivatives,</w:t>
            </w:r>
          </w:p>
        </w:tc>
        <w:tc>
          <w:tcPr>
            <w:tcW w:w="8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6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9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9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7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3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1"/>
                <w:szCs w:val="11"/>
                <w:color w:val="auto"/>
              </w:rPr>
              <w:t>net of tax of $246 (Note 8)</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spacing w:after="0"/>
              <w:rPr>
                <w:sz w:val="11"/>
                <w:szCs w:val="11"/>
                <w:color w:val="auto"/>
              </w:rPr>
            </w:pP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752</w:t>
            </w: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752</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3380" w:type="dxa"/>
            <w:vAlign w:val="bottom"/>
          </w:tcPr>
          <w:p>
            <w:pPr>
              <w:spacing w:after="0" w:line="108" w:lineRule="exact"/>
              <w:rPr>
                <w:sz w:val="20"/>
                <w:szCs w:val="20"/>
                <w:color w:val="auto"/>
              </w:rPr>
            </w:pPr>
            <w:r>
              <w:rPr>
                <w:rFonts w:ascii="Times New Roman" w:cs="Times New Roman" w:eastAsia="Times New Roman" w:hAnsi="Times New Roman"/>
                <w:sz w:val="11"/>
                <w:szCs w:val="11"/>
                <w:color w:val="auto"/>
              </w:rPr>
              <w:t>Gains on derivatives reclassified to</w:t>
            </w: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38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income, net of tax of $(120) (Note 8)</w:t>
            </w: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1"/>
                <w:szCs w:val="11"/>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(367)</w:t>
            </w:r>
          </w:p>
        </w:tc>
        <w:tc>
          <w:tcPr>
            <w:tcW w:w="60" w:type="dxa"/>
            <w:vAlign w:val="bottom"/>
          </w:tcPr>
          <w:p>
            <w:pPr>
              <w:spacing w:after="0"/>
              <w:rPr>
                <w:sz w:val="11"/>
                <w:szCs w:val="11"/>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(367)</w:t>
            </w:r>
          </w:p>
        </w:tc>
        <w:tc>
          <w:tcPr>
            <w:tcW w:w="0" w:type="dxa"/>
            <w:vAlign w:val="bottom"/>
          </w:tcPr>
          <w:p>
            <w:pPr>
              <w:spacing w:after="0"/>
              <w:rPr>
                <w:sz w:val="1"/>
                <w:szCs w:val="1"/>
                <w:color w:val="auto"/>
              </w:rPr>
            </w:pPr>
          </w:p>
        </w:tc>
      </w:tr>
      <w:tr>
        <w:trPr>
          <w:trHeight w:val="108"/>
        </w:trPr>
        <w:tc>
          <w:tcPr>
            <w:tcW w:w="3380" w:type="dxa"/>
            <w:vAlign w:val="bottom"/>
            <w:shd w:val="clear" w:color="auto" w:fill="CFF0FC"/>
          </w:tcPr>
          <w:p>
            <w:pPr>
              <w:spacing w:after="0" w:line="108" w:lineRule="exact"/>
              <w:rPr>
                <w:sz w:val="20"/>
                <w:szCs w:val="20"/>
                <w:color w:val="auto"/>
              </w:rPr>
            </w:pPr>
            <w:r>
              <w:rPr>
                <w:rFonts w:ascii="Times New Roman" w:cs="Times New Roman" w:eastAsia="Times New Roman" w:hAnsi="Times New Roman"/>
                <w:sz w:val="11"/>
                <w:szCs w:val="11"/>
                <w:color w:val="auto"/>
              </w:rPr>
              <w:t>Issuance of common stock,</w:t>
            </w:r>
          </w:p>
        </w:tc>
        <w:tc>
          <w:tcPr>
            <w:tcW w:w="8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2,818</w:t>
            </w:r>
          </w:p>
        </w:tc>
        <w:tc>
          <w:tcPr>
            <w:tcW w:w="120" w:type="dxa"/>
            <w:vAlign w:val="bottom"/>
            <w:shd w:val="clear" w:color="auto" w:fill="CFF0FC"/>
          </w:tcPr>
          <w:p>
            <w:pPr>
              <w:spacing w:after="0"/>
              <w:rPr>
                <w:sz w:val="9"/>
                <w:szCs w:val="9"/>
                <w:color w:val="auto"/>
              </w:rPr>
            </w:pPr>
          </w:p>
        </w:tc>
        <w:tc>
          <w:tcPr>
            <w:tcW w:w="8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9"/>
                <w:szCs w:val="9"/>
                <w:color w:val="auto"/>
              </w:rPr>
            </w:pPr>
          </w:p>
        </w:tc>
        <w:tc>
          <w:tcPr>
            <w:tcW w:w="8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00" w:type="dxa"/>
            <w:vAlign w:val="bottom"/>
            <w:gridSpan w:val="2"/>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(5,440)</w:t>
            </w:r>
          </w:p>
        </w:tc>
        <w:tc>
          <w:tcPr>
            <w:tcW w:w="60" w:type="dxa"/>
            <w:vAlign w:val="bottom"/>
            <w:shd w:val="clear" w:color="auto" w:fill="CFF0FC"/>
          </w:tcPr>
          <w:p>
            <w:pPr>
              <w:spacing w:after="0"/>
              <w:rPr>
                <w:sz w:val="9"/>
                <w:szCs w:val="9"/>
                <w:color w:val="auto"/>
              </w:rPr>
            </w:pPr>
          </w:p>
        </w:tc>
        <w:tc>
          <w:tcPr>
            <w:tcW w:w="104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9"/>
                <w:szCs w:val="9"/>
                <w:color w:val="auto"/>
              </w:rPr>
            </w:pPr>
          </w:p>
        </w:tc>
        <w:tc>
          <w:tcPr>
            <w:tcW w:w="104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spacing w:after="0"/>
              <w:rPr>
                <w:sz w:val="9"/>
                <w:szCs w:val="9"/>
                <w:color w:val="auto"/>
              </w:rPr>
            </w:pPr>
          </w:p>
        </w:tc>
        <w:tc>
          <w:tcPr>
            <w:tcW w:w="880" w:type="dxa"/>
            <w:vAlign w:val="bottom"/>
            <w:gridSpan w:val="2"/>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(5,437)</w:t>
            </w:r>
          </w:p>
        </w:tc>
        <w:tc>
          <w:tcPr>
            <w:tcW w:w="0" w:type="dxa"/>
            <w:vAlign w:val="bottom"/>
          </w:tcPr>
          <w:p>
            <w:pPr>
              <w:spacing w:after="0"/>
              <w:rPr>
                <w:sz w:val="1"/>
                <w:szCs w:val="1"/>
                <w:color w:val="auto"/>
              </w:rPr>
            </w:pPr>
          </w:p>
        </w:tc>
      </w:tr>
      <w:tr>
        <w:trPr>
          <w:trHeight w:val="122"/>
        </w:trPr>
        <w:tc>
          <w:tcPr>
            <w:tcW w:w="3380" w:type="dxa"/>
            <w:vAlign w:val="bottom"/>
            <w:shd w:val="clear" w:color="auto" w:fill="CFF0FC"/>
          </w:tcPr>
          <w:p>
            <w:pPr>
              <w:ind w:left="80"/>
              <w:spacing w:after="0" w:line="122" w:lineRule="exact"/>
              <w:rPr>
                <w:sz w:val="20"/>
                <w:szCs w:val="20"/>
                <w:color w:val="auto"/>
              </w:rPr>
            </w:pPr>
            <w:r>
              <w:rPr>
                <w:rFonts w:ascii="Times New Roman" w:cs="Times New Roman" w:eastAsia="Times New Roman" w:hAnsi="Times New Roman"/>
                <w:sz w:val="11"/>
                <w:szCs w:val="11"/>
                <w:color w:val="auto"/>
              </w:rPr>
              <w:t>net of tax withholdings</w:t>
            </w:r>
          </w:p>
        </w:tc>
        <w:tc>
          <w:tcPr>
            <w:tcW w:w="820" w:type="dxa"/>
            <w:vAlign w:val="bottom"/>
            <w:vMerge w:val="continue"/>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40" w:type="dxa"/>
            <w:vAlign w:val="bottom"/>
            <w:vMerge w:val="continue"/>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60" w:type="dxa"/>
            <w:vAlign w:val="bottom"/>
            <w:vMerge w:val="continue"/>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60" w:type="dxa"/>
            <w:vAlign w:val="bottom"/>
            <w:vMerge w:val="continue"/>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0" w:type="dxa"/>
            <w:vAlign w:val="bottom"/>
            <w:gridSpan w:val="2"/>
            <w:vMerge w:val="continue"/>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040" w:type="dxa"/>
            <w:vAlign w:val="bottom"/>
            <w:gridSpan w:val="2"/>
            <w:vMerge w:val="continue"/>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40" w:type="dxa"/>
            <w:vAlign w:val="bottom"/>
            <w:gridSpan w:val="2"/>
            <w:vMerge w:val="continue"/>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880" w:type="dxa"/>
            <w:vAlign w:val="bottom"/>
            <w:gridSpan w:val="2"/>
            <w:vMerge w:val="continue"/>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3380" w:type="dxa"/>
            <w:vAlign w:val="bottom"/>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3380" w:type="dxa"/>
            <w:vAlign w:val="bottom"/>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Balance at February 3, 2024</w:t>
            </w:r>
          </w:p>
        </w:tc>
        <w:tc>
          <w:tcPr>
            <w:tcW w:w="82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231,156</w:t>
            </w:r>
          </w:p>
        </w:tc>
        <w:tc>
          <w:tcPr>
            <w:tcW w:w="120" w:type="dxa"/>
            <w:vAlign w:val="bottom"/>
          </w:tcPr>
          <w:p>
            <w:pPr>
              <w:spacing w:after="0"/>
              <w:rPr>
                <w:sz w:val="10"/>
                <w:szCs w:val="10"/>
                <w:color w:val="auto"/>
              </w:rPr>
            </w:pPr>
          </w:p>
        </w:tc>
        <w:tc>
          <w:tcPr>
            <w:tcW w:w="84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37,791</w:t>
            </w:r>
          </w:p>
        </w:tc>
        <w:tc>
          <w:tcPr>
            <w:tcW w:w="120" w:type="dxa"/>
            <w:vAlign w:val="bottom"/>
          </w:tcPr>
          <w:p>
            <w:pPr>
              <w:spacing w:after="0"/>
              <w:rPr>
                <w:sz w:val="10"/>
                <w:szCs w:val="10"/>
                <w:color w:val="auto"/>
              </w:rPr>
            </w:pPr>
          </w:p>
        </w:tc>
        <w:tc>
          <w:tcPr>
            <w:tcW w:w="86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37,791</w:t>
            </w:r>
          </w:p>
        </w:tc>
        <w:tc>
          <w:tcPr>
            <w:tcW w:w="100" w:type="dxa"/>
            <w:vAlign w:val="bottom"/>
          </w:tcPr>
          <w:p>
            <w:pPr>
              <w:spacing w:after="0"/>
              <w:rPr>
                <w:sz w:val="10"/>
                <w:szCs w:val="10"/>
                <w:color w:val="auto"/>
              </w:rPr>
            </w:pPr>
          </w:p>
        </w:tc>
        <w:tc>
          <w:tcPr>
            <w:tcW w:w="140" w:type="dxa"/>
            <w:vAlign w:val="bottom"/>
          </w:tcPr>
          <w:p>
            <w:pPr>
              <w:jc w:val="right"/>
              <w:ind w:right="2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269</w:t>
            </w:r>
          </w:p>
        </w:tc>
        <w:tc>
          <w:tcPr>
            <w:tcW w:w="100" w:type="dxa"/>
            <w:vAlign w:val="bottom"/>
          </w:tcPr>
          <w:p>
            <w:pPr>
              <w:spacing w:after="0"/>
              <w:rPr>
                <w:sz w:val="10"/>
                <w:szCs w:val="10"/>
                <w:color w:val="auto"/>
              </w:rPr>
            </w:pPr>
          </w:p>
        </w:tc>
        <w:tc>
          <w:tcPr>
            <w:tcW w:w="120" w:type="dxa"/>
            <w:vAlign w:val="bottom"/>
          </w:tcPr>
          <w:p>
            <w:pPr>
              <w:spacing w:after="0" w:line="115" w:lineRule="exact"/>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2,229,582</w:t>
            </w:r>
          </w:p>
        </w:tc>
        <w:tc>
          <w:tcPr>
            <w:tcW w:w="120" w:type="dxa"/>
            <w:vAlign w:val="bottom"/>
          </w:tcPr>
          <w:p>
            <w:pPr>
              <w:spacing w:after="0"/>
              <w:rPr>
                <w:sz w:val="10"/>
                <w:szCs w:val="10"/>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1040" w:type="dxa"/>
            <w:vAlign w:val="bottom"/>
            <w:gridSpan w:val="2"/>
          </w:tcPr>
          <w:p>
            <w:pPr>
              <w:jc w:val="right"/>
              <w:ind w:right="80"/>
              <w:spacing w:after="0" w:line="115" w:lineRule="exact"/>
              <w:rPr>
                <w:sz w:val="20"/>
                <w:szCs w:val="20"/>
                <w:color w:val="auto"/>
              </w:rPr>
            </w:pPr>
            <w:r>
              <w:rPr>
                <w:rFonts w:ascii="Times New Roman" w:cs="Times New Roman" w:eastAsia="Times New Roman" w:hAnsi="Times New Roman"/>
                <w:sz w:val="11"/>
                <w:szCs w:val="11"/>
                <w:color w:val="auto"/>
              </w:rPr>
              <w:t>(1,047,243)</w:t>
            </w:r>
          </w:p>
        </w:tc>
        <w:tc>
          <w:tcPr>
            <w:tcW w:w="10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1,821</w:t>
            </w:r>
          </w:p>
        </w:tc>
        <w:tc>
          <w:tcPr>
            <w:tcW w:w="120" w:type="dxa"/>
            <w:vAlign w:val="bottom"/>
          </w:tcPr>
          <w:p>
            <w:pPr>
              <w:spacing w:after="0"/>
              <w:rPr>
                <w:sz w:val="10"/>
                <w:szCs w:val="10"/>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78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1,184,429</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3380" w:type="dxa"/>
            <w:vAlign w:val="bottom"/>
            <w:shd w:val="clear" w:color="auto" w:fill="CFF0FC"/>
          </w:tcPr>
          <w:p>
            <w:pPr>
              <w:spacing w:after="0" w:line="89" w:lineRule="exact"/>
              <w:rPr>
                <w:sz w:val="20"/>
                <w:szCs w:val="20"/>
                <w:color w:val="auto"/>
              </w:rPr>
            </w:pPr>
            <w:r>
              <w:rPr>
                <w:rFonts w:ascii="Times New Roman" w:cs="Times New Roman" w:eastAsia="Times New Roman" w:hAnsi="Times New Roman"/>
                <w:sz w:val="10"/>
                <w:szCs w:val="10"/>
                <w:color w:val="auto"/>
              </w:rPr>
              <w:t>Equity-based compensation expense</w:t>
            </w:r>
          </w:p>
        </w:tc>
        <w:tc>
          <w:tcPr>
            <w:tcW w:w="820" w:type="dxa"/>
            <w:vAlign w:val="bottom"/>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840" w:type="dxa"/>
            <w:vAlign w:val="bottom"/>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860" w:type="dxa"/>
            <w:vAlign w:val="bottom"/>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140" w:type="dxa"/>
            <w:vAlign w:val="bottom"/>
            <w:shd w:val="clear" w:color="auto" w:fill="CFF0FC"/>
          </w:tcPr>
          <w:p>
            <w:pPr>
              <w:spacing w:after="0"/>
              <w:rPr>
                <w:sz w:val="7"/>
                <w:szCs w:val="7"/>
                <w:color w:val="auto"/>
              </w:rPr>
            </w:pPr>
          </w:p>
        </w:tc>
        <w:tc>
          <w:tcPr>
            <w:tcW w:w="660" w:type="dxa"/>
            <w:vAlign w:val="bottom"/>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680" w:type="dxa"/>
            <w:vAlign w:val="bottom"/>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60" w:type="dxa"/>
            <w:vAlign w:val="bottom"/>
            <w:shd w:val="clear" w:color="auto" w:fill="CFF0FC"/>
          </w:tcPr>
          <w:p>
            <w:pPr>
              <w:spacing w:after="0"/>
              <w:rPr>
                <w:sz w:val="7"/>
                <w:szCs w:val="7"/>
                <w:color w:val="auto"/>
              </w:rPr>
            </w:pPr>
          </w:p>
        </w:tc>
        <w:tc>
          <w:tcPr>
            <w:tcW w:w="940" w:type="dxa"/>
            <w:vAlign w:val="bottom"/>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920" w:type="dxa"/>
            <w:vAlign w:val="bottom"/>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60" w:type="dxa"/>
            <w:vAlign w:val="bottom"/>
            <w:shd w:val="clear" w:color="auto" w:fill="CFF0FC"/>
          </w:tcPr>
          <w:p>
            <w:pPr>
              <w:spacing w:after="0"/>
              <w:rPr>
                <w:sz w:val="7"/>
                <w:szCs w:val="7"/>
                <w:color w:val="auto"/>
              </w:rPr>
            </w:pPr>
          </w:p>
        </w:tc>
        <w:tc>
          <w:tcPr>
            <w:tcW w:w="780" w:type="dxa"/>
            <w:vAlign w:val="bottom"/>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33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1"/>
                <w:szCs w:val="11"/>
                <w:color w:val="auto"/>
              </w:rPr>
              <w:t>(Note 11)</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50,188</w:t>
            </w: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spacing w:after="0"/>
              <w:rPr>
                <w:sz w:val="11"/>
                <w:szCs w:val="1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50,188</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33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Net loss</w:t>
            </w:r>
          </w:p>
        </w:tc>
        <w:tc>
          <w:tcPr>
            <w:tcW w:w="8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8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8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0"/>
                <w:szCs w:val="10"/>
                <w:color w:val="auto"/>
              </w:rPr>
            </w:pPr>
          </w:p>
        </w:tc>
        <w:tc>
          <w:tcPr>
            <w:tcW w:w="1040" w:type="dxa"/>
            <w:vAlign w:val="bottom"/>
            <w:gridSpan w:val="2"/>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(101,816)</w:t>
            </w:r>
          </w:p>
        </w:tc>
        <w:tc>
          <w:tcPr>
            <w:tcW w:w="100" w:type="dxa"/>
            <w:vAlign w:val="bottom"/>
          </w:tcPr>
          <w:p>
            <w:pPr>
              <w:spacing w:after="0"/>
              <w:rPr>
                <w:sz w:val="10"/>
                <w:szCs w:val="10"/>
                <w:color w:val="auto"/>
              </w:rPr>
            </w:pPr>
          </w:p>
        </w:tc>
        <w:tc>
          <w:tcPr>
            <w:tcW w:w="104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0"/>
                <w:szCs w:val="10"/>
                <w:color w:val="auto"/>
              </w:rPr>
            </w:pPr>
          </w:p>
        </w:tc>
        <w:tc>
          <w:tcPr>
            <w:tcW w:w="880" w:type="dxa"/>
            <w:vAlign w:val="bottom"/>
            <w:gridSpan w:val="2"/>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(101,816)</w:t>
            </w:r>
          </w:p>
        </w:tc>
        <w:tc>
          <w:tcPr>
            <w:tcW w:w="0" w:type="dxa"/>
            <w:vAlign w:val="bottom"/>
          </w:tcPr>
          <w:p>
            <w:pPr>
              <w:spacing w:after="0"/>
              <w:rPr>
                <w:sz w:val="1"/>
                <w:szCs w:val="1"/>
                <w:color w:val="auto"/>
              </w:rPr>
            </w:pPr>
          </w:p>
        </w:tc>
      </w:tr>
      <w:tr>
        <w:trPr>
          <w:trHeight w:val="108"/>
        </w:trPr>
        <w:tc>
          <w:tcPr>
            <w:tcW w:w="3380" w:type="dxa"/>
            <w:vAlign w:val="bottom"/>
            <w:shd w:val="clear" w:color="auto" w:fill="CFF0FC"/>
          </w:tcPr>
          <w:p>
            <w:pPr>
              <w:spacing w:after="0" w:line="108" w:lineRule="exact"/>
              <w:rPr>
                <w:sz w:val="20"/>
                <w:szCs w:val="20"/>
                <w:color w:val="auto"/>
              </w:rPr>
            </w:pPr>
            <w:r>
              <w:rPr>
                <w:rFonts w:ascii="Times New Roman" w:cs="Times New Roman" w:eastAsia="Times New Roman" w:hAnsi="Times New Roman"/>
                <w:sz w:val="11"/>
                <w:szCs w:val="11"/>
                <w:color w:val="auto"/>
              </w:rPr>
              <w:t>Foreign currency translation</w:t>
            </w:r>
          </w:p>
        </w:tc>
        <w:tc>
          <w:tcPr>
            <w:tcW w:w="8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6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9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9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7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3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1"/>
                <w:szCs w:val="11"/>
                <w:color w:val="auto"/>
              </w:rPr>
              <w:t>adjustment, net of tax of $(7,605)</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spacing w:after="0"/>
              <w:rPr>
                <w:sz w:val="11"/>
                <w:szCs w:val="11"/>
                <w:color w:val="auto"/>
              </w:rPr>
            </w:pP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10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(21,836)</w:t>
            </w:r>
          </w:p>
        </w:tc>
        <w:tc>
          <w:tcPr>
            <w:tcW w:w="60" w:type="dxa"/>
            <w:vAlign w:val="bottom"/>
            <w:shd w:val="clear" w:color="auto" w:fill="CFF0FC"/>
          </w:tcPr>
          <w:p>
            <w:pPr>
              <w:spacing w:after="0"/>
              <w:rPr>
                <w:sz w:val="11"/>
                <w:szCs w:val="11"/>
                <w:color w:val="auto"/>
              </w:rPr>
            </w:pPr>
          </w:p>
        </w:tc>
        <w:tc>
          <w:tcPr>
            <w:tcW w:w="8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(21,836)</w:t>
            </w:r>
          </w:p>
        </w:tc>
        <w:tc>
          <w:tcPr>
            <w:tcW w:w="0" w:type="dxa"/>
            <w:vAlign w:val="bottom"/>
          </w:tcPr>
          <w:p>
            <w:pPr>
              <w:spacing w:after="0"/>
              <w:rPr>
                <w:sz w:val="1"/>
                <w:szCs w:val="1"/>
                <w:color w:val="auto"/>
              </w:rPr>
            </w:pPr>
          </w:p>
        </w:tc>
      </w:tr>
      <w:tr>
        <w:trPr>
          <w:trHeight w:val="108"/>
        </w:trPr>
        <w:tc>
          <w:tcPr>
            <w:tcW w:w="3380" w:type="dxa"/>
            <w:vAlign w:val="bottom"/>
          </w:tcPr>
          <w:p>
            <w:pPr>
              <w:spacing w:after="0" w:line="108" w:lineRule="exact"/>
              <w:rPr>
                <w:sz w:val="20"/>
                <w:szCs w:val="20"/>
                <w:color w:val="auto"/>
              </w:rPr>
            </w:pPr>
            <w:r>
              <w:rPr>
                <w:rFonts w:ascii="Times New Roman" w:cs="Times New Roman" w:eastAsia="Times New Roman" w:hAnsi="Times New Roman"/>
                <w:sz w:val="11"/>
                <w:szCs w:val="11"/>
                <w:color w:val="auto"/>
              </w:rPr>
              <w:t>Unrealized gain on derivatives,</w:t>
            </w: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38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net of tax of $1,418 (Note 8)</w:t>
            </w: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1"/>
                <w:szCs w:val="11"/>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4,303</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4,303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3380" w:type="dxa"/>
            <w:vAlign w:val="bottom"/>
            <w:shd w:val="clear" w:color="auto" w:fill="CFF0FC"/>
          </w:tcPr>
          <w:p>
            <w:pPr>
              <w:spacing w:after="0" w:line="108" w:lineRule="exact"/>
              <w:rPr>
                <w:sz w:val="20"/>
                <w:szCs w:val="20"/>
                <w:color w:val="auto"/>
              </w:rPr>
            </w:pPr>
            <w:r>
              <w:rPr>
                <w:rFonts w:ascii="Times New Roman" w:cs="Times New Roman" w:eastAsia="Times New Roman" w:hAnsi="Times New Roman"/>
                <w:sz w:val="11"/>
                <w:szCs w:val="11"/>
                <w:color w:val="auto"/>
              </w:rPr>
              <w:t>Gains on derivatives reclassified to</w:t>
            </w:r>
          </w:p>
        </w:tc>
        <w:tc>
          <w:tcPr>
            <w:tcW w:w="8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6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9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9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7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3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1"/>
                <w:szCs w:val="11"/>
                <w:color w:val="auto"/>
              </w:rPr>
              <w:t>income, net of tax of $(776) (Note 8)</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spacing w:after="0"/>
              <w:rPr>
                <w:sz w:val="11"/>
                <w:szCs w:val="11"/>
                <w:color w:val="auto"/>
              </w:rPr>
            </w:pP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10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(2,371)</w:t>
            </w:r>
          </w:p>
        </w:tc>
        <w:tc>
          <w:tcPr>
            <w:tcW w:w="60" w:type="dxa"/>
            <w:vAlign w:val="bottom"/>
            <w:shd w:val="clear" w:color="auto" w:fill="CFF0FC"/>
          </w:tcPr>
          <w:p>
            <w:pPr>
              <w:spacing w:after="0"/>
              <w:rPr>
                <w:sz w:val="11"/>
                <w:szCs w:val="11"/>
                <w:color w:val="auto"/>
              </w:rPr>
            </w:pPr>
          </w:p>
        </w:tc>
        <w:tc>
          <w:tcPr>
            <w:tcW w:w="8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(2,371)</w:t>
            </w:r>
          </w:p>
        </w:tc>
        <w:tc>
          <w:tcPr>
            <w:tcW w:w="0" w:type="dxa"/>
            <w:vAlign w:val="bottom"/>
          </w:tcPr>
          <w:p>
            <w:pPr>
              <w:spacing w:after="0"/>
              <w:rPr>
                <w:sz w:val="1"/>
                <w:szCs w:val="1"/>
                <w:color w:val="auto"/>
              </w:rPr>
            </w:pPr>
          </w:p>
        </w:tc>
      </w:tr>
      <w:tr>
        <w:trPr>
          <w:trHeight w:val="108"/>
        </w:trPr>
        <w:tc>
          <w:tcPr>
            <w:tcW w:w="3380" w:type="dxa"/>
            <w:vAlign w:val="bottom"/>
          </w:tcPr>
          <w:p>
            <w:pPr>
              <w:spacing w:after="0" w:line="108" w:lineRule="exact"/>
              <w:rPr>
                <w:sz w:val="20"/>
                <w:szCs w:val="20"/>
                <w:color w:val="auto"/>
              </w:rPr>
            </w:pPr>
            <w:r>
              <w:rPr>
                <w:rFonts w:ascii="Times New Roman" w:cs="Times New Roman" w:eastAsia="Times New Roman" w:hAnsi="Times New Roman"/>
                <w:sz w:val="11"/>
                <w:szCs w:val="11"/>
                <w:color w:val="auto"/>
              </w:rPr>
              <w:t>Issuance of common stock,</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7,910</w:t>
            </w:r>
          </w:p>
        </w:tc>
        <w:tc>
          <w:tcPr>
            <w:tcW w:w="120" w:type="dxa"/>
            <w:vAlign w:val="bottom"/>
          </w:tcPr>
          <w:p>
            <w:pPr>
              <w:spacing w:after="0"/>
              <w:rPr>
                <w:sz w:val="9"/>
                <w:szCs w:val="9"/>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9"/>
                <w:szCs w:val="9"/>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8</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725</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vMerge w:val="restart"/>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vMerge w:val="restart"/>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733</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3380" w:type="dxa"/>
            <w:vAlign w:val="bottom"/>
          </w:tcPr>
          <w:p>
            <w:pPr>
              <w:ind w:left="80"/>
              <w:spacing w:after="0" w:line="122" w:lineRule="exact"/>
              <w:rPr>
                <w:sz w:val="20"/>
                <w:szCs w:val="20"/>
                <w:color w:val="auto"/>
              </w:rPr>
            </w:pPr>
            <w:r>
              <w:rPr>
                <w:rFonts w:ascii="Times New Roman" w:cs="Times New Roman" w:eastAsia="Times New Roman" w:hAnsi="Times New Roman"/>
                <w:sz w:val="11"/>
                <w:szCs w:val="11"/>
                <w:color w:val="auto"/>
              </w:rPr>
              <w:t>net of tax withholdings</w:t>
            </w:r>
          </w:p>
        </w:tc>
        <w:tc>
          <w:tcPr>
            <w:tcW w:w="820" w:type="dxa"/>
            <w:vAlign w:val="bottom"/>
            <w:tcBorders>
              <w:bottom w:val="single" w:sz="8" w:color="auto"/>
            </w:tcBorders>
            <w:vMerge w:val="continue"/>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Borders>
              <w:bottom w:val="single" w:sz="8" w:color="auto"/>
            </w:tcBorders>
            <w:vMerge w:val="continue"/>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Borders>
              <w:bottom w:val="single" w:sz="8" w:color="auto"/>
            </w:tcBorders>
            <w:vMerge w:val="continue"/>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vMerge w:val="continue"/>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vMerge w:val="continue"/>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vMerge w:val="continue"/>
          </w:tcPr>
          <w:p>
            <w:pPr>
              <w:spacing w:after="0"/>
              <w:rPr>
                <w:sz w:val="10"/>
                <w:szCs w:val="10"/>
                <w:color w:val="auto"/>
              </w:rPr>
            </w:pPr>
          </w:p>
        </w:tc>
        <w:tc>
          <w:tcPr>
            <w:tcW w:w="120" w:type="dxa"/>
            <w:vAlign w:val="bottom"/>
            <w:vMerge w:val="continue"/>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3380" w:type="dxa"/>
            <w:vAlign w:val="bottom"/>
            <w:shd w:val="clear" w:color="auto" w:fill="CFF0FC"/>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Balance at February 1, 2025</w:t>
            </w:r>
          </w:p>
        </w:tc>
        <w:tc>
          <w:tcPr>
            <w:tcW w:w="82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239,066</w:t>
            </w:r>
          </w:p>
        </w:tc>
        <w:tc>
          <w:tcPr>
            <w:tcW w:w="960" w:type="dxa"/>
            <w:vAlign w:val="bottom"/>
            <w:gridSpan w:val="2"/>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37,791</w:t>
            </w:r>
          </w:p>
        </w:tc>
        <w:tc>
          <w:tcPr>
            <w:tcW w:w="980" w:type="dxa"/>
            <w:vAlign w:val="bottom"/>
            <w:gridSpan w:val="2"/>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37,791</w:t>
            </w:r>
          </w:p>
        </w:tc>
        <w:tc>
          <w:tcPr>
            <w:tcW w:w="240" w:type="dxa"/>
            <w:vAlign w:val="bottom"/>
            <w:gridSpan w:val="2"/>
            <w:shd w:val="clear" w:color="auto" w:fill="CFF0FC"/>
          </w:tcPr>
          <w:p>
            <w:pPr>
              <w:jc w:val="right"/>
              <w:ind w:right="26"/>
              <w:spacing w:after="0" w:line="115"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277</w:t>
            </w:r>
          </w:p>
        </w:tc>
        <w:tc>
          <w:tcPr>
            <w:tcW w:w="220" w:type="dxa"/>
            <w:vAlign w:val="bottom"/>
            <w:gridSpan w:val="2"/>
            <w:shd w:val="clear" w:color="auto" w:fill="CFF0FC"/>
          </w:tcPr>
          <w:p>
            <w:pPr>
              <w:ind w:left="100"/>
              <w:spacing w:after="0" w:line="115" w:lineRule="exact"/>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2,280,495</w:t>
            </w: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1040" w:type="dxa"/>
            <w:vAlign w:val="bottom"/>
            <w:gridSpan w:val="2"/>
            <w:shd w:val="clear" w:color="auto" w:fill="CFF0FC"/>
          </w:tcPr>
          <w:p>
            <w:pPr>
              <w:jc w:val="right"/>
              <w:ind w:right="80"/>
              <w:spacing w:after="0" w:line="115" w:lineRule="exact"/>
              <w:rPr>
                <w:sz w:val="20"/>
                <w:szCs w:val="20"/>
                <w:color w:val="auto"/>
              </w:rPr>
            </w:pPr>
            <w:r>
              <w:rPr>
                <w:rFonts w:ascii="Times New Roman" w:cs="Times New Roman" w:eastAsia="Times New Roman" w:hAnsi="Times New Roman"/>
                <w:sz w:val="11"/>
                <w:szCs w:val="11"/>
                <w:color w:val="auto"/>
              </w:rPr>
              <w:t>(1,149,059)</w:t>
            </w:r>
          </w:p>
        </w:tc>
        <w:tc>
          <w:tcPr>
            <w:tcW w:w="10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gridSpan w:val="2"/>
            <w:shd w:val="clear" w:color="auto" w:fill="CFF0FC"/>
          </w:tcPr>
          <w:p>
            <w:pPr>
              <w:jc w:val="right"/>
              <w:ind w:right="80"/>
              <w:spacing w:after="0" w:line="115" w:lineRule="exact"/>
              <w:rPr>
                <w:sz w:val="20"/>
                <w:szCs w:val="20"/>
                <w:color w:val="auto"/>
              </w:rPr>
            </w:pPr>
            <w:r>
              <w:rPr>
                <w:rFonts w:ascii="Times New Roman" w:cs="Times New Roman" w:eastAsia="Times New Roman" w:hAnsi="Times New Roman"/>
                <w:sz w:val="11"/>
                <w:szCs w:val="11"/>
                <w:color w:val="auto"/>
              </w:rPr>
              <w:t>(18,083)</w:t>
            </w:r>
          </w:p>
        </w:tc>
        <w:tc>
          <w:tcPr>
            <w:tcW w:w="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78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1,113,630</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88"/>
        </w:trPr>
        <w:tc>
          <w:tcPr>
            <w:tcW w:w="3380" w:type="dxa"/>
            <w:vAlign w:val="bottom"/>
            <w:tcBorders>
              <w:top w:val="single" w:sz="8" w:color="CFF0FC"/>
            </w:tcBorders>
          </w:tcPr>
          <w:p>
            <w:pPr>
              <w:spacing w:after="0" w:line="89" w:lineRule="exact"/>
              <w:rPr>
                <w:sz w:val="20"/>
                <w:szCs w:val="20"/>
                <w:color w:val="auto"/>
              </w:rPr>
            </w:pPr>
            <w:r>
              <w:rPr>
                <w:rFonts w:ascii="Times New Roman" w:cs="Times New Roman" w:eastAsia="Times New Roman" w:hAnsi="Times New Roman"/>
                <w:sz w:val="10"/>
                <w:szCs w:val="10"/>
                <w:color w:val="auto"/>
              </w:rPr>
              <w:t>Equity-based compensation expense</w:t>
            </w:r>
          </w:p>
        </w:tc>
        <w:tc>
          <w:tcPr>
            <w:tcW w:w="820" w:type="dxa"/>
            <w:vAlign w:val="bottom"/>
            <w:tcBorders>
              <w:top w:val="single" w:sz="8" w:color="auto"/>
            </w:tcBorders>
          </w:tcPr>
          <w:p>
            <w:pPr>
              <w:spacing w:after="0"/>
              <w:rPr>
                <w:sz w:val="7"/>
                <w:szCs w:val="7"/>
                <w:color w:val="auto"/>
              </w:rPr>
            </w:pPr>
          </w:p>
        </w:tc>
        <w:tc>
          <w:tcPr>
            <w:tcW w:w="120" w:type="dxa"/>
            <w:vAlign w:val="bottom"/>
            <w:tcBorders>
              <w:top w:val="single" w:sz="8" w:color="CFF0FC"/>
            </w:tcBorders>
          </w:tcPr>
          <w:p>
            <w:pPr>
              <w:spacing w:after="0"/>
              <w:rPr>
                <w:sz w:val="7"/>
                <w:szCs w:val="7"/>
                <w:color w:val="auto"/>
              </w:rPr>
            </w:pPr>
          </w:p>
        </w:tc>
        <w:tc>
          <w:tcPr>
            <w:tcW w:w="840" w:type="dxa"/>
            <w:vAlign w:val="bottom"/>
            <w:tcBorders>
              <w:top w:val="single" w:sz="8" w:color="auto"/>
            </w:tcBorders>
          </w:tcPr>
          <w:p>
            <w:pPr>
              <w:spacing w:after="0"/>
              <w:rPr>
                <w:sz w:val="7"/>
                <w:szCs w:val="7"/>
                <w:color w:val="auto"/>
              </w:rPr>
            </w:pPr>
          </w:p>
        </w:tc>
        <w:tc>
          <w:tcPr>
            <w:tcW w:w="120" w:type="dxa"/>
            <w:vAlign w:val="bottom"/>
            <w:tcBorders>
              <w:top w:val="single" w:sz="8" w:color="CFF0FC"/>
            </w:tcBorders>
          </w:tcPr>
          <w:p>
            <w:pPr>
              <w:spacing w:after="0"/>
              <w:rPr>
                <w:sz w:val="7"/>
                <w:szCs w:val="7"/>
                <w:color w:val="auto"/>
              </w:rPr>
            </w:pPr>
          </w:p>
        </w:tc>
        <w:tc>
          <w:tcPr>
            <w:tcW w:w="860" w:type="dxa"/>
            <w:vAlign w:val="bottom"/>
            <w:tcBorders>
              <w:top w:val="single" w:sz="8" w:color="auto"/>
            </w:tcBorders>
          </w:tcPr>
          <w:p>
            <w:pPr>
              <w:spacing w:after="0"/>
              <w:rPr>
                <w:sz w:val="7"/>
                <w:szCs w:val="7"/>
                <w:color w:val="auto"/>
              </w:rPr>
            </w:pPr>
          </w:p>
        </w:tc>
        <w:tc>
          <w:tcPr>
            <w:tcW w:w="100" w:type="dxa"/>
            <w:vAlign w:val="bottom"/>
            <w:tcBorders>
              <w:top w:val="single" w:sz="8" w:color="CFF0FC"/>
            </w:tcBorders>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660" w:type="dxa"/>
            <w:vAlign w:val="bottom"/>
            <w:tcBorders>
              <w:top w:val="single" w:sz="8" w:color="auto"/>
            </w:tcBorders>
          </w:tcPr>
          <w:p>
            <w:pPr>
              <w:spacing w:after="0"/>
              <w:rPr>
                <w:sz w:val="7"/>
                <w:szCs w:val="7"/>
                <w:color w:val="auto"/>
              </w:rPr>
            </w:pPr>
          </w:p>
        </w:tc>
        <w:tc>
          <w:tcPr>
            <w:tcW w:w="100" w:type="dxa"/>
            <w:vAlign w:val="bottom"/>
            <w:tcBorders>
              <w:top w:val="single" w:sz="8" w:color="CFF0FC"/>
            </w:tcBorders>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680" w:type="dxa"/>
            <w:vAlign w:val="bottom"/>
            <w:tcBorders>
              <w:top w:val="single" w:sz="8" w:color="auto"/>
            </w:tcBorders>
          </w:tcPr>
          <w:p>
            <w:pPr>
              <w:spacing w:after="0"/>
              <w:rPr>
                <w:sz w:val="7"/>
                <w:szCs w:val="7"/>
                <w:color w:val="auto"/>
              </w:rPr>
            </w:pPr>
          </w:p>
        </w:tc>
        <w:tc>
          <w:tcPr>
            <w:tcW w:w="120" w:type="dxa"/>
            <w:vAlign w:val="bottom"/>
            <w:tcBorders>
              <w:top w:val="single" w:sz="8" w:color="CFF0FC"/>
            </w:tcBorders>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940" w:type="dxa"/>
            <w:vAlign w:val="bottom"/>
            <w:tcBorders>
              <w:top w:val="single" w:sz="8" w:color="auto"/>
            </w:tcBorders>
          </w:tcPr>
          <w:p>
            <w:pPr>
              <w:spacing w:after="0"/>
              <w:rPr>
                <w:sz w:val="7"/>
                <w:szCs w:val="7"/>
                <w:color w:val="auto"/>
              </w:rPr>
            </w:pPr>
          </w:p>
        </w:tc>
        <w:tc>
          <w:tcPr>
            <w:tcW w:w="100" w:type="dxa"/>
            <w:vAlign w:val="bottom"/>
            <w:tcBorders>
              <w:top w:val="single" w:sz="8" w:color="CFF0FC"/>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920" w:type="dxa"/>
            <w:vAlign w:val="bottom"/>
            <w:tcBorders>
              <w:top w:val="single" w:sz="8" w:color="auto"/>
            </w:tcBorders>
          </w:tcPr>
          <w:p>
            <w:pPr>
              <w:spacing w:after="0"/>
              <w:rPr>
                <w:sz w:val="7"/>
                <w:szCs w:val="7"/>
                <w:color w:val="auto"/>
              </w:rPr>
            </w:pPr>
          </w:p>
        </w:tc>
        <w:tc>
          <w:tcPr>
            <w:tcW w:w="120" w:type="dxa"/>
            <w:vAlign w:val="bottom"/>
            <w:tcBorders>
              <w:top w:val="single" w:sz="8" w:color="CFF0FC"/>
            </w:tcBorders>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100" w:type="dxa"/>
            <w:vAlign w:val="bottom"/>
            <w:tcBorders>
              <w:top w:val="single" w:sz="8" w:color="CFF0FC"/>
            </w:tcBorders>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338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(Note 11)</w:t>
            </w: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32,694</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32,694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3380" w:type="dxa"/>
            <w:vAlign w:val="bottom"/>
            <w:shd w:val="clear" w:color="auto" w:fill="CFF0FC"/>
          </w:tcPr>
          <w:p>
            <w:pPr>
              <w:spacing w:after="0" w:line="122" w:lineRule="exact"/>
              <w:rPr>
                <w:sz w:val="20"/>
                <w:szCs w:val="20"/>
                <w:color w:val="auto"/>
              </w:rPr>
            </w:pPr>
            <w:r>
              <w:rPr>
                <w:rFonts w:ascii="Times New Roman" w:cs="Times New Roman" w:eastAsia="Times New Roman" w:hAnsi="Times New Roman"/>
                <w:sz w:val="11"/>
                <w:szCs w:val="11"/>
                <w:color w:val="auto"/>
              </w:rPr>
              <w:t>Net Income</w:t>
            </w:r>
          </w:p>
        </w:tc>
        <w:tc>
          <w:tcPr>
            <w:tcW w:w="82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8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8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0" w:type="dxa"/>
            <w:vAlign w:val="bottom"/>
            <w:gridSpan w:val="2"/>
            <w:shd w:val="clear" w:color="auto" w:fill="CFF0F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spacing w:after="0"/>
              <w:rPr>
                <w:sz w:val="10"/>
                <w:szCs w:val="10"/>
                <w:color w:val="auto"/>
              </w:rPr>
            </w:pPr>
          </w:p>
        </w:tc>
        <w:tc>
          <w:tcPr>
            <w:tcW w:w="9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9,066</w:t>
            </w: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40" w:type="dxa"/>
            <w:vAlign w:val="bottom"/>
            <w:gridSpan w:val="2"/>
            <w:shd w:val="clear" w:color="auto" w:fill="CFF0F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spacing w:after="0"/>
              <w:rPr>
                <w:sz w:val="10"/>
                <w:szCs w:val="10"/>
                <w:color w:val="auto"/>
              </w:rPr>
            </w:pPr>
          </w:p>
        </w:tc>
        <w:tc>
          <w:tcPr>
            <w:tcW w:w="7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9,066</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380" w:type="dxa"/>
            <w:vAlign w:val="bottom"/>
          </w:tcPr>
          <w:p>
            <w:pPr>
              <w:spacing w:after="0" w:line="108" w:lineRule="exact"/>
              <w:rPr>
                <w:sz w:val="20"/>
                <w:szCs w:val="20"/>
                <w:color w:val="auto"/>
              </w:rPr>
            </w:pPr>
            <w:r>
              <w:rPr>
                <w:rFonts w:ascii="Times New Roman" w:cs="Times New Roman" w:eastAsia="Times New Roman" w:hAnsi="Times New Roman"/>
                <w:sz w:val="11"/>
                <w:szCs w:val="11"/>
                <w:color w:val="auto"/>
              </w:rPr>
              <w:t>Foreign currency translation</w:t>
            </w: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38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adjustment, net of tax of $3,726</w:t>
            </w: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1"/>
                <w:szCs w:val="11"/>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10,699</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10,699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3380" w:type="dxa"/>
            <w:vAlign w:val="bottom"/>
            <w:shd w:val="clear" w:color="auto" w:fill="CFF0FC"/>
          </w:tcPr>
          <w:p>
            <w:pPr>
              <w:spacing w:after="0" w:line="108" w:lineRule="exact"/>
              <w:rPr>
                <w:sz w:val="20"/>
                <w:szCs w:val="20"/>
                <w:color w:val="auto"/>
              </w:rPr>
            </w:pPr>
            <w:r>
              <w:rPr>
                <w:rFonts w:ascii="Times New Roman" w:cs="Times New Roman" w:eastAsia="Times New Roman" w:hAnsi="Times New Roman"/>
                <w:sz w:val="11"/>
                <w:szCs w:val="11"/>
                <w:color w:val="auto"/>
              </w:rPr>
              <w:t>Unrealized loss on derivatives,</w:t>
            </w:r>
          </w:p>
        </w:tc>
        <w:tc>
          <w:tcPr>
            <w:tcW w:w="8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6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9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9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7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3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1"/>
                <w:szCs w:val="11"/>
                <w:color w:val="auto"/>
              </w:rPr>
              <w:t>net of tax of $(192) (Note 8)</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spacing w:after="0"/>
              <w:rPr>
                <w:sz w:val="11"/>
                <w:szCs w:val="11"/>
                <w:color w:val="auto"/>
              </w:rPr>
            </w:pP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10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(587)</w:t>
            </w:r>
          </w:p>
        </w:tc>
        <w:tc>
          <w:tcPr>
            <w:tcW w:w="60" w:type="dxa"/>
            <w:vAlign w:val="bottom"/>
            <w:shd w:val="clear" w:color="auto" w:fill="CFF0FC"/>
          </w:tcPr>
          <w:p>
            <w:pPr>
              <w:spacing w:after="0"/>
              <w:rPr>
                <w:sz w:val="11"/>
                <w:szCs w:val="11"/>
                <w:color w:val="auto"/>
              </w:rPr>
            </w:pPr>
          </w:p>
        </w:tc>
        <w:tc>
          <w:tcPr>
            <w:tcW w:w="8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(587)</w:t>
            </w:r>
          </w:p>
        </w:tc>
        <w:tc>
          <w:tcPr>
            <w:tcW w:w="0" w:type="dxa"/>
            <w:vAlign w:val="bottom"/>
          </w:tcPr>
          <w:p>
            <w:pPr>
              <w:spacing w:after="0"/>
              <w:rPr>
                <w:sz w:val="1"/>
                <w:szCs w:val="1"/>
                <w:color w:val="auto"/>
              </w:rPr>
            </w:pPr>
          </w:p>
        </w:tc>
      </w:tr>
      <w:tr>
        <w:trPr>
          <w:trHeight w:val="108"/>
        </w:trPr>
        <w:tc>
          <w:tcPr>
            <w:tcW w:w="3380" w:type="dxa"/>
            <w:vAlign w:val="bottom"/>
          </w:tcPr>
          <w:p>
            <w:pPr>
              <w:spacing w:after="0" w:line="108" w:lineRule="exact"/>
              <w:rPr>
                <w:sz w:val="20"/>
                <w:szCs w:val="20"/>
                <w:color w:val="auto"/>
              </w:rPr>
            </w:pPr>
            <w:r>
              <w:rPr>
                <w:rFonts w:ascii="Times New Roman" w:cs="Times New Roman" w:eastAsia="Times New Roman" w:hAnsi="Times New Roman"/>
                <w:sz w:val="11"/>
                <w:szCs w:val="11"/>
                <w:color w:val="auto"/>
              </w:rPr>
              <w:t>Gains on derivatives reclassified to</w:t>
            </w: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38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income, net of tax of $(137) (Note 8)</w:t>
            </w: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1"/>
                <w:szCs w:val="11"/>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(418)</w:t>
            </w:r>
          </w:p>
        </w:tc>
        <w:tc>
          <w:tcPr>
            <w:tcW w:w="60" w:type="dxa"/>
            <w:vAlign w:val="bottom"/>
          </w:tcPr>
          <w:p>
            <w:pPr>
              <w:spacing w:after="0"/>
              <w:rPr>
                <w:sz w:val="11"/>
                <w:szCs w:val="11"/>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(418)</w:t>
            </w:r>
          </w:p>
        </w:tc>
        <w:tc>
          <w:tcPr>
            <w:tcW w:w="0" w:type="dxa"/>
            <w:vAlign w:val="bottom"/>
          </w:tcPr>
          <w:p>
            <w:pPr>
              <w:spacing w:after="0"/>
              <w:rPr>
                <w:sz w:val="1"/>
                <w:szCs w:val="1"/>
                <w:color w:val="auto"/>
              </w:rPr>
            </w:pPr>
          </w:p>
        </w:tc>
      </w:tr>
      <w:tr>
        <w:trPr>
          <w:trHeight w:val="108"/>
        </w:trPr>
        <w:tc>
          <w:tcPr>
            <w:tcW w:w="3380" w:type="dxa"/>
            <w:vAlign w:val="bottom"/>
            <w:shd w:val="clear" w:color="auto" w:fill="CFF0FC"/>
          </w:tcPr>
          <w:p>
            <w:pPr>
              <w:spacing w:after="0" w:line="108" w:lineRule="exact"/>
              <w:rPr>
                <w:sz w:val="20"/>
                <w:szCs w:val="20"/>
                <w:color w:val="auto"/>
              </w:rPr>
            </w:pPr>
            <w:r>
              <w:rPr>
                <w:rFonts w:ascii="Times New Roman" w:cs="Times New Roman" w:eastAsia="Times New Roman" w:hAnsi="Times New Roman"/>
                <w:sz w:val="11"/>
                <w:szCs w:val="11"/>
                <w:color w:val="auto"/>
              </w:rPr>
              <w:t>Issuance of common stock,</w:t>
            </w:r>
          </w:p>
        </w:tc>
        <w:tc>
          <w:tcPr>
            <w:tcW w:w="8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4,653</w:t>
            </w:r>
          </w:p>
        </w:tc>
        <w:tc>
          <w:tcPr>
            <w:tcW w:w="120" w:type="dxa"/>
            <w:vAlign w:val="bottom"/>
            <w:shd w:val="clear" w:color="auto" w:fill="CFF0FC"/>
          </w:tcPr>
          <w:p>
            <w:pPr>
              <w:spacing w:after="0"/>
              <w:rPr>
                <w:sz w:val="9"/>
                <w:szCs w:val="9"/>
                <w:color w:val="auto"/>
              </w:rPr>
            </w:pPr>
          </w:p>
        </w:tc>
        <w:tc>
          <w:tcPr>
            <w:tcW w:w="8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9"/>
                <w:szCs w:val="9"/>
                <w:color w:val="auto"/>
              </w:rPr>
            </w:pPr>
          </w:p>
        </w:tc>
        <w:tc>
          <w:tcPr>
            <w:tcW w:w="8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w:t>
            </w: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00" w:type="dxa"/>
            <w:vAlign w:val="bottom"/>
            <w:gridSpan w:val="2"/>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(835)</w:t>
            </w:r>
          </w:p>
        </w:tc>
        <w:tc>
          <w:tcPr>
            <w:tcW w:w="60" w:type="dxa"/>
            <w:vAlign w:val="bottom"/>
            <w:shd w:val="clear" w:color="auto" w:fill="CFF0FC"/>
          </w:tcPr>
          <w:p>
            <w:pPr>
              <w:spacing w:after="0"/>
              <w:rPr>
                <w:sz w:val="9"/>
                <w:szCs w:val="9"/>
                <w:color w:val="auto"/>
              </w:rPr>
            </w:pPr>
          </w:p>
        </w:tc>
        <w:tc>
          <w:tcPr>
            <w:tcW w:w="104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9"/>
                <w:szCs w:val="9"/>
                <w:color w:val="auto"/>
              </w:rPr>
            </w:pPr>
          </w:p>
        </w:tc>
        <w:tc>
          <w:tcPr>
            <w:tcW w:w="104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spacing w:after="0"/>
              <w:rPr>
                <w:sz w:val="9"/>
                <w:szCs w:val="9"/>
                <w:color w:val="auto"/>
              </w:rPr>
            </w:pPr>
          </w:p>
        </w:tc>
        <w:tc>
          <w:tcPr>
            <w:tcW w:w="880" w:type="dxa"/>
            <w:vAlign w:val="bottom"/>
            <w:gridSpan w:val="2"/>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(830)</w:t>
            </w:r>
          </w:p>
        </w:tc>
        <w:tc>
          <w:tcPr>
            <w:tcW w:w="0" w:type="dxa"/>
            <w:vAlign w:val="bottom"/>
          </w:tcPr>
          <w:p>
            <w:pPr>
              <w:spacing w:after="0"/>
              <w:rPr>
                <w:sz w:val="1"/>
                <w:szCs w:val="1"/>
                <w:color w:val="auto"/>
              </w:rPr>
            </w:pPr>
          </w:p>
        </w:tc>
      </w:tr>
      <w:tr>
        <w:trPr>
          <w:trHeight w:val="122"/>
        </w:trPr>
        <w:tc>
          <w:tcPr>
            <w:tcW w:w="3380" w:type="dxa"/>
            <w:vAlign w:val="bottom"/>
            <w:shd w:val="clear" w:color="auto" w:fill="CFF0FC"/>
          </w:tcPr>
          <w:p>
            <w:pPr>
              <w:ind w:left="80"/>
              <w:spacing w:after="0" w:line="122" w:lineRule="exact"/>
              <w:rPr>
                <w:sz w:val="20"/>
                <w:szCs w:val="20"/>
                <w:color w:val="auto"/>
              </w:rPr>
            </w:pPr>
            <w:r>
              <w:rPr>
                <w:rFonts w:ascii="Times New Roman" w:cs="Times New Roman" w:eastAsia="Times New Roman" w:hAnsi="Times New Roman"/>
                <w:sz w:val="11"/>
                <w:szCs w:val="11"/>
                <w:color w:val="auto"/>
              </w:rPr>
              <w:t>net of tax withholdings</w:t>
            </w:r>
          </w:p>
        </w:tc>
        <w:tc>
          <w:tcPr>
            <w:tcW w:w="820" w:type="dxa"/>
            <w:vAlign w:val="bottom"/>
            <w:vMerge w:val="continue"/>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40" w:type="dxa"/>
            <w:vAlign w:val="bottom"/>
            <w:vMerge w:val="continue"/>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60" w:type="dxa"/>
            <w:vAlign w:val="bottom"/>
            <w:vMerge w:val="continue"/>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60" w:type="dxa"/>
            <w:vAlign w:val="bottom"/>
            <w:vMerge w:val="continue"/>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0" w:type="dxa"/>
            <w:vAlign w:val="bottom"/>
            <w:gridSpan w:val="2"/>
            <w:vMerge w:val="continue"/>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040" w:type="dxa"/>
            <w:vAlign w:val="bottom"/>
            <w:gridSpan w:val="2"/>
            <w:vMerge w:val="continue"/>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40" w:type="dxa"/>
            <w:vAlign w:val="bottom"/>
            <w:gridSpan w:val="2"/>
            <w:vMerge w:val="continue"/>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880" w:type="dxa"/>
            <w:vAlign w:val="bottom"/>
            <w:gridSpan w:val="2"/>
            <w:vMerge w:val="continue"/>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3380" w:type="dxa"/>
            <w:vAlign w:val="bottom"/>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3380" w:type="dxa"/>
            <w:vAlign w:val="bottom"/>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Balance at January 31, 2026</w:t>
            </w:r>
          </w:p>
        </w:tc>
        <w:tc>
          <w:tcPr>
            <w:tcW w:w="82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243,719</w:t>
            </w:r>
          </w:p>
        </w:tc>
        <w:tc>
          <w:tcPr>
            <w:tcW w:w="120" w:type="dxa"/>
            <w:vAlign w:val="bottom"/>
          </w:tcPr>
          <w:p>
            <w:pPr>
              <w:spacing w:after="0"/>
              <w:rPr>
                <w:sz w:val="10"/>
                <w:szCs w:val="10"/>
                <w:color w:val="auto"/>
              </w:rPr>
            </w:pPr>
          </w:p>
        </w:tc>
        <w:tc>
          <w:tcPr>
            <w:tcW w:w="84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37,791</w:t>
            </w:r>
          </w:p>
        </w:tc>
        <w:tc>
          <w:tcPr>
            <w:tcW w:w="120" w:type="dxa"/>
            <w:vAlign w:val="bottom"/>
          </w:tcPr>
          <w:p>
            <w:pPr>
              <w:spacing w:after="0"/>
              <w:rPr>
                <w:sz w:val="10"/>
                <w:szCs w:val="10"/>
                <w:color w:val="auto"/>
              </w:rPr>
            </w:pPr>
          </w:p>
        </w:tc>
        <w:tc>
          <w:tcPr>
            <w:tcW w:w="86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37,791</w:t>
            </w:r>
          </w:p>
        </w:tc>
        <w:tc>
          <w:tcPr>
            <w:tcW w:w="100" w:type="dxa"/>
            <w:vAlign w:val="bottom"/>
          </w:tcPr>
          <w:p>
            <w:pPr>
              <w:spacing w:after="0"/>
              <w:rPr>
                <w:sz w:val="10"/>
                <w:szCs w:val="10"/>
                <w:color w:val="auto"/>
              </w:rPr>
            </w:pPr>
          </w:p>
        </w:tc>
        <w:tc>
          <w:tcPr>
            <w:tcW w:w="140" w:type="dxa"/>
            <w:vAlign w:val="bottom"/>
          </w:tcPr>
          <w:p>
            <w:pPr>
              <w:jc w:val="right"/>
              <w:ind w:right="2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282</w:t>
            </w:r>
          </w:p>
        </w:tc>
        <w:tc>
          <w:tcPr>
            <w:tcW w:w="100" w:type="dxa"/>
            <w:vAlign w:val="bottom"/>
          </w:tcPr>
          <w:p>
            <w:pPr>
              <w:spacing w:after="0"/>
              <w:rPr>
                <w:sz w:val="10"/>
                <w:szCs w:val="10"/>
                <w:color w:val="auto"/>
              </w:rPr>
            </w:pPr>
          </w:p>
        </w:tc>
        <w:tc>
          <w:tcPr>
            <w:tcW w:w="120" w:type="dxa"/>
            <w:vAlign w:val="bottom"/>
          </w:tcPr>
          <w:p>
            <w:pPr>
              <w:spacing w:after="0" w:line="115" w:lineRule="exact"/>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2,312,354</w:t>
            </w:r>
          </w:p>
        </w:tc>
        <w:tc>
          <w:tcPr>
            <w:tcW w:w="120" w:type="dxa"/>
            <w:vAlign w:val="bottom"/>
          </w:tcPr>
          <w:p>
            <w:pPr>
              <w:spacing w:after="0"/>
              <w:rPr>
                <w:sz w:val="10"/>
                <w:szCs w:val="10"/>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1040" w:type="dxa"/>
            <w:vAlign w:val="bottom"/>
            <w:gridSpan w:val="2"/>
          </w:tcPr>
          <w:p>
            <w:pPr>
              <w:jc w:val="right"/>
              <w:ind w:right="80"/>
              <w:spacing w:after="0" w:line="115" w:lineRule="exact"/>
              <w:rPr>
                <w:sz w:val="20"/>
                <w:szCs w:val="20"/>
                <w:color w:val="auto"/>
              </w:rPr>
            </w:pPr>
            <w:r>
              <w:rPr>
                <w:rFonts w:ascii="Times New Roman" w:cs="Times New Roman" w:eastAsia="Times New Roman" w:hAnsi="Times New Roman"/>
                <w:sz w:val="11"/>
                <w:szCs w:val="11"/>
                <w:color w:val="auto"/>
              </w:rPr>
              <w:t>(1,139,993)</w:t>
            </w:r>
          </w:p>
        </w:tc>
        <w:tc>
          <w:tcPr>
            <w:tcW w:w="10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gridSpan w:val="2"/>
          </w:tcPr>
          <w:p>
            <w:pPr>
              <w:jc w:val="right"/>
              <w:ind w:right="80"/>
              <w:spacing w:after="0" w:line="115" w:lineRule="exact"/>
              <w:rPr>
                <w:sz w:val="20"/>
                <w:szCs w:val="20"/>
                <w:color w:val="auto"/>
              </w:rPr>
            </w:pPr>
            <w:r>
              <w:rPr>
                <w:rFonts w:ascii="Times New Roman" w:cs="Times New Roman" w:eastAsia="Times New Roman" w:hAnsi="Times New Roman"/>
                <w:sz w:val="11"/>
                <w:szCs w:val="11"/>
                <w:color w:val="auto"/>
              </w:rPr>
              <w:t>(8,389)</w:t>
            </w:r>
          </w:p>
        </w:tc>
        <w:tc>
          <w:tcPr>
            <w:tcW w:w="60" w:type="dxa"/>
            <w:vAlign w:val="bottom"/>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78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1,164,254</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2670810</wp:posOffset>
            </wp:positionH>
            <wp:positionV relativeFrom="paragraph">
              <wp:posOffset>-2879725</wp:posOffset>
            </wp:positionV>
            <wp:extent cx="76835"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2670810</wp:posOffset>
            </wp:positionH>
            <wp:positionV relativeFrom="paragraph">
              <wp:posOffset>-2862580</wp:posOffset>
            </wp:positionV>
            <wp:extent cx="7683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-2879725</wp:posOffset>
            </wp:positionV>
            <wp:extent cx="76835"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-2862580</wp:posOffset>
            </wp:positionV>
            <wp:extent cx="7683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-2879725</wp:posOffset>
            </wp:positionV>
            <wp:extent cx="6858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-2862580</wp:posOffset>
            </wp:positionV>
            <wp:extent cx="685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-2879725</wp:posOffset>
            </wp:positionV>
            <wp:extent cx="6858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-2862580</wp:posOffset>
            </wp:positionV>
            <wp:extent cx="685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-2879725</wp:posOffset>
            </wp:positionV>
            <wp:extent cx="6858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-2862580</wp:posOffset>
            </wp:positionV>
            <wp:extent cx="685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-2879725</wp:posOffset>
            </wp:positionV>
            <wp:extent cx="6858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-2862580</wp:posOffset>
            </wp:positionV>
            <wp:extent cx="685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6468745</wp:posOffset>
            </wp:positionH>
            <wp:positionV relativeFrom="paragraph">
              <wp:posOffset>-2879725</wp:posOffset>
            </wp:positionV>
            <wp:extent cx="6858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6468745</wp:posOffset>
            </wp:positionH>
            <wp:positionV relativeFrom="paragraph">
              <wp:posOffset>-2862580</wp:posOffset>
            </wp:positionV>
            <wp:extent cx="6858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-2879725</wp:posOffset>
            </wp:positionV>
            <wp:extent cx="6858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-2862580</wp:posOffset>
            </wp:positionV>
            <wp:extent cx="685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2670810</wp:posOffset>
            </wp:positionH>
            <wp:positionV relativeFrom="paragraph">
              <wp:posOffset>-2014220</wp:posOffset>
            </wp:positionV>
            <wp:extent cx="76835"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-2014220</wp:posOffset>
            </wp:positionV>
            <wp:extent cx="76835"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-2014220</wp:posOffset>
            </wp:positionV>
            <wp:extent cx="6858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-2014220</wp:posOffset>
            </wp:positionV>
            <wp:extent cx="6858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-2014220</wp:posOffset>
            </wp:positionV>
            <wp:extent cx="6858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-2014220</wp:posOffset>
            </wp:positionV>
            <wp:extent cx="6858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6468745</wp:posOffset>
            </wp:positionH>
            <wp:positionV relativeFrom="paragraph">
              <wp:posOffset>-2014220</wp:posOffset>
            </wp:positionV>
            <wp:extent cx="6858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-2014220</wp:posOffset>
            </wp:positionV>
            <wp:extent cx="6858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2670810</wp:posOffset>
            </wp:positionH>
            <wp:positionV relativeFrom="paragraph">
              <wp:posOffset>-976630</wp:posOffset>
            </wp:positionV>
            <wp:extent cx="76835"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2670810</wp:posOffset>
            </wp:positionH>
            <wp:positionV relativeFrom="paragraph">
              <wp:posOffset>-959485</wp:posOffset>
            </wp:positionV>
            <wp:extent cx="7683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-976630</wp:posOffset>
            </wp:positionV>
            <wp:extent cx="76835"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-959485</wp:posOffset>
            </wp:positionV>
            <wp:extent cx="7683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-976630</wp:posOffset>
            </wp:positionV>
            <wp:extent cx="6858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-959485</wp:posOffset>
            </wp:positionV>
            <wp:extent cx="685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-976630</wp:posOffset>
            </wp:positionV>
            <wp:extent cx="6858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-959485</wp:posOffset>
            </wp:positionV>
            <wp:extent cx="6858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-976630</wp:posOffset>
            </wp:positionV>
            <wp:extent cx="6858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-959485</wp:posOffset>
            </wp:positionV>
            <wp:extent cx="6858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-976630</wp:posOffset>
            </wp:positionV>
            <wp:extent cx="6858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-959485</wp:posOffset>
            </wp:positionV>
            <wp:extent cx="6858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6468745</wp:posOffset>
            </wp:positionH>
            <wp:positionV relativeFrom="paragraph">
              <wp:posOffset>-976630</wp:posOffset>
            </wp:positionV>
            <wp:extent cx="6858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6468745</wp:posOffset>
            </wp:positionH>
            <wp:positionV relativeFrom="paragraph">
              <wp:posOffset>-959485</wp:posOffset>
            </wp:positionV>
            <wp:extent cx="685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-976630</wp:posOffset>
            </wp:positionV>
            <wp:extent cx="6858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-959485</wp:posOffset>
            </wp:positionV>
            <wp:extent cx="6858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2670810</wp:posOffset>
            </wp:positionH>
            <wp:positionV relativeFrom="paragraph">
              <wp:posOffset>-110490</wp:posOffset>
            </wp:positionV>
            <wp:extent cx="7683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-110490</wp:posOffset>
            </wp:positionV>
            <wp:extent cx="7683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-110490</wp:posOffset>
            </wp:positionV>
            <wp:extent cx="685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-110490</wp:posOffset>
            </wp:positionV>
            <wp:extent cx="6858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-110490</wp:posOffset>
            </wp:positionV>
            <wp:extent cx="6858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-110490</wp:posOffset>
            </wp:positionV>
            <wp:extent cx="6858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6468745</wp:posOffset>
            </wp:positionH>
            <wp:positionV relativeFrom="paragraph">
              <wp:posOffset>-110490</wp:posOffset>
            </wp:positionV>
            <wp:extent cx="6858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-110490</wp:posOffset>
            </wp:positionV>
            <wp:extent cx="6858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70" w:name="page71"/>
    <w:bookmarkEnd w:id="70"/>
    <w:p>
      <w:pPr>
        <w:ind w:left="3440"/>
        <w:spacing w:after="0"/>
        <w:rPr>
          <w:sz w:val="20"/>
          <w:szCs w:val="20"/>
          <w:color w:val="auto"/>
        </w:rPr>
      </w:pPr>
      <w:r>
        <w:rPr>
          <w:rFonts w:ascii="Times New Roman" w:cs="Times New Roman" w:eastAsia="Times New Roman" w:hAnsi="Times New Roman"/>
          <w:sz w:val="18"/>
          <w:szCs w:val="18"/>
          <w:b w:val="1"/>
          <w:bCs w:val="1"/>
          <w:color w:val="auto"/>
        </w:rPr>
        <w:t>PETCO HEALTH AND WELLNESS COMPANY, INC.</w:t>
      </w:r>
    </w:p>
    <w:p>
      <w:pPr>
        <w:spacing w:after="0" w:line="117"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w:t>
      </w:r>
    </w:p>
    <w:tbl>
      <w:tblPr>
        <w:tblLayout w:type="fixed"/>
        <w:tblInd w:w="0" w:type="dxa"/>
        <w:tblCellMar>
          <w:top w:w="0" w:type="dxa"/>
          <w:left w:w="0" w:type="dxa"/>
          <w:bottom w:w="0" w:type="dxa"/>
          <w:right w:w="0" w:type="dxa"/>
        </w:tblCellMar>
      </w:tblPr>
      <w:tr>
        <w:trPr>
          <w:trHeight w:val="144"/>
        </w:trPr>
        <w:tc>
          <w:tcPr>
            <w:tcW w:w="66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gridSpan w:val="2"/>
          </w:tcPr>
          <w:p>
            <w:pPr>
              <w:jc w:val="right"/>
              <w:ind w:right="340"/>
              <w:spacing w:after="0" w:line="144" w:lineRule="exact"/>
              <w:rPr>
                <w:sz w:val="20"/>
                <w:szCs w:val="20"/>
                <w:color w:val="auto"/>
              </w:rPr>
            </w:pPr>
            <w:r>
              <w:rPr>
                <w:rFonts w:ascii="Times New Roman" w:cs="Times New Roman" w:eastAsia="Times New Roman" w:hAnsi="Times New Roman"/>
                <w:sz w:val="13"/>
                <w:szCs w:val="13"/>
                <w:b w:val="1"/>
                <w:bCs w:val="1"/>
                <w:color w:val="auto"/>
              </w:rPr>
              <w:t>Fiscal years ended</w:t>
            </w:r>
          </w:p>
        </w:tc>
        <w:tc>
          <w:tcPr>
            <w:tcW w:w="1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08"/>
        </w:trPr>
        <w:tc>
          <w:tcPr>
            <w:tcW w:w="6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20" w:type="dxa"/>
            <w:vAlign w:val="bottom"/>
            <w:gridSpan w:val="2"/>
          </w:tcPr>
          <w:p>
            <w:pPr>
              <w:jc w:val="center"/>
              <w:ind w:right="480"/>
              <w:spacing w:after="0" w:line="109" w:lineRule="exact"/>
              <w:rPr>
                <w:sz w:val="20"/>
                <w:szCs w:val="20"/>
                <w:color w:val="auto"/>
              </w:rPr>
            </w:pPr>
            <w:r>
              <w:rPr>
                <w:rFonts w:ascii="Times New Roman" w:cs="Times New Roman" w:eastAsia="Times New Roman" w:hAnsi="Times New Roman"/>
                <w:sz w:val="12"/>
                <w:szCs w:val="12"/>
                <w:b w:val="1"/>
                <w:bCs w:val="1"/>
                <w:color w:val="auto"/>
              </w:rPr>
              <w:t>January 31,</w:t>
            </w:r>
          </w:p>
        </w:tc>
        <w:tc>
          <w:tcPr>
            <w:tcW w:w="100" w:type="dxa"/>
            <w:vAlign w:val="bottom"/>
          </w:tcPr>
          <w:p>
            <w:pPr>
              <w:spacing w:after="0"/>
              <w:rPr>
                <w:sz w:val="9"/>
                <w:szCs w:val="9"/>
                <w:color w:val="auto"/>
              </w:rPr>
            </w:pPr>
          </w:p>
        </w:tc>
        <w:tc>
          <w:tcPr>
            <w:tcW w:w="1380" w:type="dxa"/>
            <w:vAlign w:val="bottom"/>
            <w:gridSpan w:val="2"/>
          </w:tcPr>
          <w:p>
            <w:pPr>
              <w:jc w:val="center"/>
              <w:ind w:right="260"/>
              <w:spacing w:after="0" w:line="109" w:lineRule="exact"/>
              <w:rPr>
                <w:sz w:val="20"/>
                <w:szCs w:val="20"/>
                <w:color w:val="auto"/>
              </w:rPr>
            </w:pPr>
            <w:r>
              <w:rPr>
                <w:rFonts w:ascii="Times New Roman" w:cs="Times New Roman" w:eastAsia="Times New Roman" w:hAnsi="Times New Roman"/>
                <w:sz w:val="12"/>
                <w:szCs w:val="12"/>
                <w:b w:val="1"/>
                <w:bCs w:val="1"/>
                <w:color w:val="auto"/>
              </w:rPr>
              <w:t>February 1,</w:t>
            </w: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40" w:type="dxa"/>
            <w:vAlign w:val="bottom"/>
          </w:tcPr>
          <w:p>
            <w:pPr>
              <w:jc w:val="center"/>
              <w:ind w:right="153"/>
              <w:spacing w:after="0" w:line="109" w:lineRule="exact"/>
              <w:rPr>
                <w:sz w:val="20"/>
                <w:szCs w:val="20"/>
                <w:color w:val="auto"/>
              </w:rPr>
            </w:pPr>
            <w:r>
              <w:rPr>
                <w:rFonts w:ascii="Times New Roman" w:cs="Times New Roman" w:eastAsia="Times New Roman" w:hAnsi="Times New Roman"/>
                <w:sz w:val="12"/>
                <w:szCs w:val="12"/>
                <w:b w:val="1"/>
                <w:bCs w:val="1"/>
                <w:color w:val="auto"/>
              </w:rPr>
              <w:t>February 3,</w:t>
            </w:r>
          </w:p>
        </w:tc>
        <w:tc>
          <w:tcPr>
            <w:tcW w:w="100" w:type="dxa"/>
            <w:vAlign w:val="bottom"/>
          </w:tcPr>
          <w:p>
            <w:pPr>
              <w:spacing w:after="0"/>
              <w:rPr>
                <w:sz w:val="9"/>
                <w:szCs w:val="9"/>
                <w:color w:val="auto"/>
              </w:rPr>
            </w:pPr>
          </w:p>
        </w:tc>
      </w:tr>
      <w:tr>
        <w:trPr>
          <w:trHeight w:val="155"/>
        </w:trPr>
        <w:tc>
          <w:tcPr>
            <w:tcW w:w="66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center"/>
              <w:ind w:right="153"/>
              <w:spacing w:after="0"/>
              <w:rPr>
                <w:sz w:val="20"/>
                <w:szCs w:val="20"/>
                <w:color w:val="auto"/>
              </w:rPr>
            </w:pPr>
            <w:r>
              <w:rPr>
                <w:rFonts w:ascii="Times New Roman" w:cs="Times New Roman" w:eastAsia="Times New Roman" w:hAnsi="Times New Roman"/>
                <w:sz w:val="13"/>
                <w:szCs w:val="13"/>
                <w:b w:val="1"/>
                <w:bCs w:val="1"/>
                <w:color w:val="auto"/>
                <w:w w:val="99"/>
              </w:rPr>
              <w:t>2026</w:t>
            </w:r>
          </w:p>
        </w:tc>
        <w:tc>
          <w:tcPr>
            <w:tcW w:w="2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center"/>
              <w:ind w:right="33"/>
              <w:spacing w:after="0"/>
              <w:rPr>
                <w:sz w:val="20"/>
                <w:szCs w:val="20"/>
                <w:color w:val="auto"/>
              </w:rPr>
            </w:pPr>
            <w:r>
              <w:rPr>
                <w:rFonts w:ascii="Times New Roman" w:cs="Times New Roman" w:eastAsia="Times New Roman" w:hAnsi="Times New Roman"/>
                <w:sz w:val="13"/>
                <w:szCs w:val="13"/>
                <w:b w:val="1"/>
                <w:bCs w:val="1"/>
                <w:color w:val="auto"/>
                <w:w w:val="99"/>
              </w:rPr>
              <w:t>2025</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center"/>
              <w:ind w:right="153"/>
              <w:spacing w:after="0"/>
              <w:rPr>
                <w:sz w:val="20"/>
                <w:szCs w:val="20"/>
                <w:color w:val="auto"/>
              </w:rPr>
            </w:pPr>
            <w:r>
              <w:rPr>
                <w:rFonts w:ascii="Times New Roman" w:cs="Times New Roman" w:eastAsia="Times New Roman" w:hAnsi="Times New Roman"/>
                <w:sz w:val="13"/>
                <w:szCs w:val="13"/>
                <w:b w:val="1"/>
                <w:bCs w:val="1"/>
                <w:color w:val="auto"/>
                <w:w w:val="92"/>
              </w:rPr>
              <w:t>2024</w:t>
            </w:r>
          </w:p>
        </w:tc>
        <w:tc>
          <w:tcPr>
            <w:tcW w:w="100" w:type="dxa"/>
            <w:vAlign w:val="bottom"/>
          </w:tcPr>
          <w:p>
            <w:pPr>
              <w:spacing w:after="0"/>
              <w:rPr>
                <w:sz w:val="13"/>
                <w:szCs w:val="13"/>
                <w:color w:val="auto"/>
              </w:rPr>
            </w:pPr>
          </w:p>
        </w:tc>
      </w:tr>
      <w:tr>
        <w:trPr>
          <w:trHeight w:val="128"/>
        </w:trPr>
        <w:tc>
          <w:tcPr>
            <w:tcW w:w="6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tcPr>
          <w:p>
            <w:pPr>
              <w:jc w:val="center"/>
              <w:ind w:right="153"/>
              <w:spacing w:after="0" w:line="129" w:lineRule="exact"/>
              <w:rPr>
                <w:sz w:val="20"/>
                <w:szCs w:val="20"/>
                <w:color w:val="auto"/>
              </w:rPr>
            </w:pPr>
            <w:r>
              <w:rPr>
                <w:rFonts w:ascii="Times New Roman" w:cs="Times New Roman" w:eastAsia="Times New Roman" w:hAnsi="Times New Roman"/>
                <w:sz w:val="13"/>
                <w:szCs w:val="13"/>
                <w:b w:val="1"/>
                <w:bCs w:val="1"/>
                <w:color w:val="auto"/>
                <w:w w:val="99"/>
              </w:rPr>
              <w:t>(52 weeks)</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tcPr>
          <w:p>
            <w:pPr>
              <w:jc w:val="center"/>
              <w:ind w:right="53"/>
              <w:spacing w:after="0" w:line="129" w:lineRule="exact"/>
              <w:rPr>
                <w:sz w:val="20"/>
                <w:szCs w:val="20"/>
                <w:color w:val="auto"/>
              </w:rPr>
            </w:pPr>
            <w:r>
              <w:rPr>
                <w:rFonts w:ascii="Times New Roman" w:cs="Times New Roman" w:eastAsia="Times New Roman" w:hAnsi="Times New Roman"/>
                <w:sz w:val="13"/>
                <w:szCs w:val="13"/>
                <w:b w:val="1"/>
                <w:bCs w:val="1"/>
                <w:color w:val="auto"/>
                <w:w w:val="96"/>
              </w:rPr>
              <w:t>(52 weeks)</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tcPr>
          <w:p>
            <w:pPr>
              <w:jc w:val="center"/>
              <w:ind w:right="153"/>
              <w:spacing w:after="0" w:line="129" w:lineRule="exact"/>
              <w:rPr>
                <w:sz w:val="20"/>
                <w:szCs w:val="20"/>
                <w:color w:val="auto"/>
              </w:rPr>
            </w:pPr>
            <w:r>
              <w:rPr>
                <w:rFonts w:ascii="Times New Roman" w:cs="Times New Roman" w:eastAsia="Times New Roman" w:hAnsi="Times New Roman"/>
                <w:sz w:val="13"/>
                <w:szCs w:val="13"/>
                <w:b w:val="1"/>
                <w:bCs w:val="1"/>
                <w:color w:val="auto"/>
                <w:w w:val="96"/>
              </w:rPr>
              <w:t>(53 weeks)</w:t>
            </w:r>
          </w:p>
        </w:tc>
        <w:tc>
          <w:tcPr>
            <w:tcW w:w="100" w:type="dxa"/>
            <w:vAlign w:val="bottom"/>
          </w:tcPr>
          <w:p>
            <w:pPr>
              <w:spacing w:after="0"/>
              <w:rPr>
                <w:sz w:val="11"/>
                <w:szCs w:val="11"/>
                <w:color w:val="auto"/>
              </w:rPr>
            </w:pPr>
          </w:p>
        </w:tc>
      </w:tr>
      <w:tr>
        <w:trPr>
          <w:trHeight w:val="148"/>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Cash flows from operating activities:</w:t>
            </w:r>
          </w:p>
        </w:tc>
        <w:tc>
          <w:tcPr>
            <w:tcW w:w="20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8"/>
        </w:trPr>
        <w:tc>
          <w:tcPr>
            <w:tcW w:w="66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Net income (loss)</w:t>
            </w:r>
          </w:p>
        </w:tc>
        <w:tc>
          <w:tcPr>
            <w:tcW w:w="200" w:type="dxa"/>
            <w:vAlign w:val="bottom"/>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9,066</w:t>
            </w:r>
          </w:p>
        </w:tc>
        <w:tc>
          <w:tcPr>
            <w:tcW w:w="26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(101,816)</w:t>
            </w: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(1,280,210)</w:t>
            </w:r>
          </w:p>
        </w:tc>
      </w:tr>
      <w:tr>
        <w:trPr>
          <w:trHeight w:val="136"/>
        </w:trPr>
        <w:tc>
          <w:tcPr>
            <w:tcW w:w="6600" w:type="dxa"/>
            <w:vAlign w:val="bottom"/>
            <w:shd w:val="clear" w:color="auto" w:fill="CFF0FC"/>
          </w:tcPr>
          <w:p>
            <w:pPr>
              <w:ind w:left="120"/>
              <w:spacing w:after="0" w:line="136" w:lineRule="exact"/>
              <w:rPr>
                <w:sz w:val="20"/>
                <w:szCs w:val="20"/>
                <w:color w:val="auto"/>
              </w:rPr>
            </w:pPr>
            <w:r>
              <w:rPr>
                <w:rFonts w:ascii="Times New Roman" w:cs="Times New Roman" w:eastAsia="Times New Roman" w:hAnsi="Times New Roman"/>
                <w:sz w:val="13"/>
                <w:szCs w:val="13"/>
                <w:color w:val="auto"/>
              </w:rPr>
              <w:t>Adjustments to reconcile net income (loss) to net cash provided by operating</w:t>
            </w:r>
          </w:p>
        </w:tc>
        <w:tc>
          <w:tcPr>
            <w:tcW w:w="200" w:type="dxa"/>
            <w:vAlign w:val="bottom"/>
            <w:shd w:val="clear" w:color="auto" w:fill="CFF0FC"/>
          </w:tcPr>
          <w:p>
            <w:pPr>
              <w:spacing w:after="0"/>
              <w:rPr>
                <w:sz w:val="11"/>
                <w:szCs w:val="11"/>
                <w:color w:val="auto"/>
              </w:rPr>
            </w:pPr>
          </w:p>
        </w:tc>
        <w:tc>
          <w:tcPr>
            <w:tcW w:w="11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61"/>
        </w:trPr>
        <w:tc>
          <w:tcPr>
            <w:tcW w:w="66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3"/>
                <w:szCs w:val="13"/>
                <w:color w:val="auto"/>
              </w:rPr>
              <w:t>activities:</w:t>
            </w:r>
          </w:p>
        </w:tc>
        <w:tc>
          <w:tcPr>
            <w:tcW w:w="200" w:type="dxa"/>
            <w:vAlign w:val="bottom"/>
            <w:shd w:val="clear" w:color="auto" w:fill="CFF0FC"/>
          </w:tcPr>
          <w:p>
            <w:pPr>
              <w:spacing w:after="0"/>
              <w:rPr>
                <w:sz w:val="14"/>
                <w:szCs w:val="14"/>
                <w:color w:val="auto"/>
              </w:rPr>
            </w:pPr>
          </w:p>
        </w:tc>
        <w:tc>
          <w:tcPr>
            <w:tcW w:w="11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49"/>
        </w:trPr>
        <w:tc>
          <w:tcPr>
            <w:tcW w:w="660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20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196,710</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208,517</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203,615</w:t>
            </w:r>
          </w:p>
        </w:tc>
        <w:tc>
          <w:tcPr>
            <w:tcW w:w="100" w:type="dxa"/>
            <w:vAlign w:val="bottom"/>
          </w:tcPr>
          <w:p>
            <w:pPr>
              <w:spacing w:after="0"/>
              <w:rPr>
                <w:sz w:val="12"/>
                <w:szCs w:val="12"/>
                <w:color w:val="auto"/>
              </w:rPr>
            </w:pPr>
          </w:p>
        </w:tc>
      </w:tr>
      <w:tr>
        <w:trPr>
          <w:trHeight w:val="148"/>
        </w:trPr>
        <w:tc>
          <w:tcPr>
            <w:tcW w:w="66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3"/>
                <w:szCs w:val="13"/>
                <w:color w:val="auto"/>
              </w:rPr>
              <w:t>Amortization of debt discounts and issuance costs</w:t>
            </w:r>
          </w:p>
        </w:tc>
        <w:tc>
          <w:tcPr>
            <w:tcW w:w="200" w:type="dxa"/>
            <w:vAlign w:val="bottom"/>
            <w:shd w:val="clear" w:color="auto" w:fill="CFF0FC"/>
          </w:tcPr>
          <w:p>
            <w:pPr>
              <w:spacing w:after="0"/>
              <w:rPr>
                <w:sz w:val="12"/>
                <w:szCs w:val="12"/>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5,022</w:t>
            </w:r>
          </w:p>
        </w:tc>
        <w:tc>
          <w:tcPr>
            <w:tcW w:w="2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4,896</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4,972</w:t>
            </w:r>
          </w:p>
        </w:tc>
        <w:tc>
          <w:tcPr>
            <w:tcW w:w="100" w:type="dxa"/>
            <w:vAlign w:val="bottom"/>
            <w:shd w:val="clear" w:color="auto" w:fill="CFF0FC"/>
          </w:tcPr>
          <w:p>
            <w:pPr>
              <w:spacing w:after="0"/>
              <w:rPr>
                <w:sz w:val="12"/>
                <w:szCs w:val="12"/>
                <w:color w:val="auto"/>
              </w:rPr>
            </w:pPr>
          </w:p>
        </w:tc>
      </w:tr>
      <w:tr>
        <w:trPr>
          <w:trHeight w:val="148"/>
        </w:trPr>
        <w:tc>
          <w:tcPr>
            <w:tcW w:w="660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Provision for deferred taxes</w:t>
            </w:r>
          </w:p>
        </w:tc>
        <w:tc>
          <w:tcPr>
            <w:tcW w:w="20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17,050</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(30,492)</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(53,549)</w:t>
            </w:r>
          </w:p>
        </w:tc>
      </w:tr>
      <w:tr>
        <w:trPr>
          <w:trHeight w:val="148"/>
        </w:trPr>
        <w:tc>
          <w:tcPr>
            <w:tcW w:w="66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3"/>
                <w:szCs w:val="13"/>
                <w:color w:val="auto"/>
              </w:rPr>
              <w:t>Equity-based compensation expense</w:t>
            </w:r>
          </w:p>
        </w:tc>
        <w:tc>
          <w:tcPr>
            <w:tcW w:w="200" w:type="dxa"/>
            <w:vAlign w:val="bottom"/>
            <w:shd w:val="clear" w:color="auto" w:fill="CFF0FC"/>
          </w:tcPr>
          <w:p>
            <w:pPr>
              <w:spacing w:after="0"/>
              <w:rPr>
                <w:sz w:val="12"/>
                <w:szCs w:val="12"/>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32,650</w:t>
            </w:r>
          </w:p>
        </w:tc>
        <w:tc>
          <w:tcPr>
            <w:tcW w:w="2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50,212</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81,859</w:t>
            </w:r>
          </w:p>
        </w:tc>
        <w:tc>
          <w:tcPr>
            <w:tcW w:w="100" w:type="dxa"/>
            <w:vAlign w:val="bottom"/>
            <w:shd w:val="clear" w:color="auto" w:fill="CFF0FC"/>
          </w:tcPr>
          <w:p>
            <w:pPr>
              <w:spacing w:after="0"/>
              <w:rPr>
                <w:sz w:val="12"/>
                <w:szCs w:val="12"/>
                <w:color w:val="auto"/>
              </w:rPr>
            </w:pPr>
          </w:p>
        </w:tc>
      </w:tr>
      <w:tr>
        <w:trPr>
          <w:trHeight w:val="148"/>
        </w:trPr>
        <w:tc>
          <w:tcPr>
            <w:tcW w:w="660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Loss on partial extinguishment of debt</w:t>
            </w:r>
          </w:p>
        </w:tc>
        <w:tc>
          <w:tcPr>
            <w:tcW w:w="20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565</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920</w:t>
            </w:r>
          </w:p>
        </w:tc>
        <w:tc>
          <w:tcPr>
            <w:tcW w:w="100" w:type="dxa"/>
            <w:vAlign w:val="bottom"/>
          </w:tcPr>
          <w:p>
            <w:pPr>
              <w:spacing w:after="0"/>
              <w:rPr>
                <w:sz w:val="12"/>
                <w:szCs w:val="12"/>
                <w:color w:val="auto"/>
              </w:rPr>
            </w:pPr>
          </w:p>
        </w:tc>
      </w:tr>
      <w:tr>
        <w:trPr>
          <w:trHeight w:val="149"/>
        </w:trPr>
        <w:tc>
          <w:tcPr>
            <w:tcW w:w="66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3"/>
                <w:szCs w:val="13"/>
                <w:color w:val="auto"/>
              </w:rPr>
              <w:t>Income from equity method investees</w:t>
            </w:r>
          </w:p>
        </w:tc>
        <w:tc>
          <w:tcPr>
            <w:tcW w:w="200" w:type="dxa"/>
            <w:vAlign w:val="bottom"/>
            <w:shd w:val="clear" w:color="auto" w:fill="CFF0FC"/>
          </w:tcPr>
          <w:p>
            <w:pPr>
              <w:spacing w:after="0"/>
              <w:rPr>
                <w:sz w:val="12"/>
                <w:szCs w:val="12"/>
                <w:color w:val="auto"/>
              </w:rPr>
            </w:pPr>
          </w:p>
        </w:tc>
        <w:tc>
          <w:tcPr>
            <w:tcW w:w="14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(20,358)</w:t>
            </w:r>
          </w:p>
        </w:tc>
        <w:tc>
          <w:tcPr>
            <w:tcW w:w="100" w:type="dxa"/>
            <w:vAlign w:val="bottom"/>
            <w:shd w:val="clear" w:color="auto" w:fill="CFF0FC"/>
          </w:tcPr>
          <w:p>
            <w:pPr>
              <w:spacing w:after="0"/>
              <w:rPr>
                <w:sz w:val="12"/>
                <w:szCs w:val="12"/>
                <w:color w:val="auto"/>
              </w:rPr>
            </w:pPr>
          </w:p>
        </w:tc>
        <w:tc>
          <w:tcPr>
            <w:tcW w:w="13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(18,669)</w:t>
            </w: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(16,188)</w:t>
            </w:r>
          </w:p>
        </w:tc>
      </w:tr>
      <w:tr>
        <w:trPr>
          <w:trHeight w:val="136"/>
        </w:trPr>
        <w:tc>
          <w:tcPr>
            <w:tcW w:w="6600" w:type="dxa"/>
            <w:vAlign w:val="bottom"/>
          </w:tcPr>
          <w:p>
            <w:pPr>
              <w:ind w:left="240"/>
              <w:spacing w:after="0" w:line="136" w:lineRule="exact"/>
              <w:rPr>
                <w:sz w:val="20"/>
                <w:szCs w:val="20"/>
                <w:color w:val="auto"/>
              </w:rPr>
            </w:pPr>
            <w:r>
              <w:rPr>
                <w:rFonts w:ascii="Times New Roman" w:cs="Times New Roman" w:eastAsia="Times New Roman" w:hAnsi="Times New Roman"/>
                <w:sz w:val="13"/>
                <w:szCs w:val="13"/>
                <w:color w:val="auto"/>
              </w:rPr>
              <w:t>Amounts reclassified out of accumulated other comprehensive loss</w:t>
            </w:r>
          </w:p>
        </w:tc>
        <w:tc>
          <w:tcPr>
            <w:tcW w:w="2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1"/>
        </w:trPr>
        <w:tc>
          <w:tcPr>
            <w:tcW w:w="660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(Note 8)</w:t>
            </w:r>
          </w:p>
        </w:tc>
        <w:tc>
          <w:tcPr>
            <w:tcW w:w="200" w:type="dxa"/>
            <w:vAlign w:val="bottom"/>
          </w:tcPr>
          <w:p>
            <w:pPr>
              <w:spacing w:after="0"/>
              <w:rPr>
                <w:sz w:val="14"/>
                <w:szCs w:val="14"/>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(556)</w:t>
            </w:r>
          </w:p>
        </w:tc>
        <w:tc>
          <w:tcPr>
            <w:tcW w:w="100" w:type="dxa"/>
            <w:vAlign w:val="bottom"/>
          </w:tcPr>
          <w:p>
            <w:pPr>
              <w:spacing w:after="0"/>
              <w:rPr>
                <w:sz w:val="14"/>
                <w:szCs w:val="14"/>
                <w:color w:val="auto"/>
              </w:rPr>
            </w:pPr>
          </w:p>
        </w:tc>
        <w:tc>
          <w:tcPr>
            <w:tcW w:w="13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(3,146)</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(488)</w:t>
            </w:r>
          </w:p>
        </w:tc>
      </w:tr>
      <w:tr>
        <w:trPr>
          <w:trHeight w:val="148"/>
        </w:trPr>
        <w:tc>
          <w:tcPr>
            <w:tcW w:w="66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3"/>
                <w:szCs w:val="13"/>
                <w:color w:val="auto"/>
              </w:rPr>
              <w:t>Goodwill impairment</w:t>
            </w:r>
          </w:p>
        </w:tc>
        <w:tc>
          <w:tcPr>
            <w:tcW w:w="200" w:type="dxa"/>
            <w:vAlign w:val="bottom"/>
            <w:shd w:val="clear" w:color="auto" w:fill="CFF0FC"/>
          </w:tcPr>
          <w:p>
            <w:pPr>
              <w:spacing w:after="0"/>
              <w:rPr>
                <w:sz w:val="12"/>
                <w:szCs w:val="12"/>
                <w:color w:val="auto"/>
              </w:rPr>
            </w:pPr>
          </w:p>
        </w:tc>
        <w:tc>
          <w:tcPr>
            <w:tcW w:w="14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2"/>
                <w:szCs w:val="12"/>
                <w:color w:val="auto"/>
              </w:rPr>
            </w:pPr>
          </w:p>
        </w:tc>
        <w:tc>
          <w:tcPr>
            <w:tcW w:w="13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1,222,524</w:t>
            </w:r>
          </w:p>
        </w:tc>
        <w:tc>
          <w:tcPr>
            <w:tcW w:w="100" w:type="dxa"/>
            <w:vAlign w:val="bottom"/>
            <w:shd w:val="clear" w:color="auto" w:fill="CFF0FC"/>
          </w:tcPr>
          <w:p>
            <w:pPr>
              <w:spacing w:after="0"/>
              <w:rPr>
                <w:sz w:val="12"/>
                <w:szCs w:val="12"/>
                <w:color w:val="auto"/>
              </w:rPr>
            </w:pPr>
          </w:p>
        </w:tc>
      </w:tr>
      <w:tr>
        <w:trPr>
          <w:trHeight w:val="148"/>
        </w:trPr>
        <w:tc>
          <w:tcPr>
            <w:tcW w:w="660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Non-cash operating lease costs</w:t>
            </w:r>
          </w:p>
        </w:tc>
        <w:tc>
          <w:tcPr>
            <w:tcW w:w="20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411,812</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414,396</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429,056</w:t>
            </w:r>
          </w:p>
        </w:tc>
        <w:tc>
          <w:tcPr>
            <w:tcW w:w="100" w:type="dxa"/>
            <w:vAlign w:val="bottom"/>
          </w:tcPr>
          <w:p>
            <w:pPr>
              <w:spacing w:after="0"/>
              <w:rPr>
                <w:sz w:val="12"/>
                <w:szCs w:val="12"/>
                <w:color w:val="auto"/>
              </w:rPr>
            </w:pPr>
          </w:p>
        </w:tc>
      </w:tr>
      <w:tr>
        <w:trPr>
          <w:trHeight w:val="149"/>
        </w:trPr>
        <w:tc>
          <w:tcPr>
            <w:tcW w:w="66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3"/>
                <w:szCs w:val="13"/>
                <w:color w:val="auto"/>
              </w:rPr>
              <w:t>Other non-operating income</w:t>
            </w:r>
          </w:p>
        </w:tc>
        <w:tc>
          <w:tcPr>
            <w:tcW w:w="200" w:type="dxa"/>
            <w:vAlign w:val="bottom"/>
            <w:shd w:val="clear" w:color="auto" w:fill="CFF0FC"/>
          </w:tcPr>
          <w:p>
            <w:pPr>
              <w:spacing w:after="0"/>
              <w:rPr>
                <w:sz w:val="12"/>
                <w:szCs w:val="12"/>
                <w:color w:val="auto"/>
              </w:rPr>
            </w:pPr>
          </w:p>
        </w:tc>
        <w:tc>
          <w:tcPr>
            <w:tcW w:w="14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2"/>
                <w:szCs w:val="12"/>
                <w:color w:val="auto"/>
              </w:rPr>
            </w:pPr>
          </w:p>
        </w:tc>
        <w:tc>
          <w:tcPr>
            <w:tcW w:w="13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(4,800)</w:t>
            </w: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(4,727)</w:t>
            </w:r>
          </w:p>
        </w:tc>
      </w:tr>
      <w:tr>
        <w:trPr>
          <w:trHeight w:val="148"/>
        </w:trPr>
        <w:tc>
          <w:tcPr>
            <w:tcW w:w="660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Changes in assets and liabilities:</w:t>
            </w:r>
          </w:p>
        </w:tc>
        <w:tc>
          <w:tcPr>
            <w:tcW w:w="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660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3"/>
                <w:szCs w:val="13"/>
                <w:color w:val="auto"/>
              </w:rPr>
              <w:t>Receivables</w:t>
            </w:r>
          </w:p>
        </w:tc>
        <w:tc>
          <w:tcPr>
            <w:tcW w:w="200" w:type="dxa"/>
            <w:vAlign w:val="bottom"/>
            <w:shd w:val="clear" w:color="auto" w:fill="CFF0FC"/>
          </w:tcPr>
          <w:p>
            <w:pPr>
              <w:spacing w:after="0"/>
              <w:rPr>
                <w:sz w:val="12"/>
                <w:szCs w:val="12"/>
                <w:color w:val="auto"/>
              </w:rPr>
            </w:pPr>
          </w:p>
        </w:tc>
        <w:tc>
          <w:tcPr>
            <w:tcW w:w="14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(5,621)</w:t>
            </w:r>
          </w:p>
        </w:tc>
        <w:tc>
          <w:tcPr>
            <w:tcW w:w="100" w:type="dxa"/>
            <w:vAlign w:val="bottom"/>
            <w:shd w:val="clear" w:color="auto" w:fill="CFF0FC"/>
          </w:tcPr>
          <w:p>
            <w:pPr>
              <w:spacing w:after="0"/>
              <w:rPr>
                <w:sz w:val="12"/>
                <w:szCs w:val="12"/>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4,178</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5,211</w:t>
            </w:r>
          </w:p>
        </w:tc>
        <w:tc>
          <w:tcPr>
            <w:tcW w:w="100" w:type="dxa"/>
            <w:vAlign w:val="bottom"/>
            <w:shd w:val="clear" w:color="auto" w:fill="CFF0FC"/>
          </w:tcPr>
          <w:p>
            <w:pPr>
              <w:spacing w:after="0"/>
              <w:rPr>
                <w:sz w:val="12"/>
                <w:szCs w:val="12"/>
                <w:color w:val="auto"/>
              </w:rPr>
            </w:pPr>
          </w:p>
        </w:tc>
      </w:tr>
      <w:tr>
        <w:trPr>
          <w:trHeight w:val="148"/>
        </w:trPr>
        <w:tc>
          <w:tcPr>
            <w:tcW w:w="660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Merchandise inventories</w:t>
            </w:r>
          </w:p>
        </w:tc>
        <w:tc>
          <w:tcPr>
            <w:tcW w:w="20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63,119</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30,767</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(32,072)</w:t>
            </w:r>
          </w:p>
        </w:tc>
      </w:tr>
      <w:tr>
        <w:trPr>
          <w:trHeight w:val="148"/>
        </w:trPr>
        <w:tc>
          <w:tcPr>
            <w:tcW w:w="660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3"/>
                <w:szCs w:val="13"/>
                <w:color w:val="auto"/>
              </w:rPr>
              <w:t>Prepaid expenses and other assets</w:t>
            </w:r>
          </w:p>
        </w:tc>
        <w:tc>
          <w:tcPr>
            <w:tcW w:w="200" w:type="dxa"/>
            <w:vAlign w:val="bottom"/>
            <w:shd w:val="clear" w:color="auto" w:fill="CFF0FC"/>
          </w:tcPr>
          <w:p>
            <w:pPr>
              <w:spacing w:after="0"/>
              <w:rPr>
                <w:sz w:val="12"/>
                <w:szCs w:val="12"/>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818</w:t>
            </w:r>
          </w:p>
        </w:tc>
        <w:tc>
          <w:tcPr>
            <w:tcW w:w="2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3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(3,960)</w:t>
            </w: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(8,009)</w:t>
            </w:r>
          </w:p>
        </w:tc>
      </w:tr>
      <w:tr>
        <w:trPr>
          <w:trHeight w:val="148"/>
        </w:trPr>
        <w:tc>
          <w:tcPr>
            <w:tcW w:w="660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Accounts payable and book overdrafts</w:t>
            </w:r>
          </w:p>
        </w:tc>
        <w:tc>
          <w:tcPr>
            <w:tcW w:w="200" w:type="dxa"/>
            <w:vAlign w:val="bottom"/>
          </w:tcPr>
          <w:p>
            <w:pPr>
              <w:spacing w:after="0"/>
              <w:rPr>
                <w:sz w:val="12"/>
                <w:szCs w:val="12"/>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(42,992)</w:t>
            </w:r>
          </w:p>
        </w:tc>
        <w:tc>
          <w:tcPr>
            <w:tcW w:w="100" w:type="dxa"/>
            <w:vAlign w:val="bottom"/>
          </w:tcPr>
          <w:p>
            <w:pPr>
              <w:spacing w:after="0"/>
              <w:rPr>
                <w:sz w:val="12"/>
                <w:szCs w:val="1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8,484</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103,919</w:t>
            </w:r>
          </w:p>
        </w:tc>
        <w:tc>
          <w:tcPr>
            <w:tcW w:w="100" w:type="dxa"/>
            <w:vAlign w:val="bottom"/>
          </w:tcPr>
          <w:p>
            <w:pPr>
              <w:spacing w:after="0"/>
              <w:rPr>
                <w:sz w:val="12"/>
                <w:szCs w:val="12"/>
                <w:color w:val="auto"/>
              </w:rPr>
            </w:pPr>
          </w:p>
        </w:tc>
      </w:tr>
      <w:tr>
        <w:trPr>
          <w:trHeight w:val="149"/>
        </w:trPr>
        <w:tc>
          <w:tcPr>
            <w:tcW w:w="660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3"/>
                <w:szCs w:val="13"/>
                <w:color w:val="auto"/>
              </w:rPr>
              <w:t>Accrued salaries and employee benefits</w:t>
            </w:r>
          </w:p>
        </w:tc>
        <w:tc>
          <w:tcPr>
            <w:tcW w:w="200" w:type="dxa"/>
            <w:vAlign w:val="bottom"/>
            <w:shd w:val="clear" w:color="auto" w:fill="CFF0FC"/>
          </w:tcPr>
          <w:p>
            <w:pPr>
              <w:spacing w:after="0"/>
              <w:rPr>
                <w:sz w:val="12"/>
                <w:szCs w:val="12"/>
                <w:color w:val="auto"/>
              </w:rPr>
            </w:pPr>
          </w:p>
        </w:tc>
        <w:tc>
          <w:tcPr>
            <w:tcW w:w="14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(3,271)</w:t>
            </w:r>
          </w:p>
        </w:tc>
        <w:tc>
          <w:tcPr>
            <w:tcW w:w="100" w:type="dxa"/>
            <w:vAlign w:val="bottom"/>
            <w:shd w:val="clear" w:color="auto" w:fill="CFF0FC"/>
          </w:tcPr>
          <w:p>
            <w:pPr>
              <w:spacing w:after="0"/>
              <w:rPr>
                <w:sz w:val="12"/>
                <w:szCs w:val="12"/>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56,981</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11,347</w:t>
            </w:r>
          </w:p>
        </w:tc>
        <w:tc>
          <w:tcPr>
            <w:tcW w:w="100" w:type="dxa"/>
            <w:vAlign w:val="bottom"/>
            <w:shd w:val="clear" w:color="auto" w:fill="CFF0FC"/>
          </w:tcPr>
          <w:p>
            <w:pPr>
              <w:spacing w:after="0"/>
              <w:rPr>
                <w:sz w:val="12"/>
                <w:szCs w:val="12"/>
                <w:color w:val="auto"/>
              </w:rPr>
            </w:pPr>
          </w:p>
        </w:tc>
      </w:tr>
      <w:tr>
        <w:trPr>
          <w:trHeight w:val="148"/>
        </w:trPr>
        <w:tc>
          <w:tcPr>
            <w:tcW w:w="660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Accrued expenses and other liabilities</w:t>
            </w:r>
          </w:p>
        </w:tc>
        <w:tc>
          <w:tcPr>
            <w:tcW w:w="20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24,987</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(12,455)</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(8,495)</w:t>
            </w:r>
          </w:p>
        </w:tc>
      </w:tr>
      <w:tr>
        <w:trPr>
          <w:trHeight w:val="148"/>
        </w:trPr>
        <w:tc>
          <w:tcPr>
            <w:tcW w:w="660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3"/>
                <w:szCs w:val="13"/>
                <w:color w:val="auto"/>
              </w:rPr>
              <w:t>Operating lease liabilities</w:t>
            </w:r>
          </w:p>
        </w:tc>
        <w:tc>
          <w:tcPr>
            <w:tcW w:w="200" w:type="dxa"/>
            <w:vAlign w:val="bottom"/>
            <w:shd w:val="clear" w:color="auto" w:fill="CFF0FC"/>
          </w:tcPr>
          <w:p>
            <w:pPr>
              <w:spacing w:after="0"/>
              <w:rPr>
                <w:sz w:val="12"/>
                <w:szCs w:val="12"/>
                <w:color w:val="auto"/>
              </w:rPr>
            </w:pPr>
          </w:p>
        </w:tc>
        <w:tc>
          <w:tcPr>
            <w:tcW w:w="14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(371,134)</w:t>
            </w:r>
          </w:p>
        </w:tc>
        <w:tc>
          <w:tcPr>
            <w:tcW w:w="100" w:type="dxa"/>
            <w:vAlign w:val="bottom"/>
            <w:shd w:val="clear" w:color="auto" w:fill="CFF0FC"/>
          </w:tcPr>
          <w:p>
            <w:pPr>
              <w:spacing w:after="0"/>
              <w:rPr>
                <w:sz w:val="12"/>
                <w:szCs w:val="12"/>
                <w:color w:val="auto"/>
              </w:rPr>
            </w:pPr>
          </w:p>
        </w:tc>
        <w:tc>
          <w:tcPr>
            <w:tcW w:w="13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(418,219)</w:t>
            </w: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(446,981)</w:t>
            </w:r>
          </w:p>
        </w:tc>
      </w:tr>
      <w:tr>
        <w:trPr>
          <w:trHeight w:val="148"/>
        </w:trPr>
        <w:tc>
          <w:tcPr>
            <w:tcW w:w="660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Other long-term liabilities</w:t>
            </w:r>
          </w:p>
        </w:tc>
        <w:tc>
          <w:tcPr>
            <w:tcW w:w="200" w:type="dxa"/>
            <w:vAlign w:val="bottom"/>
          </w:tcPr>
          <w:p>
            <w:pPr>
              <w:spacing w:after="0"/>
              <w:rPr>
                <w:sz w:val="12"/>
                <w:szCs w:val="12"/>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(3,817)</w:t>
            </w:r>
          </w:p>
        </w:tc>
        <w:tc>
          <w:tcPr>
            <w:tcW w:w="100" w:type="dxa"/>
            <w:vAlign w:val="bottom"/>
          </w:tcPr>
          <w:p>
            <w:pPr>
              <w:spacing w:after="0"/>
              <w:rPr>
                <w:sz w:val="12"/>
                <w:szCs w:val="12"/>
                <w:color w:val="auto"/>
              </w:rPr>
            </w:pPr>
          </w:p>
        </w:tc>
        <w:tc>
          <w:tcPr>
            <w:tcW w:w="13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(7,201)</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3,015</w:t>
            </w:r>
          </w:p>
        </w:tc>
        <w:tc>
          <w:tcPr>
            <w:tcW w:w="100" w:type="dxa"/>
            <w:vAlign w:val="bottom"/>
          </w:tcPr>
          <w:p>
            <w:pPr>
              <w:spacing w:after="0"/>
              <w:rPr>
                <w:sz w:val="12"/>
                <w:szCs w:val="12"/>
                <w:color w:val="auto"/>
              </w:rPr>
            </w:pPr>
          </w:p>
        </w:tc>
      </w:tr>
      <w:tr>
        <w:trPr>
          <w:trHeight w:val="142"/>
        </w:trPr>
        <w:tc>
          <w:tcPr>
            <w:tcW w:w="6600" w:type="dxa"/>
            <w:vAlign w:val="bottom"/>
            <w:tcBorders>
              <w:bottom w:val="single" w:sz="8" w:color="CFF0FC"/>
            </w:tcBorders>
            <w:shd w:val="clear" w:color="auto" w:fill="CFF0FC"/>
          </w:tcPr>
          <w:p>
            <w:pPr>
              <w:ind w:left="480"/>
              <w:spacing w:after="0" w:line="142" w:lineRule="exact"/>
              <w:rPr>
                <w:sz w:val="20"/>
                <w:szCs w:val="20"/>
                <w:color w:val="auto"/>
              </w:rPr>
            </w:pPr>
            <w:r>
              <w:rPr>
                <w:rFonts w:ascii="Times New Roman" w:cs="Times New Roman" w:eastAsia="Times New Roman" w:hAnsi="Times New Roman"/>
                <w:sz w:val="13"/>
                <w:szCs w:val="13"/>
                <w:color w:val="auto"/>
              </w:rPr>
              <w:t>Net cash provided by operating activities</w:t>
            </w:r>
          </w:p>
        </w:tc>
        <w:tc>
          <w:tcPr>
            <w:tcW w:w="200" w:type="dxa"/>
            <w:vAlign w:val="bottom"/>
            <w:tcBorders>
              <w:top w:val="single" w:sz="8" w:color="auto"/>
              <w:bottom w:val="single" w:sz="8" w:color="auto"/>
            </w:tcBorders>
            <w:shd w:val="clear" w:color="auto" w:fill="CFF0FC"/>
          </w:tcPr>
          <w:p>
            <w:pPr>
              <w:spacing w:after="0"/>
              <w:rPr>
                <w:sz w:val="12"/>
                <w:szCs w:val="12"/>
                <w:color w:val="auto"/>
              </w:rPr>
            </w:pPr>
          </w:p>
        </w:tc>
        <w:tc>
          <w:tcPr>
            <w:tcW w:w="116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314,050</w:t>
            </w:r>
          </w:p>
        </w:tc>
        <w:tc>
          <w:tcPr>
            <w:tcW w:w="26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top w:val="single" w:sz="8" w:color="auto"/>
              <w:bottom w:val="single" w:sz="8" w:color="auto"/>
            </w:tcBorders>
            <w:shd w:val="clear" w:color="auto" w:fill="CFF0FC"/>
          </w:tcPr>
          <w:p>
            <w:pPr>
              <w:spacing w:after="0"/>
              <w:rPr>
                <w:sz w:val="12"/>
                <w:szCs w:val="12"/>
                <w:color w:val="auto"/>
              </w:rPr>
            </w:pPr>
          </w:p>
        </w:tc>
        <w:tc>
          <w:tcPr>
            <w:tcW w:w="12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177,673</w:t>
            </w:r>
          </w:p>
        </w:tc>
        <w:tc>
          <w:tcPr>
            <w:tcW w:w="14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200" w:type="dxa"/>
            <w:vAlign w:val="bottom"/>
            <w:tcBorders>
              <w:top w:val="single" w:sz="8" w:color="auto"/>
              <w:bottom w:val="single" w:sz="8" w:color="auto"/>
            </w:tcBorders>
            <w:shd w:val="clear" w:color="auto" w:fill="CFF0FC"/>
          </w:tcPr>
          <w:p>
            <w:pPr>
              <w:spacing w:after="0"/>
              <w:rPr>
                <w:sz w:val="12"/>
                <w:szCs w:val="12"/>
                <w:color w:val="auto"/>
              </w:rPr>
            </w:pPr>
          </w:p>
        </w:tc>
        <w:tc>
          <w:tcPr>
            <w:tcW w:w="11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215,719</w:t>
            </w:r>
          </w:p>
        </w:tc>
        <w:tc>
          <w:tcPr>
            <w:tcW w:w="100" w:type="dxa"/>
            <w:vAlign w:val="bottom"/>
            <w:tcBorders>
              <w:bottom w:val="single" w:sz="8" w:color="CFF0FC"/>
            </w:tcBorders>
            <w:shd w:val="clear" w:color="auto" w:fill="CFF0FC"/>
          </w:tcPr>
          <w:p>
            <w:pPr>
              <w:spacing w:after="0"/>
              <w:rPr>
                <w:sz w:val="12"/>
                <w:szCs w:val="12"/>
                <w:color w:val="auto"/>
              </w:rPr>
            </w:pPr>
          </w:p>
        </w:tc>
      </w:tr>
      <w:tr>
        <w:trPr>
          <w:trHeight w:val="142"/>
        </w:trPr>
        <w:tc>
          <w:tcPr>
            <w:tcW w:w="6600" w:type="dxa"/>
            <w:vAlign w:val="bottom"/>
          </w:tcPr>
          <w:p>
            <w:pPr>
              <w:spacing w:after="0" w:line="142" w:lineRule="exact"/>
              <w:rPr>
                <w:sz w:val="20"/>
                <w:szCs w:val="20"/>
                <w:color w:val="auto"/>
              </w:rPr>
            </w:pPr>
            <w:r>
              <w:rPr>
                <w:rFonts w:ascii="Times New Roman" w:cs="Times New Roman" w:eastAsia="Times New Roman" w:hAnsi="Times New Roman"/>
                <w:sz w:val="13"/>
                <w:szCs w:val="13"/>
                <w:color w:val="auto"/>
              </w:rPr>
              <w:t>Cash flows from investing activities:</w:t>
            </w:r>
          </w:p>
        </w:tc>
        <w:tc>
          <w:tcPr>
            <w:tcW w:w="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66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Cash paid for fixed assets</w:t>
            </w:r>
          </w:p>
        </w:tc>
        <w:tc>
          <w:tcPr>
            <w:tcW w:w="200" w:type="dxa"/>
            <w:vAlign w:val="bottom"/>
            <w:shd w:val="clear" w:color="auto" w:fill="CFF0FC"/>
          </w:tcPr>
          <w:p>
            <w:pPr>
              <w:spacing w:after="0"/>
              <w:rPr>
                <w:sz w:val="12"/>
                <w:szCs w:val="12"/>
                <w:color w:val="auto"/>
              </w:rPr>
            </w:pPr>
          </w:p>
        </w:tc>
        <w:tc>
          <w:tcPr>
            <w:tcW w:w="14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(127,097)</w:t>
            </w:r>
          </w:p>
        </w:tc>
        <w:tc>
          <w:tcPr>
            <w:tcW w:w="100" w:type="dxa"/>
            <w:vAlign w:val="bottom"/>
            <w:shd w:val="clear" w:color="auto" w:fill="CFF0FC"/>
          </w:tcPr>
          <w:p>
            <w:pPr>
              <w:spacing w:after="0"/>
              <w:rPr>
                <w:sz w:val="12"/>
                <w:szCs w:val="12"/>
                <w:color w:val="auto"/>
              </w:rPr>
            </w:pPr>
          </w:p>
        </w:tc>
        <w:tc>
          <w:tcPr>
            <w:tcW w:w="13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(127,990)</w:t>
            </w: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(225,598)</w:t>
            </w:r>
          </w:p>
        </w:tc>
      </w:tr>
      <w:tr>
        <w:trPr>
          <w:trHeight w:val="149"/>
        </w:trPr>
        <w:tc>
          <w:tcPr>
            <w:tcW w:w="66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Cash paid for acquisitions, net of cash acquired (Note 3)</w:t>
            </w:r>
          </w:p>
        </w:tc>
        <w:tc>
          <w:tcPr>
            <w:tcW w:w="200" w:type="dxa"/>
            <w:vAlign w:val="bottom"/>
          </w:tcPr>
          <w:p>
            <w:pPr>
              <w:spacing w:after="0"/>
              <w:rPr>
                <w:sz w:val="12"/>
                <w:szCs w:val="12"/>
                <w:color w:val="auto"/>
              </w:rPr>
            </w:pPr>
          </w:p>
        </w:tc>
        <w:tc>
          <w:tcPr>
            <w:tcW w:w="142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13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(629)</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(6,725)</w:t>
            </w:r>
          </w:p>
        </w:tc>
      </w:tr>
      <w:tr>
        <w:trPr>
          <w:trHeight w:val="148"/>
        </w:trPr>
        <w:tc>
          <w:tcPr>
            <w:tcW w:w="66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Cash paid for investment</w:t>
            </w:r>
          </w:p>
        </w:tc>
        <w:tc>
          <w:tcPr>
            <w:tcW w:w="200" w:type="dxa"/>
            <w:vAlign w:val="bottom"/>
            <w:shd w:val="clear" w:color="auto" w:fill="CFF0FC"/>
          </w:tcPr>
          <w:p>
            <w:pPr>
              <w:spacing w:after="0"/>
              <w:rPr>
                <w:sz w:val="12"/>
                <w:szCs w:val="12"/>
                <w:color w:val="auto"/>
              </w:rPr>
            </w:pPr>
          </w:p>
        </w:tc>
        <w:tc>
          <w:tcPr>
            <w:tcW w:w="14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2"/>
                <w:szCs w:val="12"/>
                <w:color w:val="auto"/>
              </w:rPr>
            </w:pPr>
          </w:p>
        </w:tc>
        <w:tc>
          <w:tcPr>
            <w:tcW w:w="13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(457)</w:t>
            </w: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r>
      <w:tr>
        <w:trPr>
          <w:trHeight w:val="148"/>
        </w:trPr>
        <w:tc>
          <w:tcPr>
            <w:tcW w:w="66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Proceeds from investments</w:t>
            </w:r>
          </w:p>
        </w:tc>
        <w:tc>
          <w:tcPr>
            <w:tcW w:w="200" w:type="dxa"/>
            <w:vAlign w:val="bottom"/>
          </w:tcPr>
          <w:p>
            <w:pPr>
              <w:spacing w:after="0"/>
              <w:rPr>
                <w:sz w:val="12"/>
                <w:szCs w:val="12"/>
                <w:color w:val="auto"/>
              </w:rPr>
            </w:pPr>
          </w:p>
        </w:tc>
        <w:tc>
          <w:tcPr>
            <w:tcW w:w="142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998</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24,878</w:t>
            </w:r>
          </w:p>
        </w:tc>
        <w:tc>
          <w:tcPr>
            <w:tcW w:w="100" w:type="dxa"/>
            <w:vAlign w:val="bottom"/>
          </w:tcPr>
          <w:p>
            <w:pPr>
              <w:spacing w:after="0"/>
              <w:rPr>
                <w:sz w:val="12"/>
                <w:szCs w:val="12"/>
                <w:color w:val="auto"/>
              </w:rPr>
            </w:pPr>
          </w:p>
        </w:tc>
      </w:tr>
      <w:tr>
        <w:trPr>
          <w:trHeight w:val="149"/>
        </w:trPr>
        <w:tc>
          <w:tcPr>
            <w:tcW w:w="66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Proceeds from sale of assets</w:t>
            </w:r>
          </w:p>
        </w:tc>
        <w:tc>
          <w:tcPr>
            <w:tcW w:w="200" w:type="dxa"/>
            <w:vAlign w:val="bottom"/>
            <w:shd w:val="clear" w:color="auto" w:fill="CFF0FC"/>
          </w:tcPr>
          <w:p>
            <w:pPr>
              <w:spacing w:after="0"/>
              <w:rPr>
                <w:sz w:val="12"/>
                <w:szCs w:val="12"/>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2,541</w:t>
            </w:r>
          </w:p>
        </w:tc>
        <w:tc>
          <w:tcPr>
            <w:tcW w:w="2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1,369</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r>
      <w:tr>
        <w:trPr>
          <w:trHeight w:val="148"/>
        </w:trPr>
        <w:tc>
          <w:tcPr>
            <w:tcW w:w="66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Cash received from partial surrender of officers' life insurance</w:t>
            </w:r>
          </w:p>
        </w:tc>
        <w:tc>
          <w:tcPr>
            <w:tcW w:w="20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2,806</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r>
      <w:tr>
        <w:trPr>
          <w:trHeight w:val="142"/>
        </w:trPr>
        <w:tc>
          <w:tcPr>
            <w:tcW w:w="6600" w:type="dxa"/>
            <w:vAlign w:val="bottom"/>
            <w:shd w:val="clear" w:color="auto" w:fill="CFF0FC"/>
          </w:tcPr>
          <w:p>
            <w:pPr>
              <w:ind w:left="480"/>
              <w:spacing w:after="0" w:line="142" w:lineRule="exact"/>
              <w:rPr>
                <w:sz w:val="20"/>
                <w:szCs w:val="20"/>
                <w:color w:val="auto"/>
              </w:rPr>
            </w:pPr>
            <w:r>
              <w:rPr>
                <w:rFonts w:ascii="Times New Roman" w:cs="Times New Roman" w:eastAsia="Times New Roman" w:hAnsi="Times New Roman"/>
                <w:sz w:val="13"/>
                <w:szCs w:val="13"/>
                <w:color w:val="auto"/>
              </w:rPr>
              <w:t>Net cash used in investing activities</w:t>
            </w:r>
          </w:p>
        </w:tc>
        <w:tc>
          <w:tcPr>
            <w:tcW w:w="200" w:type="dxa"/>
            <w:vAlign w:val="bottom"/>
            <w:shd w:val="clear" w:color="auto" w:fill="CFF0FC"/>
          </w:tcPr>
          <w:p>
            <w:pPr>
              <w:spacing w:after="0"/>
              <w:rPr>
                <w:sz w:val="12"/>
                <w:szCs w:val="12"/>
                <w:color w:val="auto"/>
              </w:rPr>
            </w:pPr>
          </w:p>
        </w:tc>
        <w:tc>
          <w:tcPr>
            <w:tcW w:w="1420" w:type="dxa"/>
            <w:vAlign w:val="bottom"/>
            <w:gridSpan w:val="2"/>
            <w:shd w:val="clear" w:color="auto" w:fill="CFF0FC"/>
          </w:tcPr>
          <w:p>
            <w:pPr>
              <w:jc w:val="right"/>
              <w:ind w:right="220"/>
              <w:spacing w:after="0" w:line="142" w:lineRule="exact"/>
              <w:rPr>
                <w:sz w:val="20"/>
                <w:szCs w:val="20"/>
                <w:color w:val="auto"/>
              </w:rPr>
            </w:pPr>
            <w:r>
              <w:rPr>
                <w:rFonts w:ascii="Times New Roman" w:cs="Times New Roman" w:eastAsia="Times New Roman" w:hAnsi="Times New Roman"/>
                <w:sz w:val="13"/>
                <w:szCs w:val="13"/>
                <w:color w:val="auto"/>
              </w:rPr>
              <w:t>(124,556)</w:t>
            </w:r>
          </w:p>
        </w:tc>
        <w:tc>
          <w:tcPr>
            <w:tcW w:w="100" w:type="dxa"/>
            <w:vAlign w:val="bottom"/>
            <w:shd w:val="clear" w:color="auto" w:fill="CFF0FC"/>
          </w:tcPr>
          <w:p>
            <w:pPr>
              <w:spacing w:after="0"/>
              <w:rPr>
                <w:sz w:val="12"/>
                <w:szCs w:val="12"/>
                <w:color w:val="auto"/>
              </w:rPr>
            </w:pPr>
          </w:p>
        </w:tc>
        <w:tc>
          <w:tcPr>
            <w:tcW w:w="1380" w:type="dxa"/>
            <w:vAlign w:val="bottom"/>
            <w:gridSpan w:val="2"/>
            <w:shd w:val="clear" w:color="auto" w:fill="CFF0FC"/>
          </w:tcPr>
          <w:p>
            <w:pPr>
              <w:jc w:val="right"/>
              <w:ind w:right="80"/>
              <w:spacing w:after="0" w:line="142" w:lineRule="exact"/>
              <w:rPr>
                <w:sz w:val="20"/>
                <w:szCs w:val="20"/>
                <w:color w:val="auto"/>
              </w:rPr>
            </w:pPr>
            <w:r>
              <w:rPr>
                <w:rFonts w:ascii="Times New Roman" w:cs="Times New Roman" w:eastAsia="Times New Roman" w:hAnsi="Times New Roman"/>
                <w:sz w:val="13"/>
                <w:szCs w:val="13"/>
                <w:color w:val="auto"/>
              </w:rPr>
              <w:t>(123,903)</w:t>
            </w: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4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3"/>
                <w:szCs w:val="13"/>
                <w:color w:val="auto"/>
              </w:rPr>
              <w:t>(207,445)</w:t>
            </w:r>
          </w:p>
        </w:tc>
      </w:tr>
      <w:tr>
        <w:trPr>
          <w:trHeight w:val="142"/>
        </w:trPr>
        <w:tc>
          <w:tcPr>
            <w:tcW w:w="6600" w:type="dxa"/>
            <w:vAlign w:val="bottom"/>
            <w:tcBorders>
              <w:top w:val="single" w:sz="8" w:color="CFF0FC"/>
            </w:tcBorders>
          </w:tcPr>
          <w:p>
            <w:pPr>
              <w:spacing w:after="0" w:line="142" w:lineRule="exact"/>
              <w:rPr>
                <w:sz w:val="20"/>
                <w:szCs w:val="20"/>
                <w:color w:val="auto"/>
              </w:rPr>
            </w:pPr>
            <w:r>
              <w:rPr>
                <w:rFonts w:ascii="Times New Roman" w:cs="Times New Roman" w:eastAsia="Times New Roman" w:hAnsi="Times New Roman"/>
                <w:sz w:val="13"/>
                <w:szCs w:val="13"/>
                <w:color w:val="auto"/>
              </w:rPr>
              <w:t>Cash flows from financing activities:</w:t>
            </w:r>
          </w:p>
        </w:tc>
        <w:tc>
          <w:tcPr>
            <w:tcW w:w="20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260" w:type="dxa"/>
            <w:vAlign w:val="bottom"/>
            <w:tcBorders>
              <w:top w:val="single" w:sz="8" w:color="CFF0FC"/>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140" w:type="dxa"/>
            <w:vAlign w:val="bottom"/>
            <w:tcBorders>
              <w:top w:val="single" w:sz="8" w:color="CFF0FC"/>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r>
      <w:tr>
        <w:trPr>
          <w:trHeight w:val="148"/>
        </w:trPr>
        <w:tc>
          <w:tcPr>
            <w:tcW w:w="66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Borrowings under long-term debt agreements</w:t>
            </w:r>
          </w:p>
        </w:tc>
        <w:tc>
          <w:tcPr>
            <w:tcW w:w="200" w:type="dxa"/>
            <w:vAlign w:val="bottom"/>
            <w:shd w:val="clear" w:color="auto" w:fill="CFF0FC"/>
          </w:tcPr>
          <w:p>
            <w:pPr>
              <w:spacing w:after="0"/>
              <w:rPr>
                <w:sz w:val="12"/>
                <w:szCs w:val="12"/>
                <w:color w:val="auto"/>
              </w:rPr>
            </w:pPr>
          </w:p>
        </w:tc>
        <w:tc>
          <w:tcPr>
            <w:tcW w:w="14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2"/>
                <w:szCs w:val="12"/>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201,000</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273,000</w:t>
            </w:r>
          </w:p>
        </w:tc>
        <w:tc>
          <w:tcPr>
            <w:tcW w:w="100" w:type="dxa"/>
            <w:vAlign w:val="bottom"/>
            <w:shd w:val="clear" w:color="auto" w:fill="CFF0FC"/>
          </w:tcPr>
          <w:p>
            <w:pPr>
              <w:spacing w:after="0"/>
              <w:rPr>
                <w:sz w:val="12"/>
                <w:szCs w:val="12"/>
                <w:color w:val="auto"/>
              </w:rPr>
            </w:pPr>
          </w:p>
        </w:tc>
      </w:tr>
      <w:tr>
        <w:trPr>
          <w:trHeight w:val="149"/>
        </w:trPr>
        <w:tc>
          <w:tcPr>
            <w:tcW w:w="66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Repayments of long-term debt</w:t>
            </w:r>
          </w:p>
        </w:tc>
        <w:tc>
          <w:tcPr>
            <w:tcW w:w="200" w:type="dxa"/>
            <w:vAlign w:val="bottom"/>
          </w:tcPr>
          <w:p>
            <w:pPr>
              <w:spacing w:after="0"/>
              <w:rPr>
                <w:sz w:val="12"/>
                <w:szCs w:val="12"/>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(95,250)</w:t>
            </w:r>
          </w:p>
        </w:tc>
        <w:tc>
          <w:tcPr>
            <w:tcW w:w="100" w:type="dxa"/>
            <w:vAlign w:val="bottom"/>
          </w:tcPr>
          <w:p>
            <w:pPr>
              <w:spacing w:after="0"/>
              <w:rPr>
                <w:sz w:val="12"/>
                <w:szCs w:val="12"/>
                <w:color w:val="auto"/>
              </w:rPr>
            </w:pPr>
          </w:p>
        </w:tc>
        <w:tc>
          <w:tcPr>
            <w:tcW w:w="13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(201,000)</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(348,000)</w:t>
            </w:r>
          </w:p>
        </w:tc>
      </w:tr>
      <w:tr>
        <w:trPr>
          <w:trHeight w:val="148"/>
        </w:trPr>
        <w:tc>
          <w:tcPr>
            <w:tcW w:w="66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Debt refinancing costs</w:t>
            </w:r>
          </w:p>
        </w:tc>
        <w:tc>
          <w:tcPr>
            <w:tcW w:w="200" w:type="dxa"/>
            <w:vAlign w:val="bottom"/>
            <w:shd w:val="clear" w:color="auto" w:fill="CFF0FC"/>
          </w:tcPr>
          <w:p>
            <w:pPr>
              <w:spacing w:after="0"/>
              <w:rPr>
                <w:sz w:val="12"/>
                <w:szCs w:val="12"/>
                <w:color w:val="auto"/>
              </w:rPr>
            </w:pPr>
          </w:p>
        </w:tc>
        <w:tc>
          <w:tcPr>
            <w:tcW w:w="14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2"/>
                <w:szCs w:val="12"/>
                <w:color w:val="auto"/>
              </w:rPr>
            </w:pPr>
          </w:p>
        </w:tc>
        <w:tc>
          <w:tcPr>
            <w:tcW w:w="13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(3,028)</w:t>
            </w: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r>
      <w:tr>
        <w:trPr>
          <w:trHeight w:val="148"/>
        </w:trPr>
        <w:tc>
          <w:tcPr>
            <w:tcW w:w="66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Payments for finance lease liabilities</w:t>
            </w:r>
          </w:p>
        </w:tc>
        <w:tc>
          <w:tcPr>
            <w:tcW w:w="200" w:type="dxa"/>
            <w:vAlign w:val="bottom"/>
          </w:tcPr>
          <w:p>
            <w:pPr>
              <w:spacing w:after="0"/>
              <w:rPr>
                <w:sz w:val="12"/>
                <w:szCs w:val="12"/>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(5,614)</w:t>
            </w:r>
          </w:p>
        </w:tc>
        <w:tc>
          <w:tcPr>
            <w:tcW w:w="100" w:type="dxa"/>
            <w:vAlign w:val="bottom"/>
          </w:tcPr>
          <w:p>
            <w:pPr>
              <w:spacing w:after="0"/>
              <w:rPr>
                <w:sz w:val="12"/>
                <w:szCs w:val="12"/>
                <w:color w:val="auto"/>
              </w:rPr>
            </w:pPr>
          </w:p>
        </w:tc>
        <w:tc>
          <w:tcPr>
            <w:tcW w:w="13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(5,707)</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(5,925)</w:t>
            </w:r>
          </w:p>
        </w:tc>
      </w:tr>
      <w:tr>
        <w:trPr>
          <w:trHeight w:val="149"/>
        </w:trPr>
        <w:tc>
          <w:tcPr>
            <w:tcW w:w="66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Proceeds from employee stock purchase plan and stock option exercises</w:t>
            </w:r>
          </w:p>
        </w:tc>
        <w:tc>
          <w:tcPr>
            <w:tcW w:w="200" w:type="dxa"/>
            <w:vAlign w:val="bottom"/>
            <w:shd w:val="clear" w:color="auto" w:fill="CFF0FC"/>
          </w:tcPr>
          <w:p>
            <w:pPr>
              <w:spacing w:after="0"/>
              <w:rPr>
                <w:sz w:val="12"/>
                <w:szCs w:val="12"/>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3,677</w:t>
            </w:r>
          </w:p>
        </w:tc>
        <w:tc>
          <w:tcPr>
            <w:tcW w:w="2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3,770</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4,223</w:t>
            </w:r>
          </w:p>
        </w:tc>
        <w:tc>
          <w:tcPr>
            <w:tcW w:w="100" w:type="dxa"/>
            <w:vAlign w:val="bottom"/>
            <w:shd w:val="clear" w:color="auto" w:fill="CFF0FC"/>
          </w:tcPr>
          <w:p>
            <w:pPr>
              <w:spacing w:after="0"/>
              <w:rPr>
                <w:sz w:val="12"/>
                <w:szCs w:val="12"/>
                <w:color w:val="auto"/>
              </w:rPr>
            </w:pPr>
          </w:p>
        </w:tc>
      </w:tr>
      <w:tr>
        <w:trPr>
          <w:trHeight w:val="148"/>
        </w:trPr>
        <w:tc>
          <w:tcPr>
            <w:tcW w:w="66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Tax withholdings on stock-based awards</w:t>
            </w:r>
          </w:p>
        </w:tc>
        <w:tc>
          <w:tcPr>
            <w:tcW w:w="200" w:type="dxa"/>
            <w:vAlign w:val="bottom"/>
          </w:tcPr>
          <w:p>
            <w:pPr>
              <w:spacing w:after="0"/>
              <w:rPr>
                <w:sz w:val="12"/>
                <w:szCs w:val="12"/>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(4,560)</w:t>
            </w:r>
          </w:p>
        </w:tc>
        <w:tc>
          <w:tcPr>
            <w:tcW w:w="100" w:type="dxa"/>
            <w:vAlign w:val="bottom"/>
          </w:tcPr>
          <w:p>
            <w:pPr>
              <w:spacing w:after="0"/>
              <w:rPr>
                <w:sz w:val="12"/>
                <w:szCs w:val="12"/>
                <w:color w:val="auto"/>
              </w:rPr>
            </w:pPr>
          </w:p>
        </w:tc>
        <w:tc>
          <w:tcPr>
            <w:tcW w:w="13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(6,289)</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(8,650)</w:t>
            </w:r>
          </w:p>
        </w:tc>
      </w:tr>
      <w:tr>
        <w:trPr>
          <w:trHeight w:val="148"/>
        </w:trPr>
        <w:tc>
          <w:tcPr>
            <w:tcW w:w="66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Proceeds from issuance of common stock</w:t>
            </w:r>
          </w:p>
        </w:tc>
        <w:tc>
          <w:tcPr>
            <w:tcW w:w="200" w:type="dxa"/>
            <w:vAlign w:val="bottom"/>
            <w:shd w:val="clear" w:color="auto" w:fill="CFF0FC"/>
          </w:tcPr>
          <w:p>
            <w:pPr>
              <w:spacing w:after="0"/>
              <w:rPr>
                <w:sz w:val="12"/>
                <w:szCs w:val="12"/>
                <w:color w:val="auto"/>
              </w:rPr>
            </w:pPr>
          </w:p>
        </w:tc>
        <w:tc>
          <w:tcPr>
            <w:tcW w:w="14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2"/>
                <w:szCs w:val="12"/>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2,500</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r>
      <w:tr>
        <w:trPr>
          <w:trHeight w:val="142"/>
        </w:trPr>
        <w:tc>
          <w:tcPr>
            <w:tcW w:w="6600" w:type="dxa"/>
            <w:vAlign w:val="bottom"/>
          </w:tcPr>
          <w:p>
            <w:pPr>
              <w:ind w:left="480"/>
              <w:spacing w:after="0" w:line="142" w:lineRule="exact"/>
              <w:rPr>
                <w:sz w:val="20"/>
                <w:szCs w:val="20"/>
                <w:color w:val="auto"/>
              </w:rPr>
            </w:pPr>
            <w:r>
              <w:rPr>
                <w:rFonts w:ascii="Times New Roman" w:cs="Times New Roman" w:eastAsia="Times New Roman" w:hAnsi="Times New Roman"/>
                <w:sz w:val="13"/>
                <w:szCs w:val="13"/>
                <w:color w:val="auto"/>
              </w:rPr>
              <w:t>Net cash used in financing activities</w:t>
            </w:r>
          </w:p>
        </w:tc>
        <w:tc>
          <w:tcPr>
            <w:tcW w:w="200" w:type="dxa"/>
            <w:vAlign w:val="bottom"/>
            <w:tcBorders>
              <w:top w:val="single" w:sz="8" w:color="auto"/>
              <w:bottom w:val="single" w:sz="8" w:color="auto"/>
            </w:tcBorders>
          </w:tcPr>
          <w:p>
            <w:pPr>
              <w:spacing w:after="0"/>
              <w:rPr>
                <w:sz w:val="12"/>
                <w:szCs w:val="12"/>
                <w:color w:val="auto"/>
              </w:rPr>
            </w:pPr>
          </w:p>
        </w:tc>
        <w:tc>
          <w:tcPr>
            <w:tcW w:w="11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(101,747)</w:t>
            </w:r>
          </w:p>
        </w:tc>
        <w:tc>
          <w:tcPr>
            <w:tcW w:w="2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2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(8,754)</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(85,352)</w:t>
            </w:r>
          </w:p>
        </w:tc>
        <w:tc>
          <w:tcPr>
            <w:tcW w:w="100" w:type="dxa"/>
            <w:vAlign w:val="bottom"/>
          </w:tcPr>
          <w:p>
            <w:pPr>
              <w:spacing w:after="0"/>
              <w:rPr>
                <w:sz w:val="12"/>
                <w:szCs w:val="12"/>
                <w:color w:val="auto"/>
              </w:rPr>
            </w:pPr>
          </w:p>
        </w:tc>
      </w:tr>
      <w:tr>
        <w:trPr>
          <w:trHeight w:val="142"/>
        </w:trPr>
        <w:tc>
          <w:tcPr>
            <w:tcW w:w="660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3"/>
                <w:szCs w:val="13"/>
                <w:color w:val="auto"/>
              </w:rPr>
              <w:t>Net increase (decrease) in cash, cash equivalents and restricted cash</w:t>
            </w:r>
          </w:p>
        </w:tc>
        <w:tc>
          <w:tcPr>
            <w:tcW w:w="200" w:type="dxa"/>
            <w:vAlign w:val="bottom"/>
            <w:shd w:val="clear" w:color="auto" w:fill="CFF0FC"/>
          </w:tcPr>
          <w:p>
            <w:pPr>
              <w:spacing w:after="0"/>
              <w:rPr>
                <w:sz w:val="12"/>
                <w:szCs w:val="12"/>
                <w:color w:val="auto"/>
              </w:rPr>
            </w:pPr>
          </w:p>
        </w:tc>
        <w:tc>
          <w:tcPr>
            <w:tcW w:w="11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87,747</w:t>
            </w:r>
          </w:p>
        </w:tc>
        <w:tc>
          <w:tcPr>
            <w:tcW w:w="2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45,016</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4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3"/>
                <w:szCs w:val="13"/>
                <w:color w:val="auto"/>
              </w:rPr>
              <w:t>(77,078)</w:t>
            </w:r>
          </w:p>
        </w:tc>
      </w:tr>
      <w:tr>
        <w:trPr>
          <w:trHeight w:val="148"/>
        </w:trPr>
        <w:tc>
          <w:tcPr>
            <w:tcW w:w="6600" w:type="dxa"/>
            <w:vAlign w:val="bottom"/>
          </w:tcPr>
          <w:p>
            <w:pPr>
              <w:spacing w:after="0"/>
              <w:rPr>
                <w:sz w:val="20"/>
                <w:szCs w:val="20"/>
                <w:color w:val="auto"/>
              </w:rPr>
            </w:pPr>
            <w:r>
              <w:rPr>
                <w:rFonts w:ascii="Times New Roman" w:cs="Times New Roman" w:eastAsia="Times New Roman" w:hAnsi="Times New Roman"/>
                <w:sz w:val="13"/>
                <w:szCs w:val="13"/>
                <w:color w:val="auto"/>
              </w:rPr>
              <w:t>Cash, cash equivalents and restricted cash at beginning of year</w:t>
            </w:r>
          </w:p>
        </w:tc>
        <w:tc>
          <w:tcPr>
            <w:tcW w:w="20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181,665</w:t>
            </w:r>
          </w:p>
        </w:tc>
        <w:tc>
          <w:tcPr>
            <w:tcW w:w="2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136,649</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213,727</w:t>
            </w:r>
          </w:p>
        </w:tc>
        <w:tc>
          <w:tcPr>
            <w:tcW w:w="100" w:type="dxa"/>
            <w:vAlign w:val="bottom"/>
          </w:tcPr>
          <w:p>
            <w:pPr>
              <w:spacing w:after="0"/>
              <w:rPr>
                <w:sz w:val="12"/>
                <w:szCs w:val="12"/>
                <w:color w:val="auto"/>
              </w:rPr>
            </w:pPr>
          </w:p>
        </w:tc>
      </w:tr>
      <w:tr>
        <w:trPr>
          <w:trHeight w:val="182"/>
        </w:trPr>
        <w:tc>
          <w:tcPr>
            <w:tcW w:w="660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3"/>
                <w:szCs w:val="13"/>
                <w:color w:val="auto"/>
              </w:rPr>
              <w:t>Cash, cash equivalents and restricted cash at end of year</w:t>
            </w:r>
          </w:p>
        </w:tc>
        <w:tc>
          <w:tcPr>
            <w:tcW w:w="200" w:type="dxa"/>
            <w:vAlign w:val="bottom"/>
            <w:shd w:val="clear" w:color="auto" w:fill="CFF0FC"/>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269,412</w:t>
            </w: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181,665</w:t>
            </w:r>
          </w:p>
        </w:tc>
        <w:tc>
          <w:tcPr>
            <w:tcW w:w="140" w:type="dxa"/>
            <w:vAlign w:val="bottom"/>
            <w:shd w:val="clear" w:color="auto" w:fill="CFF0FC"/>
          </w:tcPr>
          <w:p>
            <w:pPr>
              <w:spacing w:after="0"/>
              <w:rPr>
                <w:sz w:val="15"/>
                <w:szCs w:val="15"/>
                <w:color w:val="auto"/>
              </w:rPr>
            </w:pPr>
          </w:p>
        </w:tc>
        <w:tc>
          <w:tcPr>
            <w:tcW w:w="300" w:type="dxa"/>
            <w:vAlign w:val="bottom"/>
            <w:gridSpan w:val="2"/>
            <w:shd w:val="clear" w:color="auto" w:fill="CFF0FC"/>
          </w:tcPr>
          <w:p>
            <w:pPr>
              <w:jc w:val="right"/>
              <w:ind w:right="140"/>
              <w:spacing w:after="0" w:line="142" w:lineRule="exact"/>
              <w:rPr>
                <w:sz w:val="20"/>
                <w:szCs w:val="20"/>
                <w:color w:val="auto"/>
              </w:rPr>
            </w:pPr>
            <w:r>
              <w:rPr>
                <w:rFonts w:ascii="Times New Roman" w:cs="Times New Roman" w:eastAsia="Times New Roman" w:hAnsi="Times New Roman"/>
                <w:sz w:val="13"/>
                <w:szCs w:val="13"/>
                <w:color w:val="auto"/>
              </w:rPr>
              <w:t>$</w:t>
            </w:r>
          </w:p>
        </w:tc>
        <w:tc>
          <w:tcPr>
            <w:tcW w:w="11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136,649</w:t>
            </w:r>
          </w:p>
        </w:tc>
        <w:tc>
          <w:tcPr>
            <w:tcW w:w="100" w:type="dxa"/>
            <w:vAlign w:val="bottom"/>
            <w:shd w:val="clear" w:color="auto" w:fill="CFF0FC"/>
          </w:tcPr>
          <w:p>
            <w:pPr>
              <w:spacing w:after="0"/>
              <w:rPr>
                <w:sz w:val="15"/>
                <w:szCs w:val="15"/>
                <w:color w:val="auto"/>
              </w:rPr>
            </w:pPr>
          </w:p>
        </w:tc>
      </w:tr>
      <w:tr>
        <w:trPr>
          <w:trHeight w:val="129"/>
        </w:trPr>
        <w:tc>
          <w:tcPr>
            <w:tcW w:w="6600" w:type="dxa"/>
            <w:vAlign w:val="bottom"/>
            <w:tcBorders>
              <w:top w:val="single" w:sz="8" w:color="CFF0FC"/>
            </w:tcBorders>
          </w:tcPr>
          <w:p>
            <w:pPr>
              <w:spacing w:after="0" w:line="129" w:lineRule="exact"/>
              <w:rPr>
                <w:sz w:val="20"/>
                <w:szCs w:val="20"/>
                <w:color w:val="auto"/>
              </w:rPr>
            </w:pPr>
            <w:r>
              <w:rPr>
                <w:rFonts w:ascii="Times New Roman" w:cs="Times New Roman" w:eastAsia="Times New Roman" w:hAnsi="Times New Roman"/>
                <w:sz w:val="13"/>
                <w:szCs w:val="13"/>
                <w:color w:val="auto"/>
              </w:rPr>
              <w:t>Supplemental cash flow disclosures:</w:t>
            </w:r>
          </w:p>
        </w:tc>
        <w:tc>
          <w:tcPr>
            <w:tcW w:w="20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spacing w:after="0"/>
              <w:rPr>
                <w:sz w:val="11"/>
                <w:szCs w:val="11"/>
                <w:color w:val="auto"/>
              </w:rPr>
            </w:pPr>
          </w:p>
        </w:tc>
        <w:tc>
          <w:tcPr>
            <w:tcW w:w="260" w:type="dxa"/>
            <w:vAlign w:val="bottom"/>
            <w:tcBorders>
              <w:top w:val="single" w:sz="8" w:color="CFF0FC"/>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tcPr>
          <w:p>
            <w:pPr>
              <w:spacing w:after="0"/>
              <w:rPr>
                <w:sz w:val="11"/>
                <w:szCs w:val="11"/>
                <w:color w:val="auto"/>
              </w:rPr>
            </w:pPr>
          </w:p>
        </w:tc>
        <w:tc>
          <w:tcPr>
            <w:tcW w:w="140" w:type="dxa"/>
            <w:vAlign w:val="bottom"/>
            <w:tcBorders>
              <w:top w:val="single" w:sz="8" w:color="CFF0FC"/>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r>
      <w:tr>
        <w:trPr>
          <w:trHeight w:val="148"/>
        </w:trPr>
        <w:tc>
          <w:tcPr>
            <w:tcW w:w="66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Interest paid, net</w:t>
            </w:r>
          </w:p>
        </w:tc>
        <w:tc>
          <w:tcPr>
            <w:tcW w:w="200" w:type="dxa"/>
            <w:vAlign w:val="bottom"/>
            <w:shd w:val="clear" w:color="auto" w:fill="CFF0FC"/>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124,669</w:t>
            </w:r>
          </w:p>
        </w:tc>
        <w:tc>
          <w:tcPr>
            <w:tcW w:w="260" w:type="dxa"/>
            <w:vAlign w:val="bottom"/>
            <w:shd w:val="clear" w:color="auto" w:fill="CFF0FC"/>
          </w:tcPr>
          <w:p>
            <w:pPr>
              <w:spacing w:after="0"/>
              <w:rPr>
                <w:sz w:val="12"/>
                <w:szCs w:val="12"/>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138,618</w:t>
            </w:r>
          </w:p>
        </w:tc>
        <w:tc>
          <w:tcPr>
            <w:tcW w:w="140" w:type="dxa"/>
            <w:vAlign w:val="bottom"/>
            <w:shd w:val="clear" w:color="auto" w:fill="CFF0FC"/>
          </w:tcPr>
          <w:p>
            <w:pPr>
              <w:spacing w:after="0"/>
              <w:rPr>
                <w:sz w:val="12"/>
                <w:szCs w:val="12"/>
                <w:color w:val="auto"/>
              </w:rPr>
            </w:pPr>
          </w:p>
        </w:tc>
        <w:tc>
          <w:tcPr>
            <w:tcW w:w="3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142,114</w:t>
            </w:r>
          </w:p>
        </w:tc>
        <w:tc>
          <w:tcPr>
            <w:tcW w:w="100" w:type="dxa"/>
            <w:vAlign w:val="bottom"/>
            <w:shd w:val="clear" w:color="auto" w:fill="CFF0FC"/>
          </w:tcPr>
          <w:p>
            <w:pPr>
              <w:spacing w:after="0"/>
              <w:rPr>
                <w:sz w:val="12"/>
                <w:szCs w:val="12"/>
                <w:color w:val="auto"/>
              </w:rPr>
            </w:pPr>
          </w:p>
        </w:tc>
      </w:tr>
      <w:tr>
        <w:trPr>
          <w:trHeight w:val="148"/>
        </w:trPr>
        <w:tc>
          <w:tcPr>
            <w:tcW w:w="66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Capitalized interest</w:t>
            </w:r>
          </w:p>
        </w:tc>
        <w:tc>
          <w:tcPr>
            <w:tcW w:w="200" w:type="dxa"/>
            <w:vAlign w:val="bottom"/>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844</w:t>
            </w:r>
          </w:p>
        </w:tc>
        <w:tc>
          <w:tcPr>
            <w:tcW w:w="26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729</w:t>
            </w:r>
          </w:p>
        </w:tc>
        <w:tc>
          <w:tcPr>
            <w:tcW w:w="140" w:type="dxa"/>
            <w:vAlign w:val="bottom"/>
          </w:tcPr>
          <w:p>
            <w:pPr>
              <w:spacing w:after="0"/>
              <w:rPr>
                <w:sz w:val="12"/>
                <w:szCs w:val="12"/>
                <w:color w:val="auto"/>
              </w:rPr>
            </w:pP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1,260</w:t>
            </w:r>
          </w:p>
        </w:tc>
        <w:tc>
          <w:tcPr>
            <w:tcW w:w="100" w:type="dxa"/>
            <w:vAlign w:val="bottom"/>
          </w:tcPr>
          <w:p>
            <w:pPr>
              <w:spacing w:after="0"/>
              <w:rPr>
                <w:sz w:val="12"/>
                <w:szCs w:val="12"/>
                <w:color w:val="auto"/>
              </w:rPr>
            </w:pPr>
          </w:p>
        </w:tc>
      </w:tr>
      <w:tr>
        <w:trPr>
          <w:trHeight w:val="149"/>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Supplemental non-cash investing and financing activities disclosures:</w:t>
            </w:r>
          </w:p>
        </w:tc>
        <w:tc>
          <w:tcPr>
            <w:tcW w:w="20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74"/>
        </w:trPr>
        <w:tc>
          <w:tcPr>
            <w:tcW w:w="66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Accounts payable and accrued expenses for capital expenditures</w:t>
            </w:r>
          </w:p>
        </w:tc>
        <w:tc>
          <w:tcPr>
            <w:tcW w:w="200" w:type="dxa"/>
            <w:vAlign w:val="bottom"/>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15,714</w:t>
            </w:r>
          </w:p>
        </w:tc>
        <w:tc>
          <w:tcPr>
            <w:tcW w:w="26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13,005</w:t>
            </w:r>
          </w:p>
        </w:tc>
        <w:tc>
          <w:tcPr>
            <w:tcW w:w="140" w:type="dxa"/>
            <w:vAlign w:val="bottom"/>
          </w:tcPr>
          <w:p>
            <w:pPr>
              <w:spacing w:after="0"/>
              <w:rPr>
                <w:sz w:val="15"/>
                <w:szCs w:val="15"/>
                <w:color w:val="auto"/>
              </w:rPr>
            </w:pP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18,888</w:t>
            </w:r>
          </w:p>
        </w:tc>
        <w:tc>
          <w:tcPr>
            <w:tcW w:w="10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5053965</wp:posOffset>
            </wp:positionH>
            <wp:positionV relativeFrom="paragraph">
              <wp:posOffset>-2450465</wp:posOffset>
            </wp:positionV>
            <wp:extent cx="7747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-2450465</wp:posOffset>
            </wp:positionV>
            <wp:extent cx="6858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-2450465</wp:posOffset>
            </wp:positionV>
            <wp:extent cx="6858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-1678940</wp:posOffset>
            </wp:positionV>
            <wp:extent cx="7747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-1678940</wp:posOffset>
            </wp:positionV>
            <wp:extent cx="6858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-1678940</wp:posOffset>
            </wp:positionV>
            <wp:extent cx="6858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5041265</wp:posOffset>
            </wp:positionH>
            <wp:positionV relativeFrom="paragraph">
              <wp:posOffset>-928370</wp:posOffset>
            </wp:positionV>
            <wp:extent cx="102870" cy="13716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02870" cy="137160"/>
                    </a:xfrm>
                    <a:prstGeom prst="rect">
                      <a:avLst/>
                    </a:prstGeom>
                    <a:noFill/>
                  </pic:spPr>
                </pic:pic>
              </a:graphicData>
            </a:graphic>
          </wp:anchor>
        </w:drawing>
        <w:drawing>
          <wp:anchor simplePos="0" relativeHeight="251657728" behindDoc="1" locked="0" layoutInCell="0" allowOverlap="1">
            <wp:simplePos x="0" y="0"/>
            <wp:positionH relativeFrom="column">
              <wp:posOffset>6061710</wp:posOffset>
            </wp:positionH>
            <wp:positionV relativeFrom="paragraph">
              <wp:posOffset>-928370</wp:posOffset>
            </wp:positionV>
            <wp:extent cx="93980" cy="13716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93980" cy="137160"/>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-928370</wp:posOffset>
            </wp:positionV>
            <wp:extent cx="93980" cy="13716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93980" cy="13716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-513080</wp:posOffset>
            </wp:positionV>
            <wp:extent cx="7747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-495935</wp:posOffset>
            </wp:positionV>
            <wp:extent cx="7747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-513080</wp:posOffset>
            </wp:positionV>
            <wp:extent cx="6858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-495935</wp:posOffset>
            </wp:positionV>
            <wp:extent cx="6858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-513080</wp:posOffset>
            </wp:positionV>
            <wp:extent cx="6858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-495935</wp:posOffset>
            </wp:positionV>
            <wp:extent cx="6858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71" w:name="page72"/>
    <w:bookmarkEnd w:id="71"/>
    <w:p>
      <w:pPr>
        <w:ind w:left="3440"/>
        <w:spacing w:after="0"/>
        <w:rPr>
          <w:sz w:val="20"/>
          <w:szCs w:val="20"/>
          <w:color w:val="auto"/>
        </w:rPr>
      </w:pPr>
      <w:r>
        <w:rPr>
          <w:rFonts w:ascii="Times New Roman" w:cs="Times New Roman" w:eastAsia="Times New Roman" w:hAnsi="Times New Roman"/>
          <w:sz w:val="18"/>
          <w:szCs w:val="18"/>
          <w:b w:val="1"/>
          <w:bCs w:val="1"/>
          <w:color w:val="auto"/>
        </w:rPr>
        <w:t>PETCO HEALTH AND WELLNESS COMPANY, INC.</w:t>
      </w:r>
    </w:p>
    <w:p>
      <w:pPr>
        <w:spacing w:after="0" w:line="117"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Summary of Significant Accounting Policies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Description of Business and Basis of Presentation</w:t>
      </w:r>
    </w:p>
    <w:p>
      <w:pPr>
        <w:spacing w:after="0" w:line="22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Petco Health and Wellness Company, Inc. (together with its consolidated subsidiaries, the “Company”) is a leading pet specialty retailer focused on improving the lives of pets, pet parents, and its own partners with pet care centers in 50 states, the District of Columbia and Puerto Rico. The Company also offers an expanded range of consumables, supplies, and services through its petco.com website and mobile app.</w:t>
      </w:r>
    </w:p>
    <w:p>
      <w:pPr>
        <w:spacing w:after="0" w:line="176"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The Company was formed as a Delaware limited liability company under the name PET Acquisition LLC on November 19, 2015 as an acquisition entity controlled by Scooby LP, which was indirectly owned by funds affiliated with CVC Capital Partners, Canada Pension Plan Investment Board, a Canadian company (together with CVC Capital Partners, the “Sponsors”), and certain co-investors. On January 26, 2016, the Company completed a merger (the “Acquisition”) whereby Petco Holdings, Inc. converted from a Delaware corporation to a Delaware limited liability company and became a wholly owned subsidiary of the Company. Under this ownership structure, the Company had four classes of membership units: (i) Common Series A Units; (ii) Common Series B Units; (iii) Common Series C Units; and (iv) Voting Common Units.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229" w:lineRule="exact"/>
        <w:rPr>
          <w:sz w:val="20"/>
          <w:szCs w:val="20"/>
          <w:color w:val="auto"/>
        </w:rPr>
      </w:pPr>
    </w:p>
    <w:p>
      <w:pPr>
        <w:ind w:firstLine="666"/>
        <w:spacing w:after="0" w:line="266" w:lineRule="auto"/>
        <w:rPr>
          <w:sz w:val="20"/>
          <w:szCs w:val="20"/>
          <w:color w:val="auto"/>
        </w:rPr>
      </w:pPr>
      <w:r>
        <w:rPr>
          <w:rFonts w:ascii="Times New Roman" w:cs="Times New Roman" w:eastAsia="Times New Roman" w:hAnsi="Times New Roman"/>
          <w:sz w:val="18"/>
          <w:szCs w:val="18"/>
          <w:color w:val="auto"/>
        </w:rPr>
        <w:t>In January 2021, all of the Company’s Common Series A Units, Common Series B Units, and Common Series C Units were contributed from Scooby LP to a newly formed and wholly owned subsidiary, Scooby Aggregator, LP. The Company then converted to a Delaware corporation pursuant to a statutory conversion and changed its name to Petco Health and Wellness Company, Inc.</w:t>
      </w:r>
    </w:p>
    <w:p>
      <w:pPr>
        <w:spacing w:after="0" w:line="176" w:lineRule="exact"/>
        <w:rPr>
          <w:sz w:val="20"/>
          <w:szCs w:val="20"/>
          <w:color w:val="auto"/>
        </w:rPr>
      </w:pPr>
    </w:p>
    <w:p>
      <w:pPr>
        <w:ind w:right="680" w:firstLine="666"/>
        <w:spacing w:after="0" w:line="282" w:lineRule="auto"/>
        <w:rPr>
          <w:sz w:val="20"/>
          <w:szCs w:val="20"/>
          <w:color w:val="auto"/>
        </w:rPr>
      </w:pPr>
      <w:r>
        <w:rPr>
          <w:rFonts w:ascii="Times New Roman" w:cs="Times New Roman" w:eastAsia="Times New Roman" w:hAnsi="Times New Roman"/>
          <w:sz w:val="18"/>
          <w:szCs w:val="18"/>
          <w:color w:val="auto"/>
        </w:rPr>
        <w:t>In connection with the conversion and immediately prior to the Company’s initial public offering, all outstanding membership units were converted into shares of newly-issued Class A common stock, Class B-1 common stock, and Class B-2 common stock.</w:t>
      </w:r>
    </w:p>
    <w:p>
      <w:pPr>
        <w:spacing w:after="0" w:line="162"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The rights of the holders of Class A common stock and Class B-1 common stock are identical in all respects, except that Class B-1 common stock does not vote on the election or removal of the Company’s directors. The rights of the holders of Class B-2 common stock differ from the rights of the holders of Class A common stock and Class B-1 common stock in that holders of Class B-2 common stock only possess the right to vote on the election or removal of the Company’s directors.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229"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the accounts of Petco Health and Wellness Company, Inc., its wholly owned subsidiaries, and a variable interest entity for which it was the primary beneficiary prior to the transaction described below. All intercompany accounts and transactions have been eliminated in consolidation.</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72" w:name="page73"/>
    <w:bookmarkEnd w:id="72"/>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The preparation of these consolidated financial statements in conformity with accounting principles generally accepted in the United States of America ("GAAP") requires management to make estimates and assumptions that affect the reported amounts of assets and liabilities, disclosure of contingent assets and liabilities at the date of the consolidated financial statements and the reported amounts of revenues and expenses during the reporting periods. These estimates are based on information that is currently available and on various other assumptions that are believed to be reasonable under the circumstances. Actual results could vary from those estimates under different assumptions or conditions.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Fiscal Year</w:t>
      </w:r>
    </w:p>
    <w:p>
      <w:pPr>
        <w:spacing w:after="0" w:line="229"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The Company’s fiscal year ends on the Saturday closest to January 31, resulting in years of either 52 or 53 weeks. All references to a fiscal year refer to the fiscal year ending on the Saturday closest to January 31 of the following year. For example, references to fiscal 2025 refer to the fiscal year that began on February 2, 2025 and ended on January 31, 2026. Fiscal 2025 and fiscal 2024 included 52 weeks, and fiscal 2023 included 53 weeks.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Reporting</w:t>
      </w:r>
    </w:p>
    <w:p>
      <w:pPr>
        <w:spacing w:after="0" w:line="229"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Operating segments are components of an enterprise about which separate financial information is available and is evaluated regularly by the chief operating decision maker (“CODM”) in deciding how to allocate resources and in assessing performance. Petco derives substantially all of its revenue in North America and manages its business activities on a consolidated basis, resulting in a single operating and reportable segment. The Company operates as an omnichannel retailer designed to sell pet food, supplies and companion animals, and services to pet parents across pet care center and online channels.</w:t>
      </w:r>
    </w:p>
    <w:p>
      <w:pPr>
        <w:spacing w:after="0" w:line="180" w:lineRule="exact"/>
        <w:rPr>
          <w:sz w:val="20"/>
          <w:szCs w:val="20"/>
          <w:color w:val="auto"/>
        </w:rPr>
      </w:pPr>
    </w:p>
    <w:p>
      <w:pPr>
        <w:ind w:right="340" w:firstLine="509"/>
        <w:spacing w:after="0" w:line="266" w:lineRule="auto"/>
        <w:rPr>
          <w:sz w:val="20"/>
          <w:szCs w:val="20"/>
          <w:color w:val="auto"/>
        </w:rPr>
      </w:pPr>
      <w:r>
        <w:rPr>
          <w:rFonts w:ascii="Times New Roman" w:cs="Times New Roman" w:eastAsia="Times New Roman" w:hAnsi="Times New Roman"/>
          <w:sz w:val="18"/>
          <w:szCs w:val="18"/>
          <w:color w:val="auto"/>
        </w:rPr>
        <w:t>The Company's CODM is its chief executive officer ("CEO"), who assesses performance and decides how to allocate resources based on consolidated net income (loss) that is reported on the consolidated statement of operations. The CODM uses consolidated net income (loss) in deciding how to reinvest profits into the Company, including to its people, technology, and infrastructure.</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measure of segment assets is reported on the consolidated balance sheet as total assets.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229"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Cash equivalents represent all liquid investments with original maturities of three months or less and include money market mutual funds. The Company maintains cash and cash equivalent balances with financial institutions that exceed federally insured limits. The Company has not experienced any losses related to these balances. Included in the Company’s cash and cash equivalents are credit and debit card receivables from banks, which typically settle within five business days, of $39.4 million and $39.6 million at January 31, 2026 and February 1, 2025, respectively. The following table provides a reconciliation of cash, cash equivalents and restricted cash reported in the consolidated balance sheets to the total amounts reported in the consolidated statements of cash flows. Restricted cash is held in a trust used for certain employee benefit costs.</w:t>
      </w:r>
    </w:p>
    <w:p>
      <w:pPr>
        <w:spacing w:after="0" w:line="19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48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January 31,</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February 1,</w:t>
            </w:r>
          </w:p>
        </w:tc>
        <w:tc>
          <w:tcPr>
            <w:tcW w:w="0" w:type="dxa"/>
            <w:vAlign w:val="bottom"/>
          </w:tcPr>
          <w:p>
            <w:pPr>
              <w:spacing w:after="0"/>
              <w:rPr>
                <w:sz w:val="1"/>
                <w:szCs w:val="1"/>
                <w:color w:val="auto"/>
              </w:rPr>
            </w:pPr>
          </w:p>
        </w:tc>
      </w:tr>
      <w:tr>
        <w:trPr>
          <w:trHeight w:val="173"/>
        </w:trPr>
        <w:tc>
          <w:tcPr>
            <w:tcW w:w="48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2026</w:t>
            </w:r>
          </w:p>
        </w:tc>
        <w:tc>
          <w:tcPr>
            <w:tcW w:w="2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256,736</w:t>
            </w:r>
          </w:p>
        </w:tc>
        <w:tc>
          <w:tcPr>
            <w:tcW w:w="4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165,756</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 included in other current assets</w:t>
            </w:r>
          </w:p>
        </w:tc>
        <w:tc>
          <w:tcPr>
            <w:tcW w:w="13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12,676</w:t>
            </w: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15,909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4880" w:type="dxa"/>
            <w:vAlign w:val="bottom"/>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Total cash, cash equivalents and restricted cash in</w:t>
            </w:r>
          </w:p>
        </w:tc>
        <w:tc>
          <w:tcPr>
            <w:tcW w:w="1460" w:type="dxa"/>
            <w:vAlign w:val="bottom"/>
            <w:gridSpan w:val="2"/>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269,412</w:t>
            </w:r>
          </w:p>
        </w:tc>
        <w:tc>
          <w:tcPr>
            <w:tcW w:w="400" w:type="dxa"/>
            <w:vAlign w:val="bottom"/>
            <w:gridSpan w:val="2"/>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181,665</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4880" w:type="dxa"/>
            <w:vAlign w:val="bottom"/>
            <w:shd w:val="clear" w:color="auto" w:fill="CFF0FC"/>
          </w:tcPr>
          <w:p>
            <w:pPr>
              <w:ind w:left="140"/>
              <w:spacing w:after="0" w:line="194" w:lineRule="exact"/>
              <w:rPr>
                <w:sz w:val="20"/>
                <w:szCs w:val="20"/>
                <w:color w:val="auto"/>
              </w:rPr>
            </w:pPr>
            <w:r>
              <w:rPr>
                <w:rFonts w:ascii="Times New Roman" w:cs="Times New Roman" w:eastAsia="Times New Roman" w:hAnsi="Times New Roman"/>
                <w:sz w:val="18"/>
                <w:szCs w:val="18"/>
                <w:color w:val="auto"/>
              </w:rPr>
              <w:t>the statement of cash flows</w:t>
            </w:r>
          </w:p>
        </w:tc>
        <w:tc>
          <w:tcPr>
            <w:tcW w:w="1460" w:type="dxa"/>
            <w:vAlign w:val="bottom"/>
            <w:gridSpan w:val="2"/>
            <w:vMerge w:val="continue"/>
            <w:shd w:val="clear" w:color="auto" w:fill="CFF0FC"/>
          </w:tcPr>
          <w:p>
            <w:pPr>
              <w:spacing w:after="0"/>
              <w:rPr>
                <w:sz w:val="18"/>
                <w:szCs w:val="18"/>
                <w:color w:val="auto"/>
              </w:rPr>
            </w:pPr>
          </w:p>
        </w:tc>
        <w:tc>
          <w:tcPr>
            <w:tcW w:w="1080" w:type="dxa"/>
            <w:vAlign w:val="bottom"/>
            <w:vMerge w:val="continue"/>
            <w:shd w:val="clear" w:color="auto" w:fill="CFF0FC"/>
          </w:tcPr>
          <w:p>
            <w:pPr>
              <w:spacing w:after="0"/>
              <w:rPr>
                <w:sz w:val="18"/>
                <w:szCs w:val="18"/>
                <w:color w:val="auto"/>
              </w:rPr>
            </w:pPr>
          </w:p>
        </w:tc>
        <w:tc>
          <w:tcPr>
            <w:tcW w:w="400" w:type="dxa"/>
            <w:vAlign w:val="bottom"/>
            <w:gridSpan w:val="2"/>
            <w:vMerge w:val="continue"/>
            <w:shd w:val="clear" w:color="auto" w:fill="CFF0FC"/>
          </w:tcPr>
          <w:p>
            <w:pPr>
              <w:spacing w:after="0"/>
              <w:rPr>
                <w:sz w:val="18"/>
                <w:szCs w:val="18"/>
                <w:color w:val="auto"/>
              </w:rPr>
            </w:pPr>
          </w:p>
        </w:tc>
        <w:tc>
          <w:tcPr>
            <w:tcW w:w="1080" w:type="dxa"/>
            <w:vAlign w:val="bottom"/>
            <w:vMerge w:val="continue"/>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80" w:type="dxa"/>
            <w:vAlign w:val="bottom"/>
            <w:tcBorders>
              <w:top w:val="single" w:sz="8" w:color="CFF0FC"/>
            </w:tcBorders>
            <w:shd w:val="clear" w:color="auto" w:fill="CFF0FC"/>
          </w:tcPr>
          <w:p>
            <w:pPr>
              <w:spacing w:after="0" w:line="20" w:lineRule="exact"/>
              <w:rPr>
                <w:sz w:val="1"/>
                <w:szCs w:val="1"/>
                <w:color w:val="auto"/>
              </w:rPr>
            </w:pPr>
          </w:p>
        </w:tc>
        <w:tc>
          <w:tcPr>
            <w:tcW w:w="13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5440045</wp:posOffset>
            </wp:positionH>
            <wp:positionV relativeFrom="paragraph">
              <wp:posOffset>-24765</wp:posOffset>
            </wp:positionV>
            <wp:extent cx="5143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-8255</wp:posOffset>
            </wp:positionV>
            <wp:extent cx="51435"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-24765</wp:posOffset>
            </wp:positionV>
            <wp:extent cx="5143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-8255</wp:posOffset>
            </wp:positionV>
            <wp:extent cx="51435"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right="380" w:firstLine="509"/>
        <w:spacing w:after="0" w:line="282" w:lineRule="auto"/>
        <w:rPr>
          <w:sz w:val="20"/>
          <w:szCs w:val="20"/>
          <w:color w:val="auto"/>
        </w:rPr>
      </w:pPr>
      <w:r>
        <w:rPr>
          <w:rFonts w:ascii="Times New Roman" w:cs="Times New Roman" w:eastAsia="Times New Roman" w:hAnsi="Times New Roman"/>
          <w:sz w:val="18"/>
          <w:szCs w:val="18"/>
          <w:color w:val="auto"/>
        </w:rPr>
        <w:t>Outstanding checks in excess of funds on deposit (book overdrafts) totaled $20.7 million and $23.2 million at January 31, 2026 and February 1, 2025, respectively, and are reflected in accounts payable and book overdrafts in the consolidated balance sheets.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3" w:name="page74"/>
    <w:bookmarkEnd w:id="73"/>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Vendor Rebates and Allowances</w:t>
      </w:r>
    </w:p>
    <w:p>
      <w:pPr>
        <w:spacing w:after="0" w:line="229"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Most of the Company’s receivables are due from vendors. Receivables are stated net of an allowance for estimated credit losses, which is determined by continually evaluating individual receivables, the vendor’s financial condition and current and expected economic conditions. The additions and deductions to the allowance for estimated credit losses were not material for all periods presented.</w:t>
      </w:r>
    </w:p>
    <w:p>
      <w:pPr>
        <w:spacing w:after="0" w:line="176"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The Company receives vendor allowances, primarily in the form of cooperative advertising reimbursements, rebate incentives, prompt purchase discounts, and vendor compliance charges pursuant to agreements with certain vendors. Substantially all vendor allowances are initially deferred as a reduction of the cost of inventory purchased and recorded as a reduction to cost of sales in the consolidated statements of operations as the inventory is sold. Vendor rebates and allowances that are identified as specific, incremental and identifiable costs incurred by the Company in selling the vendors’ products are classified as a reduction of selling, general and administrative expenses in the consolidated statements of operations as the costs are incurred, as the related costs are also classified as selling, general and administrative expenses.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Merchandise Inventories</w:t>
      </w:r>
    </w:p>
    <w:p>
      <w:pPr>
        <w:spacing w:after="0" w:line="229" w:lineRule="exact"/>
        <w:rPr>
          <w:sz w:val="20"/>
          <w:szCs w:val="20"/>
          <w:color w:val="auto"/>
        </w:rPr>
      </w:pPr>
    </w:p>
    <w:p>
      <w:pPr>
        <w:ind w:right="140" w:firstLine="509"/>
        <w:spacing w:after="0" w:line="255" w:lineRule="auto"/>
        <w:rPr>
          <w:sz w:val="20"/>
          <w:szCs w:val="20"/>
          <w:color w:val="auto"/>
        </w:rPr>
      </w:pPr>
      <w:r>
        <w:rPr>
          <w:rFonts w:ascii="Times New Roman" w:cs="Times New Roman" w:eastAsia="Times New Roman" w:hAnsi="Times New Roman"/>
          <w:sz w:val="18"/>
          <w:szCs w:val="18"/>
          <w:color w:val="auto"/>
        </w:rPr>
        <w:t>Merchandise inventories represent finished goods and are stated at the lower of cost or net realizable value. Cost is determined by the average-cost method and includes inbound freight charges. Physical inventories are performed on a regular basis at pet care center locations and cycle counts are performed for inventory at distribution centers. During the period between counts at pet care center locations, the Company accrues for estimated losses related to inventory shrinkage based on historical inventory shrinkage results and current trends in the business. Inventory shrinkage may occur due to theft, loss, or the deterioration of goods, among other reasons. The Company assesses its inventory for estimated obsolescence or unmarketable inventory and writes down the difference between the cost of inventory and the estimated market value based upon historical mark-downs, supply on-hand and assumptions about future sales.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Fixed Assets</w:t>
      </w:r>
    </w:p>
    <w:p>
      <w:pPr>
        <w:spacing w:after="0" w:line="229"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Fixed assets are stated at cost or fair value as of the date of the Acquisition less accumulated depreciation and amortization. Pet care center facilities and equipment under finance leases are recorded at the present value of lease payments at the inception of the lease. Maintenance and minor repairs are expensed as incurred.</w:t>
      </w:r>
    </w:p>
    <w:p>
      <w:pPr>
        <w:spacing w:after="0" w:line="176"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Buildings, equipment, furniture and fixtures are depreciated using the straight-line method over the estimated useful life of the asset. Leasehold and building improvements are amortized using the straight-line method over the term of the lease or the estimated useful life of the improvement, whichever is shorter. Land is not depreciated. Amortization of fixed assets financed through finance leases is included in depreciation and amortization expense.</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Company’s fixed assets are generally depreciated or amortized using the following estimated useful lives:</w:t>
      </w:r>
    </w:p>
    <w:p>
      <w:pPr>
        <w:spacing w:after="0" w:line="270" w:lineRule="exact"/>
        <w:rPr>
          <w:sz w:val="20"/>
          <w:szCs w:val="20"/>
          <w:color w:val="auto"/>
        </w:rPr>
      </w:pPr>
    </w:p>
    <w:tbl>
      <w:tblPr>
        <w:tblLayout w:type="fixed"/>
        <w:tblInd w:w="2260" w:type="dxa"/>
        <w:tblCellMar>
          <w:top w:w="0" w:type="dxa"/>
          <w:left w:w="0" w:type="dxa"/>
          <w:bottom w:w="0" w:type="dxa"/>
          <w:right w:w="0" w:type="dxa"/>
        </w:tblCellMar>
      </w:tblPr>
      <w:tr>
        <w:trPr>
          <w:trHeight w:val="216"/>
        </w:trPr>
        <w:tc>
          <w:tcPr>
            <w:tcW w:w="4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Buildings</w:t>
            </w:r>
          </w:p>
        </w:tc>
        <w:tc>
          <w:tcPr>
            <w:tcW w:w="2740" w:type="dxa"/>
            <w:vAlign w:val="bottom"/>
            <w:shd w:val="clear" w:color="auto" w:fill="CFF0FC"/>
          </w:tcPr>
          <w:p>
            <w:pPr>
              <w:jc w:val="center"/>
              <w:ind w:left="590"/>
              <w:spacing w:after="0"/>
              <w:rPr>
                <w:sz w:val="20"/>
                <w:szCs w:val="20"/>
                <w:color w:val="auto"/>
              </w:rPr>
            </w:pPr>
            <w:r>
              <w:rPr>
                <w:rFonts w:ascii="Times New Roman" w:cs="Times New Roman" w:eastAsia="Times New Roman" w:hAnsi="Times New Roman"/>
                <w:sz w:val="18"/>
                <w:szCs w:val="18"/>
                <w:color w:val="auto"/>
              </w:rPr>
              <w:t>30 years</w:t>
            </w: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Equipment</w:t>
            </w:r>
          </w:p>
        </w:tc>
        <w:tc>
          <w:tcPr>
            <w:tcW w:w="274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w w:val="98"/>
              </w:rPr>
              <w:t>3 to 7 years</w:t>
            </w:r>
          </w:p>
        </w:tc>
      </w:tr>
      <w:tr>
        <w:trPr>
          <w:trHeight w:val="216"/>
        </w:trPr>
        <w:tc>
          <w:tcPr>
            <w:tcW w:w="4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2740" w:type="dxa"/>
            <w:vAlign w:val="bottom"/>
            <w:shd w:val="clear" w:color="auto" w:fill="CFF0FC"/>
          </w:tcPr>
          <w:p>
            <w:pPr>
              <w:jc w:val="center"/>
              <w:ind w:left="590"/>
              <w:spacing w:after="0"/>
              <w:rPr>
                <w:sz w:val="20"/>
                <w:szCs w:val="20"/>
                <w:color w:val="auto"/>
              </w:rPr>
            </w:pPr>
            <w:r>
              <w:rPr>
                <w:rFonts w:ascii="Times New Roman" w:cs="Times New Roman" w:eastAsia="Times New Roman" w:hAnsi="Times New Roman"/>
                <w:sz w:val="18"/>
                <w:szCs w:val="18"/>
                <w:color w:val="auto"/>
                <w:w w:val="98"/>
              </w:rPr>
              <w:t>4 to 7 years</w:t>
            </w:r>
          </w:p>
        </w:tc>
      </w:tr>
      <w:tr>
        <w:trPr>
          <w:trHeight w:val="234"/>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Leasehold and building improvements</w:t>
            </w:r>
          </w:p>
        </w:tc>
        <w:tc>
          <w:tcPr>
            <w:tcW w:w="274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rPr>
              <w:t>5 to 10 years</w:t>
            </w:r>
          </w:p>
        </w:tc>
      </w:tr>
    </w:tbl>
    <w:p>
      <w:pPr>
        <w:spacing w:after="0" w:line="200" w:lineRule="exact"/>
        <w:rPr>
          <w:sz w:val="20"/>
          <w:szCs w:val="20"/>
          <w:color w:val="auto"/>
        </w:rPr>
      </w:pPr>
    </w:p>
    <w:p>
      <w:pPr>
        <w:spacing w:after="0" w:line="222"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Costs incurred to develop internal-use software during the application development stage, which include costs to design the software configuration and interfaces, coding, installation and testing, are capitalized and reported at cost, less accumulated amortization. Costs of significant upgrades and enhancements that result in additional functionality are also capitalized, whereas costs incurred for maintenance and minor upgrades and enhancements are expensed as incurred. Software and capitalized development costs are included in the Company’s equipment fixed asset category and are amortized using the straight-line method over the estimated useful life of the asset.</w:t>
      </w: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4" w:name="page75"/>
    <w:bookmarkEnd w:id="74"/>
    <w:p>
      <w:pPr>
        <w:spacing w:after="0" w:line="194" w:lineRule="exact"/>
        <w:rPr>
          <w:sz w:val="20"/>
          <w:szCs w:val="20"/>
          <w:color w:val="auto"/>
        </w:rPr>
      </w:pPr>
    </w:p>
    <w:p>
      <w:pPr>
        <w:ind w:right="180" w:firstLine="509"/>
        <w:spacing w:after="0" w:line="258" w:lineRule="auto"/>
        <w:rPr>
          <w:sz w:val="20"/>
          <w:szCs w:val="20"/>
          <w:color w:val="auto"/>
        </w:rPr>
      </w:pPr>
      <w:r>
        <w:rPr>
          <w:rFonts w:ascii="Times New Roman" w:cs="Times New Roman" w:eastAsia="Times New Roman" w:hAnsi="Times New Roman"/>
          <w:sz w:val="18"/>
          <w:szCs w:val="18"/>
          <w:color w:val="auto"/>
        </w:rPr>
        <w:t>The Company assesses its fixed assets, including internal-use software, for impairment whenever events or changes in circumstances indicate that the carrying value may not be recoverable. The review of recoverability is based on estimates of the undiscounted future cash flows expected to be generated by an asset (or group of assets) at a pet care center level. If impairment exists due to the inability to recover the asset’s carrying value, impairment losses are measured as the amount by which the asset’s carrying value exceeds its fair value using the income approach and are recorded as a reduction of the related asset and charged to the consolidated statements of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229"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Goodwill represents the excess of the cost of acquired businesses over the fair value of the tangible and identifiable intangible assets acquired and liabilities assumed. Goodwill is not amortized. The Company performs its annual impairment test during the fourth quarter of each fiscal year, or more frequently when warranted by events or changes in circumstances. The Company has the option to first perform a qualitative assessment of its goodwill to determine whether it is necessary to perform a quantitative impairment test. If the Company concludes it is more likely than not that its goodwill is impaired, management evaluates the recoverability of goodwill by comparing the carrying value of the Company’s reporting unit to the fair value. An impairment charge is recorded for the amount by which the carrying amount exceeds the reporting unit’s fair value, with the loss recognized not exceeding the total amount of goodwill allocated to that reporting unit. The Company has one reporting unit. In cases where the quantitative test is performed, the fair value of the Company’s reporting unit is estimated by management with the assistance of a third party valuation firm. Significant assumptions used in the determination of fair value of the reporting unit generally include prospective financial information, discount rates, terminal growth rates and earnings multiples.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Trade Name</w:t>
      </w:r>
    </w:p>
    <w:p>
      <w:pPr>
        <w:spacing w:after="0" w:line="22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The Company’s trade name has an indefinite life. The Company performs its annual impairment test during the fourth quarter of each fiscal year, or more frequently when warranted by events or changes in circumstances. The Company also has the option to first perform a qualitative assessment of its trade name to determine whether it is necessary to perform a quantitative impairment test. In cases where the quantitative test is performed, the fair value of the Company’s trade name is estimated by management with the assistance of a third party valuation firm. Significant assumptions used in the determination of fair value of the trade name generally include prospective financial information, growth rates, discount rates and comparable multiples from publicly traded companies in similar industries. An impairment charge is recorded for the amount by which the carrying amount of the trade name exceeds its fair value.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Joint Ventures, Equity Method Investments, and Variable Interest Entities</w:t>
      </w:r>
    </w:p>
    <w:p>
      <w:pPr>
        <w:spacing w:after="0" w:line="229"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Investments for which the Company exercises significant influence but does not have control are accounted for under the equity method. Equity method investment activity is primarily related to a 50% joint venture with Grupo Gigante, S.A.B. de C.V. (the “Mexico joint venture”) to establish Petco locations in Mexico. The Company’s share of the investee’s results is presented as either income or loss from equity method investees in the accompanying consolidated statements of operations.</w:t>
      </w:r>
    </w:p>
    <w:p>
      <w:pPr>
        <w:spacing w:after="0" w:line="180"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The equity method of accounting is applicable for the Mexico joint venture as the Company does not own more than 50% of voting power or exercise control, but has significant influence over the operation and financial policies of the investee. The joint venture is not material to the Company’s consolidated financial statements.</w:t>
      </w:r>
    </w:p>
    <w:p>
      <w:pPr>
        <w:spacing w:after="0" w:line="176"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 Mexico joint venture purchases certain inventory items and pet care center assets from the Company. The Company also receives royalties from the Mexico joint venture for the use of its trademarks. Revenues generated from these transactions were not material in fiscal 2025, 2024, and 2023. The cumulative unrealized foreign currency adjustment on the translation of the Company’s investment in the joint venture is recorded in accumulated other comprehensive income (“AOCI”), net of tax in the consolidated balance sheets.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5" w:name="page76"/>
    <w:bookmarkEnd w:id="75"/>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229" w:lineRule="exact"/>
        <w:rPr>
          <w:sz w:val="20"/>
          <w:szCs w:val="20"/>
          <w:color w:val="auto"/>
        </w:rPr>
      </w:pPr>
    </w:p>
    <w:p>
      <w:pPr>
        <w:ind w:right="420" w:firstLine="509"/>
        <w:spacing w:after="0" w:line="261" w:lineRule="auto"/>
        <w:rPr>
          <w:sz w:val="20"/>
          <w:szCs w:val="20"/>
          <w:color w:val="auto"/>
        </w:rPr>
      </w:pPr>
      <w:r>
        <w:rPr>
          <w:rFonts w:ascii="Times New Roman" w:cs="Times New Roman" w:eastAsia="Times New Roman" w:hAnsi="Times New Roman"/>
          <w:sz w:val="18"/>
          <w:szCs w:val="18"/>
          <w:color w:val="auto"/>
        </w:rPr>
        <w:t>Fair value represents the price that would be received to sell an asset or paid to transfer a liability in an orderly transaction between market participants on the measurement date. When determining fair value, the Company considers the principal or most advantageous market in which the Company would conduct a transaction, in addition to the assumptions that market participants would use when pricing the related assets or liabilities, including non-performance risk.</w:t>
      </w:r>
    </w:p>
    <w:p>
      <w:pPr>
        <w:spacing w:after="0" w:line="180" w:lineRule="exact"/>
        <w:rPr>
          <w:sz w:val="20"/>
          <w:szCs w:val="20"/>
          <w:color w:val="auto"/>
        </w:rPr>
      </w:pPr>
    </w:p>
    <w:p>
      <w:pPr>
        <w:ind w:right="360" w:firstLine="509"/>
        <w:spacing w:after="0" w:line="266" w:lineRule="auto"/>
        <w:rPr>
          <w:sz w:val="20"/>
          <w:szCs w:val="20"/>
          <w:color w:val="auto"/>
        </w:rPr>
      </w:pPr>
      <w:r>
        <w:rPr>
          <w:rFonts w:ascii="Times New Roman" w:cs="Times New Roman" w:eastAsia="Times New Roman" w:hAnsi="Times New Roman"/>
          <w:sz w:val="18"/>
          <w:szCs w:val="18"/>
          <w:color w:val="auto"/>
        </w:rPr>
        <w:t>A three-level hierarchy prioritizes the inputs to valuation techniques used to measure fair value. The hierarchy gives the highest priority to unadjusted quoted prices in active markets for identical assets or liabilities (Level 1 measurements) and the lowest priority to measurements involving significant unobservable inputs (Level 3 measurements).</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three levels of the fair value hierarchy are as follows:</w:t>
      </w:r>
    </w:p>
    <w:p>
      <w:pPr>
        <w:spacing w:after="0" w:line="131" w:lineRule="exact"/>
        <w:rPr>
          <w:sz w:val="20"/>
          <w:szCs w:val="20"/>
          <w:color w:val="auto"/>
        </w:rPr>
      </w:pPr>
    </w:p>
    <w:p>
      <w:pPr>
        <w:ind w:left="1760" w:right="660" w:hanging="1133"/>
        <w:spacing w:after="0" w:line="282" w:lineRule="auto"/>
        <w:tabs>
          <w:tab w:leader="none" w:pos="1740" w:val="left"/>
        </w:tabs>
        <w:rPr>
          <w:sz w:val="20"/>
          <w:szCs w:val="20"/>
          <w:color w:val="auto"/>
        </w:rPr>
      </w:pPr>
      <w:r>
        <w:rPr>
          <w:rFonts w:ascii="Times New Roman" w:cs="Times New Roman" w:eastAsia="Times New Roman" w:hAnsi="Times New Roman"/>
          <w:sz w:val="18"/>
          <w:szCs w:val="18"/>
          <w:color w:val="auto"/>
        </w:rPr>
        <w:t>Level 1 —</w:t>
      </w:r>
      <w:r>
        <w:rPr>
          <w:sz w:val="20"/>
          <w:szCs w:val="20"/>
          <w:color w:val="auto"/>
        </w:rPr>
        <w:tab/>
      </w:r>
      <w:r>
        <w:rPr>
          <w:rFonts w:ascii="Times New Roman" w:cs="Times New Roman" w:eastAsia="Times New Roman" w:hAnsi="Times New Roman"/>
          <w:sz w:val="18"/>
          <w:szCs w:val="18"/>
          <w:color w:val="auto"/>
        </w:rPr>
        <w:t>Quoted prices (unadjusted) in active markets for identical assets or liabilities that the Company has the ability to access at the measurement date.</w:t>
      </w:r>
    </w:p>
    <w:p>
      <w:pPr>
        <w:spacing w:after="0" w:line="67" w:lineRule="exact"/>
        <w:rPr>
          <w:sz w:val="20"/>
          <w:szCs w:val="20"/>
          <w:color w:val="auto"/>
        </w:rPr>
      </w:pPr>
    </w:p>
    <w:p>
      <w:pPr>
        <w:ind w:left="1760" w:right="1020" w:hanging="1133"/>
        <w:spacing w:after="0" w:line="282" w:lineRule="auto"/>
        <w:tabs>
          <w:tab w:leader="none" w:pos="1740" w:val="left"/>
        </w:tabs>
        <w:rPr>
          <w:sz w:val="20"/>
          <w:szCs w:val="20"/>
          <w:color w:val="auto"/>
        </w:rPr>
      </w:pPr>
      <w:r>
        <w:rPr>
          <w:rFonts w:ascii="Times New Roman" w:cs="Times New Roman" w:eastAsia="Times New Roman" w:hAnsi="Times New Roman"/>
          <w:sz w:val="18"/>
          <w:szCs w:val="18"/>
          <w:color w:val="auto"/>
        </w:rPr>
        <w:t>Level 2 —</w:t>
      </w:r>
      <w:r>
        <w:rPr>
          <w:sz w:val="20"/>
          <w:szCs w:val="20"/>
          <w:color w:val="auto"/>
        </w:rPr>
        <w:tab/>
      </w:r>
      <w:r>
        <w:rPr>
          <w:rFonts w:ascii="Times New Roman" w:cs="Times New Roman" w:eastAsia="Times New Roman" w:hAnsi="Times New Roman"/>
          <w:sz w:val="18"/>
          <w:szCs w:val="18"/>
          <w:color w:val="auto"/>
        </w:rPr>
        <w:t>Inputs other than quoted prices included within Level 1 that are observable for the asset or liability, either directly or indirectly.</w:t>
      </w:r>
    </w:p>
    <w:p>
      <w:pPr>
        <w:spacing w:after="0" w:line="67" w:lineRule="exact"/>
        <w:rPr>
          <w:sz w:val="20"/>
          <w:szCs w:val="20"/>
          <w:color w:val="auto"/>
        </w:rPr>
      </w:pPr>
    </w:p>
    <w:p>
      <w:pPr>
        <w:ind w:left="620"/>
        <w:spacing w:after="0"/>
        <w:tabs>
          <w:tab w:leader="none" w:pos="1740" w:val="left"/>
        </w:tabs>
        <w:rPr>
          <w:sz w:val="20"/>
          <w:szCs w:val="20"/>
          <w:color w:val="auto"/>
        </w:rPr>
      </w:pPr>
      <w:r>
        <w:rPr>
          <w:rFonts w:ascii="Times New Roman" w:cs="Times New Roman" w:eastAsia="Times New Roman" w:hAnsi="Times New Roman"/>
          <w:sz w:val="18"/>
          <w:szCs w:val="18"/>
          <w:color w:val="auto"/>
        </w:rPr>
        <w:t>Level 3 —</w:t>
      </w:r>
      <w:r>
        <w:rPr>
          <w:sz w:val="20"/>
          <w:szCs w:val="20"/>
          <w:color w:val="auto"/>
        </w:rPr>
        <w:tab/>
      </w:r>
      <w:r>
        <w:rPr>
          <w:rFonts w:ascii="Times New Roman" w:cs="Times New Roman" w:eastAsia="Times New Roman" w:hAnsi="Times New Roman"/>
          <w:sz w:val="17"/>
          <w:szCs w:val="17"/>
          <w:color w:val="auto"/>
        </w:rPr>
        <w:t>Unobservable inputs for the asset or liability.</w:t>
      </w:r>
    </w:p>
    <w:p>
      <w:pPr>
        <w:spacing w:after="0" w:line="252"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The carrying amounts of the Company’s cash and cash equivalents, accounts receivable, trade accounts payable, and accrued expenses and other current liabilities approximate fair value based on the short-term maturities of these instruments.</w:t>
      </w:r>
    </w:p>
    <w:p>
      <w:pPr>
        <w:spacing w:after="0" w:line="162"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Refer to Notes 7, 8 and 9 for fair value disclosures for the senior secured term credit facilities, derivatives, and other types of assets and liabilities measured at fair value, respectively.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Self-Insurance Reserves</w:t>
      </w:r>
    </w:p>
    <w:p>
      <w:pPr>
        <w:spacing w:after="0" w:line="22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The Company is self-insured for workers’ compensation, general, auto liability and employee-related health care benefits, a portion of which is paid by the Company’s employees. Additionally, the Company has insurance coverage to limit its exposure above a per occurrence retention limit. These insurance policies have stated maximum coverage limits after which the Company bears the risk of loss. The Company determines the related liabilities using a number of factors including historical experience and trends related to claims and payments, information provided by the Company’s insurance brokers and actuaries, an estimate of incurred but not reported claims and industry experience and trends. Estimates of future claim costs for workers’ compensation, general, auto liability and employee-related health care benefits are recorded on an undiscounted basis. All estimates of ultimate loss and loss adjustment expense and resulting reserves are subject to inherent variability caused by the nature of the insurance process. The potentially long period of time between the reporting of an occurrence of an incident and the final resolution of a claim and the possible effects of changes in the legal, social and economic environments contribute to this variability. The Company reports self-insurance liabilities gross of insurance recoveries. As of January 31, 2026, insurance recoveries of $6.5 million and $12.6 million were recorded in other current assets and other long-term assets, respectively. As of February 1, 2025, insurance recoveries of $6.1 million and $13.2 million were recorded in other current assets and other long-term assets, respectively.</w:t>
      </w:r>
    </w:p>
    <w:p>
      <w:pPr>
        <w:spacing w:after="0" w:line="200" w:lineRule="exact"/>
        <w:rPr>
          <w:sz w:val="20"/>
          <w:szCs w:val="20"/>
          <w:color w:val="auto"/>
        </w:rPr>
      </w:pPr>
    </w:p>
    <w:p>
      <w:pPr>
        <w:spacing w:after="0" w:line="2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76" w:name="page77"/>
    <w:bookmarkEnd w:id="76"/>
    <w:p>
      <w:pPr>
        <w:spacing w:after="0" w:line="1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Self-insurance reserves are reflected in the consolidated balance sheets as follows (in thousands):</w:t>
      </w:r>
    </w:p>
    <w:p>
      <w:pPr>
        <w:spacing w:after="0" w:line="23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60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January 31,</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February 1,</w:t>
            </w:r>
          </w:p>
        </w:tc>
      </w:tr>
      <w:tr>
        <w:trPr>
          <w:trHeight w:val="173"/>
        </w:trPr>
        <w:tc>
          <w:tcPr>
            <w:tcW w:w="60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2026</w:t>
            </w:r>
          </w:p>
        </w:tc>
        <w:tc>
          <w:tcPr>
            <w:tcW w:w="2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5"/>
                <w:szCs w:val="15"/>
                <w:color w:val="auto"/>
              </w:rPr>
            </w:pPr>
          </w:p>
        </w:tc>
      </w:tr>
      <w:tr>
        <w:trPr>
          <w:trHeight w:val="209"/>
        </w:trPr>
        <w:tc>
          <w:tcPr>
            <w:tcW w:w="6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w:t>
            </w: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r>
      <w:tr>
        <w:trPr>
          <w:trHeight w:val="198"/>
        </w:trPr>
        <w:tc>
          <w:tcPr>
            <w:tcW w:w="6040" w:type="dxa"/>
            <w:vAlign w:val="bottom"/>
          </w:tcPr>
          <w:p>
            <w:pPr>
              <w:ind w:left="100"/>
              <w:spacing w:after="0" w:line="198" w:lineRule="exact"/>
              <w:rPr>
                <w:sz w:val="20"/>
                <w:szCs w:val="20"/>
                <w:color w:val="auto"/>
              </w:rPr>
            </w:pPr>
            <w:r>
              <w:rPr>
                <w:rFonts w:ascii="Times New Roman" w:cs="Times New Roman" w:eastAsia="Times New Roman" w:hAnsi="Times New Roman"/>
                <w:sz w:val="18"/>
                <w:szCs w:val="18"/>
                <w:color w:val="auto"/>
              </w:rPr>
              <w:t>Workers’ compensation and employee-related</w:t>
            </w: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234"/>
        </w:trPr>
        <w:tc>
          <w:tcPr>
            <w:tcW w:w="6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health care benefits reserves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39,634</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33,564</w:t>
            </w:r>
          </w:p>
        </w:tc>
        <w:tc>
          <w:tcPr>
            <w:tcW w:w="240" w:type="dxa"/>
            <w:vAlign w:val="bottom"/>
          </w:tcPr>
          <w:p>
            <w:pPr>
              <w:spacing w:after="0"/>
              <w:rPr>
                <w:sz w:val="20"/>
                <w:szCs w:val="20"/>
                <w:color w:val="auto"/>
              </w:rPr>
            </w:pPr>
          </w:p>
        </w:tc>
      </w:tr>
      <w:tr>
        <w:trPr>
          <w:trHeight w:val="216"/>
        </w:trPr>
        <w:tc>
          <w:tcPr>
            <w:tcW w:w="604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General and auto liability reserves</w:t>
            </w:r>
          </w:p>
        </w:tc>
        <w:tc>
          <w:tcPr>
            <w:tcW w:w="18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7,904</w:t>
            </w:r>
          </w:p>
        </w:tc>
        <w:tc>
          <w:tcPr>
            <w:tcW w:w="2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6,899</w:t>
            </w:r>
          </w:p>
        </w:tc>
        <w:tc>
          <w:tcPr>
            <w:tcW w:w="240" w:type="dxa"/>
            <w:vAlign w:val="bottom"/>
            <w:tcBorders>
              <w:bottom w:val="single" w:sz="8" w:color="CFF0FC"/>
            </w:tcBorders>
            <w:shd w:val="clear" w:color="auto" w:fill="CFF0FC"/>
          </w:tcPr>
          <w:p>
            <w:pPr>
              <w:spacing w:after="0"/>
              <w:rPr>
                <w:sz w:val="18"/>
                <w:szCs w:val="18"/>
                <w:color w:val="auto"/>
              </w:rPr>
            </w:pPr>
          </w:p>
        </w:tc>
      </w:tr>
      <w:tr>
        <w:trPr>
          <w:trHeight w:val="209"/>
        </w:trPr>
        <w:tc>
          <w:tcPr>
            <w:tcW w:w="60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47,538</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40,463</w:t>
            </w:r>
          </w:p>
        </w:tc>
        <w:tc>
          <w:tcPr>
            <w:tcW w:w="240" w:type="dxa"/>
            <w:vAlign w:val="bottom"/>
          </w:tcPr>
          <w:p>
            <w:pPr>
              <w:spacing w:after="0"/>
              <w:rPr>
                <w:sz w:val="18"/>
                <w:szCs w:val="18"/>
                <w:color w:val="auto"/>
              </w:rPr>
            </w:pPr>
          </w:p>
        </w:tc>
      </w:tr>
      <w:tr>
        <w:trPr>
          <w:trHeight w:val="20"/>
        </w:trPr>
        <w:tc>
          <w:tcPr>
            <w:tcW w:w="60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97"/>
        </w:trPr>
        <w:tc>
          <w:tcPr>
            <w:tcW w:w="604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Non-current:</w:t>
            </w:r>
          </w:p>
        </w:tc>
        <w:tc>
          <w:tcPr>
            <w:tcW w:w="18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r>
      <w:tr>
        <w:trPr>
          <w:trHeight w:val="216"/>
        </w:trPr>
        <w:tc>
          <w:tcPr>
            <w:tcW w:w="6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Workers’ compensation reserve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30,368</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32,253</w:t>
            </w:r>
          </w:p>
        </w:tc>
        <w:tc>
          <w:tcPr>
            <w:tcW w:w="240" w:type="dxa"/>
            <w:vAlign w:val="bottom"/>
          </w:tcPr>
          <w:p>
            <w:pPr>
              <w:spacing w:after="0"/>
              <w:rPr>
                <w:sz w:val="18"/>
                <w:szCs w:val="18"/>
                <w:color w:val="auto"/>
              </w:rPr>
            </w:pPr>
          </w:p>
        </w:tc>
      </w:tr>
      <w:tr>
        <w:trPr>
          <w:trHeight w:val="216"/>
        </w:trPr>
        <w:tc>
          <w:tcPr>
            <w:tcW w:w="604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General and auto liability reserves</w:t>
            </w:r>
          </w:p>
        </w:tc>
        <w:tc>
          <w:tcPr>
            <w:tcW w:w="18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17,912</w:t>
            </w:r>
          </w:p>
        </w:tc>
        <w:tc>
          <w:tcPr>
            <w:tcW w:w="2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18,550</w:t>
            </w:r>
          </w:p>
        </w:tc>
        <w:tc>
          <w:tcPr>
            <w:tcW w:w="240" w:type="dxa"/>
            <w:vAlign w:val="bottom"/>
            <w:tcBorders>
              <w:bottom w:val="single" w:sz="8" w:color="CFF0FC"/>
            </w:tcBorders>
            <w:shd w:val="clear" w:color="auto" w:fill="CFF0FC"/>
          </w:tcPr>
          <w:p>
            <w:pPr>
              <w:spacing w:after="0"/>
              <w:rPr>
                <w:sz w:val="18"/>
                <w:szCs w:val="18"/>
                <w:color w:val="auto"/>
              </w:rPr>
            </w:pPr>
          </w:p>
        </w:tc>
      </w:tr>
      <w:tr>
        <w:trPr>
          <w:trHeight w:val="210"/>
        </w:trPr>
        <w:tc>
          <w:tcPr>
            <w:tcW w:w="60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48,280</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50,803</w:t>
            </w:r>
          </w:p>
        </w:tc>
        <w:tc>
          <w:tcPr>
            <w:tcW w:w="240" w:type="dxa"/>
            <w:vAlign w:val="bottom"/>
          </w:tcPr>
          <w:p>
            <w:pPr>
              <w:spacing w:after="0"/>
              <w:rPr>
                <w:sz w:val="18"/>
                <w:szCs w:val="18"/>
                <w:color w:val="auto"/>
              </w:rPr>
            </w:pPr>
          </w:p>
        </w:tc>
      </w:tr>
      <w:tr>
        <w:trPr>
          <w:trHeight w:val="20"/>
        </w:trPr>
        <w:tc>
          <w:tcPr>
            <w:tcW w:w="60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5354320</wp:posOffset>
            </wp:positionH>
            <wp:positionV relativeFrom="paragraph">
              <wp:posOffset>-753745</wp:posOffset>
            </wp:positionV>
            <wp:extent cx="5143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-753745</wp:posOffset>
            </wp:positionV>
            <wp:extent cx="5143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-170815</wp:posOffset>
            </wp:positionV>
            <wp:extent cx="5143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-170815</wp:posOffset>
            </wp:positionV>
            <wp:extent cx="5143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 current portion and non-current portion of self-insurance reserves for workers’ compensation and employee-related health care benefits are included in accrued salaries and employee benefits and other long-term liabilities, respectively, in the consolidated balance sheets. The current portion and non-current portion of self-insurance reserves for general and auto liability costs are included in accrued expenses and other liabilities and other long-term liabilities, respectively, in the consolidated balance sheets.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21" w:lineRule="exact"/>
        <w:rPr>
          <w:sz w:val="20"/>
          <w:szCs w:val="20"/>
          <w:color w:val="auto"/>
        </w:rPr>
      </w:pPr>
    </w:p>
    <w:p>
      <w:pPr>
        <w:ind w:right="840" w:firstLine="509"/>
        <w:spacing w:after="0" w:line="282" w:lineRule="auto"/>
        <w:rPr>
          <w:sz w:val="20"/>
          <w:szCs w:val="20"/>
          <w:color w:val="auto"/>
        </w:rPr>
      </w:pPr>
      <w:r>
        <w:rPr>
          <w:rFonts w:ascii="Times New Roman" w:cs="Times New Roman" w:eastAsia="Times New Roman" w:hAnsi="Times New Roman"/>
          <w:sz w:val="18"/>
          <w:szCs w:val="18"/>
          <w:color w:val="auto"/>
        </w:rPr>
        <w:t>The Company recognizes revenue when control of promised goods or services is transferred to customers, in an amount that reflects the consideration to which the Company expects to be entitled to in exchange for those goods or services.</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See Note 2 for further discussion on revenue recognition.</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Sales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Cost of sales includes the following types of expenses:</w:t>
      </w:r>
    </w:p>
    <w:p>
      <w:pPr>
        <w:spacing w:after="0" w:line="117" w:lineRule="exact"/>
        <w:rPr>
          <w:sz w:val="20"/>
          <w:szCs w:val="20"/>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 costs (net of vendor rebates, allowances and discounts for products sold) including inbound freight charges;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Shipping and handling costs associated with sales to customers;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Freight costs associated with moving merchandise inventories;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Inventory shrinkage costs and write-downs;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Payroll and benefit costs of pet groomers, trainers, veterinarians and other direct costs of services;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operating the Company’s distribution centers including payroll and benefits, occupancy costs, and depreciation</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Selling, general and administrative expenses include the following types of expenses:</w:t>
      </w:r>
    </w:p>
    <w:p>
      <w:pPr>
        <w:spacing w:after="0" w:line="117" w:lineRule="exact"/>
        <w:rPr>
          <w:sz w:val="20"/>
          <w:szCs w:val="20"/>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Payroll and benefit costs of pet care center and corporate employees;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Occupancy and operating costs of pet care center and corporate facilities;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Depreciation and amortization related to pet care center and corporate assets;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 card fees;</w:t>
      </w:r>
    </w:p>
    <w:p>
      <w:pPr>
        <w:spacing w:after="0" w:line="200" w:lineRule="exact"/>
        <w:rPr>
          <w:sz w:val="20"/>
          <w:szCs w:val="20"/>
          <w:color w:val="auto"/>
        </w:rPr>
      </w:pPr>
    </w:p>
    <w:p>
      <w:pPr>
        <w:spacing w:after="0" w:line="24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440" w:right="439" w:bottom="1440" w:gutter="0" w:footer="0" w:header="0"/>
        </w:sectPr>
      </w:pPr>
    </w:p>
    <w:bookmarkStart w:id="77" w:name="page78"/>
    <w:bookmarkEnd w:id="77"/>
    <w:p>
      <w:pPr>
        <w:spacing w:after="0" w:line="86" w:lineRule="exact"/>
        <w:rPr>
          <w:sz w:val="20"/>
          <w:szCs w:val="20"/>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Store pre-opening and remodeling costs;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Advertising costs;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selling and administrative costs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Advertising Expenses</w:t>
      </w:r>
    </w:p>
    <w:p>
      <w:pPr>
        <w:spacing w:after="0" w:line="229"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The Company records advertising expense as incurred and classifies advertising costs within selling, general and administrative expenses in the consolidated statements of operations. The Company’s advertising expenses were $157.8 million, $156.1 million, and $194.4 million for fiscal 2025, 2024, and 2023,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29"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The majority of the Company’s lease liabilities are real estate operating leases from which pet care center, corporate support, and distribution operations are conducted. The Company also leases equipment, vehicles, and certain pet care center locations under finance leases. Lease terms generally do not include options to terminate the lease and only include options to extend the lease, if it is reasonably certain that the option will be exercised. For any lease with an initial term in excess of 12 months, the related lease assets and liabilities are recognized on the consolidated balance sheet as an operating or finance lease at the commencement of the lease agreement. Leases with an initial term of 12 months or less are not recorded on the consolidated balance sheet. The Company recognizes lease expense for these short-term leases on a straight-line basis over the lease term.</w:t>
      </w:r>
    </w:p>
    <w:p>
      <w:pPr>
        <w:spacing w:after="0" w:line="187"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Operating lease assets represent the right to use an underlying asset for the lease term, and operating lease liabilities represent the obligation to make lease payments arising from the lease. These assets and liabilities are recognized based on the present value of future payments over the lease term at the commencement date. The Company uses a collateralized incremental borrowing rate based on the information available at the commencement date to determine the present value of future payments. Operating leases typically require payment of certain non-lease costs, such as real estate taxes, common area maintenance and insurance. These components comprise the majority of the Company’s variable lease costs and are excluded from the present value of lease liabilities unless an event occurs that results in the payments becoming fixed for the remaining term. The remaining lease and non-lease components are accounted for together as a single lease component for all underlying classes of assets. Operating lease assets are adjusted for lease incentives, initial direct costs, impairments, and exit or disposal costs.</w:t>
      </w:r>
    </w:p>
    <w:p>
      <w:pPr>
        <w:spacing w:after="0" w:line="192"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Operating lease costs are recognized on a straight-line basis from the commencement date to the end of the lease term. Operating lease costs relating to distribution centers are included in cost of sales, and operating lease costs relating to pet care center and corporate support locations are included in selling, general and administrative expenses in the consolidated statements of operations. Amortization on finance lease right-of-use assets relating to distribution centers are included in cost of sales, and amortization on finance lease right-of-use assets relating to pet care center and corporate support locations are included in selling, general and administrative expenses in the consolidated statements of operations. Interest on finance lease right-of-use assets is included in interest expense in the consolidated statements of operations. The Company’s lease agreements do not contain any material residual value guarantees or material restrictive covenants.</w:t>
      </w:r>
    </w:p>
    <w:p>
      <w:pPr>
        <w:spacing w:after="0" w:line="18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Company records contractual obligations associated with the retirement of long-lived assets at their fair value at the time the obligations are incurred. These obligations arise from certain leases and primarily relate to the cost of removing leasehold improvements and certain fixtures from such lease sites and restoring the sites to their original condition. Upon initial recognition of the liability, that cost is capitalized as part of the related long-lived asset and depreciated on a straight-line basis over the estimated useful life of the asset. Activity related to these obligations in fiscal 2025, 2024, and 2023 was not material. The Company’s asset retirement obligation was $6.7 million and $6.4 million at January 31, 2026 and February 1, 2025, respectively, and is included in other long-term liabilities in the consolidated balance sheets.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8" w:name="page79"/>
    <w:bookmarkEnd w:id="78"/>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the consolidated statements of operations in the period that includes the enactment date. Valuation allowances, if any, are recorded against net deferred tax assets when it is considered more likely than not that some portion or all of a deferred tax asset may not be recoverable. Refer to Note 12 for further disclosures of the Company’s income taxes.</w:t>
      </w:r>
    </w:p>
    <w:p>
      <w:pPr>
        <w:spacing w:after="0" w:line="187"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Management regularly evaluates the likelihood of recognizing the benefit for income tax positions it has taken in various federal and state filings by considering relevant facts, circumstances and information available. The authoritative guidance clarifies the accounting for income taxes by prescribing a minimum probability threshold that a tax position must meet before a financial statement benefit is recognized. The minimum threshold for recognizing the benefit of a tax position is that such position is more likely than not to be sustained upon examination by the taxing authority, including resolution of any related appeals or litigation processes, and is based on the technical merits of the position.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Equity-Based Compensation</w:t>
      </w:r>
    </w:p>
    <w:p>
      <w:pPr>
        <w:spacing w:after="0" w:line="229" w:lineRule="exact"/>
        <w:rPr>
          <w:sz w:val="20"/>
          <w:szCs w:val="20"/>
          <w:color w:val="auto"/>
        </w:rPr>
      </w:pPr>
    </w:p>
    <w:p>
      <w:pPr>
        <w:ind w:right="380" w:firstLine="509"/>
        <w:spacing w:after="0" w:line="266" w:lineRule="auto"/>
        <w:rPr>
          <w:sz w:val="20"/>
          <w:szCs w:val="20"/>
          <w:color w:val="auto"/>
        </w:rPr>
      </w:pPr>
      <w:r>
        <w:rPr>
          <w:rFonts w:ascii="Times New Roman" w:cs="Times New Roman" w:eastAsia="Times New Roman" w:hAnsi="Times New Roman"/>
          <w:sz w:val="18"/>
          <w:szCs w:val="18"/>
          <w:color w:val="auto"/>
        </w:rPr>
        <w:t>Equity-based compensation cost is measured at the grant date, based on the estimated fair value of the award, and is recognized as expense on a straight-line basis over the vesting period of the award, which is also the requisite service period, based upon the corresponding vesting method and probability of vesting (Note 11). The Company recognizes the effect of pre-vesting forfeitures as they occur.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 Instruments</w:t>
      </w:r>
    </w:p>
    <w:p>
      <w:pPr>
        <w:spacing w:after="0" w:line="229"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In November 2022, the Company entered into a series of interest rate cap agreements to limit the maximum interest on a portion of the Company’s variable-rate debt and decrease its exposure to interest rate variability relating to the three-month Secured Overnight Financing Rate as published by CME Group ("Term SOFR"). The interest rate caps became effective December 30, 2022 and expired on December 31, 2024. The interest rate caps were accounted for as cash flow hedges, and changes in the fair value of the interest rate caps are reported as a component of accumulated other comprehensive income (loss) ("AOCI").</w:t>
      </w:r>
    </w:p>
    <w:p>
      <w:pPr>
        <w:spacing w:after="0" w:line="183"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The Company has also entered into interest rate collar and interest rate swap agreements to limit the maximum interest on a portion of the Company’s variable-rate debt and decrease its exposure to interest rate variability relating to three-month Term SOFR. The interest rate collars and swap are accounted for as cash flow hedges, and changes in the fair value are reported as a component of AOCI.</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Refer to Note 8 for further disclosures of the Company’s derivative instruments and hedging activities.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29"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In December 2023, the FASB issued Accounting Standards Update No. 2023-09 – Income Taxes (Topic 740): Improvements to Income Tax Disclosures, which is intended to enhance the transparency of income tax matters within financial statements. The ASU requires public business entities to disclose, on an annual basis, specific categories in the rate reconciliation and provide additional information for reconciling items that meet a specific quantitative threshold. The Company adopted this ASU effective January 31, 2026. The adoption did not have any impact on the Company’s consolidated financial statements, outside of the enhanced disclosures in Note 12, "Income Taxes."</w:t>
      </w:r>
    </w:p>
    <w:p>
      <w:pPr>
        <w:spacing w:after="0" w:line="183" w:lineRule="exact"/>
        <w:rPr>
          <w:sz w:val="20"/>
          <w:szCs w:val="20"/>
          <w:color w:val="auto"/>
        </w:rPr>
      </w:pPr>
    </w:p>
    <w:p>
      <w:pPr>
        <w:ind w:right="440" w:firstLine="509"/>
        <w:spacing w:after="0" w:line="266" w:lineRule="auto"/>
        <w:rPr>
          <w:sz w:val="20"/>
          <w:szCs w:val="20"/>
          <w:color w:val="auto"/>
        </w:rPr>
      </w:pPr>
      <w:r>
        <w:rPr>
          <w:rFonts w:ascii="Times New Roman" w:cs="Times New Roman" w:eastAsia="Times New Roman" w:hAnsi="Times New Roman"/>
          <w:sz w:val="18"/>
          <w:szCs w:val="18"/>
          <w:color w:val="auto"/>
        </w:rPr>
        <w:t>In November 2024, the FASB issued ASU No. 2024-03 – Income Statement (Subtopic 220-40): Expense Disaggregation Disclosures, which is intended to improve disclosures on the nature of expenses included in the income statement. The ASU requires additional disclosures about specific expense categories in the notes to financial statements at interim and annual reporting periods, including purchases of inventory, employee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9" w:name="page80"/>
    <w:bookmarkEnd w:id="79"/>
    <w:p>
      <w:pPr>
        <w:spacing w:after="0" w:line="194"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compensation, depreciation, amortization, and depletion. ASU 2024-03 will be effective for fiscal years beginning after December 15, 2026 and interim periods beginning after December 15, 2027. The Company is currently evaluating the impact of this accounting standard on the Company's consolidated financial statements and related disclosures.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Revenue Recognition</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 Company generates revenue primarily from the sale of products and services. Revenue is recognized when the control of promised goods or services is transferred to customers, in an amount that reflects the consideration to which the Company expects to be entitled to in exchange for those goods or services. Control refers to the ability of the customer to direct the use of, and obtain substantially all of, the remaining benefits from the goods or services.</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Net sales by product type and services were as follows (in thousands):</w:t>
      </w:r>
    </w:p>
    <w:p>
      <w:pPr>
        <w:spacing w:after="0" w:line="246"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58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years ended</w:t>
            </w:r>
          </w:p>
        </w:tc>
        <w:tc>
          <w:tcPr>
            <w:tcW w:w="2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17"/>
        </w:trPr>
        <w:tc>
          <w:tcPr>
            <w:tcW w:w="58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tcPr>
          <w:p>
            <w:pPr>
              <w:jc w:val="center"/>
              <w:ind w:right="78"/>
              <w:spacing w:after="0" w:line="118" w:lineRule="exact"/>
              <w:rPr>
                <w:sz w:val="20"/>
                <w:szCs w:val="20"/>
                <w:color w:val="auto"/>
              </w:rPr>
            </w:pPr>
            <w:r>
              <w:rPr>
                <w:rFonts w:ascii="Times New Roman" w:cs="Times New Roman" w:eastAsia="Times New Roman" w:hAnsi="Times New Roman"/>
                <w:sz w:val="13"/>
                <w:szCs w:val="13"/>
                <w:b w:val="1"/>
                <w:bCs w:val="1"/>
                <w:color w:val="auto"/>
              </w:rPr>
              <w:t>January 31,</w:t>
            </w: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tcPr>
          <w:p>
            <w:pPr>
              <w:jc w:val="center"/>
              <w:ind w:right="78"/>
              <w:spacing w:after="0" w:line="118" w:lineRule="exact"/>
              <w:rPr>
                <w:sz w:val="20"/>
                <w:szCs w:val="20"/>
                <w:color w:val="auto"/>
              </w:rPr>
            </w:pPr>
            <w:r>
              <w:rPr>
                <w:rFonts w:ascii="Times New Roman" w:cs="Times New Roman" w:eastAsia="Times New Roman" w:hAnsi="Times New Roman"/>
                <w:sz w:val="13"/>
                <w:szCs w:val="13"/>
                <w:b w:val="1"/>
                <w:bCs w:val="1"/>
                <w:color w:val="auto"/>
              </w:rPr>
              <w:t>February 1,</w:t>
            </w: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tcPr>
          <w:p>
            <w:pPr>
              <w:jc w:val="center"/>
              <w:ind w:right="98"/>
              <w:spacing w:after="0" w:line="118" w:lineRule="exact"/>
              <w:rPr>
                <w:sz w:val="20"/>
                <w:szCs w:val="20"/>
                <w:color w:val="auto"/>
              </w:rPr>
            </w:pPr>
            <w:r>
              <w:rPr>
                <w:rFonts w:ascii="Times New Roman" w:cs="Times New Roman" w:eastAsia="Times New Roman" w:hAnsi="Times New Roman"/>
                <w:sz w:val="13"/>
                <w:szCs w:val="13"/>
                <w:b w:val="1"/>
                <w:bCs w:val="1"/>
                <w:color w:val="auto"/>
              </w:rPr>
              <w:t>February 3,</w:t>
            </w:r>
          </w:p>
        </w:tc>
        <w:tc>
          <w:tcPr>
            <w:tcW w:w="100" w:type="dxa"/>
            <w:vAlign w:val="bottom"/>
          </w:tcPr>
          <w:p>
            <w:pPr>
              <w:spacing w:after="0"/>
              <w:rPr>
                <w:sz w:val="10"/>
                <w:szCs w:val="10"/>
                <w:color w:val="auto"/>
              </w:rPr>
            </w:pPr>
          </w:p>
        </w:tc>
      </w:tr>
      <w:tr>
        <w:trPr>
          <w:trHeight w:val="173"/>
        </w:trPr>
        <w:tc>
          <w:tcPr>
            <w:tcW w:w="58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rPr>
              <w:t>2026</w:t>
            </w:r>
          </w:p>
        </w:tc>
        <w:tc>
          <w:tcPr>
            <w:tcW w:w="2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2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r>
      <w:tr>
        <w:trPr>
          <w:trHeight w:val="142"/>
        </w:trPr>
        <w:tc>
          <w:tcPr>
            <w:tcW w:w="5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jc w:val="center"/>
              <w:ind w:right="78"/>
              <w:spacing w:after="0" w:line="142" w:lineRule="exact"/>
              <w:rPr>
                <w:sz w:val="20"/>
                <w:szCs w:val="20"/>
                <w:color w:val="auto"/>
              </w:rPr>
            </w:pPr>
            <w:r>
              <w:rPr>
                <w:rFonts w:ascii="Times New Roman" w:cs="Times New Roman" w:eastAsia="Times New Roman" w:hAnsi="Times New Roman"/>
                <w:sz w:val="14"/>
                <w:szCs w:val="14"/>
                <w:b w:val="1"/>
                <w:bCs w:val="1"/>
                <w:color w:val="auto"/>
              </w:rPr>
              <w:t>(52 weeks)</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jc w:val="center"/>
              <w:ind w:right="78"/>
              <w:spacing w:after="0" w:line="142" w:lineRule="exact"/>
              <w:rPr>
                <w:sz w:val="20"/>
                <w:szCs w:val="20"/>
                <w:color w:val="auto"/>
              </w:rPr>
            </w:pPr>
            <w:r>
              <w:rPr>
                <w:rFonts w:ascii="Times New Roman" w:cs="Times New Roman" w:eastAsia="Times New Roman" w:hAnsi="Times New Roman"/>
                <w:sz w:val="14"/>
                <w:szCs w:val="14"/>
                <w:b w:val="1"/>
                <w:bCs w:val="1"/>
                <w:color w:val="auto"/>
              </w:rPr>
              <w:t>(52 weeks)</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jc w:val="center"/>
              <w:ind w:right="98"/>
              <w:spacing w:after="0" w:line="142" w:lineRule="exact"/>
              <w:rPr>
                <w:sz w:val="20"/>
                <w:szCs w:val="20"/>
                <w:color w:val="auto"/>
              </w:rPr>
            </w:pPr>
            <w:r>
              <w:rPr>
                <w:rFonts w:ascii="Times New Roman" w:cs="Times New Roman" w:eastAsia="Times New Roman" w:hAnsi="Times New Roman"/>
                <w:sz w:val="14"/>
                <w:szCs w:val="14"/>
                <w:b w:val="1"/>
                <w:bCs w:val="1"/>
                <w:color w:val="auto"/>
              </w:rPr>
              <w:t>(53 weeks)</w:t>
            </w:r>
          </w:p>
        </w:tc>
        <w:tc>
          <w:tcPr>
            <w:tcW w:w="100" w:type="dxa"/>
            <w:vAlign w:val="bottom"/>
          </w:tcPr>
          <w:p>
            <w:pPr>
              <w:spacing w:after="0"/>
              <w:rPr>
                <w:sz w:val="12"/>
                <w:szCs w:val="12"/>
                <w:color w:val="auto"/>
              </w:rPr>
            </w:pPr>
          </w:p>
        </w:tc>
      </w:tr>
      <w:tr>
        <w:trPr>
          <w:trHeight w:val="216"/>
        </w:trPr>
        <w:tc>
          <w:tcPr>
            <w:tcW w:w="5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Consumables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2,968,321</w:t>
            </w:r>
          </w:p>
        </w:tc>
        <w:tc>
          <w:tcPr>
            <w:tcW w:w="42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3,043,178</w:t>
            </w:r>
          </w:p>
        </w:tc>
        <w:tc>
          <w:tcPr>
            <w:tcW w:w="4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3,063,845</w:t>
            </w:r>
          </w:p>
        </w:tc>
        <w:tc>
          <w:tcPr>
            <w:tcW w:w="100" w:type="dxa"/>
            <w:vAlign w:val="bottom"/>
            <w:shd w:val="clear" w:color="auto" w:fill="CFF0FC"/>
          </w:tcPr>
          <w:p>
            <w:pPr>
              <w:spacing w:after="0"/>
              <w:rPr>
                <w:sz w:val="18"/>
                <w:szCs w:val="18"/>
                <w:color w:val="auto"/>
              </w:rPr>
            </w:pPr>
          </w:p>
        </w:tc>
      </w:tr>
      <w:tr>
        <w:trPr>
          <w:trHeight w:val="216"/>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Supplies and companion animals</w:t>
            </w: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1,968,002</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2,073,713</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2,209,865</w:t>
            </w:r>
          </w:p>
        </w:tc>
        <w:tc>
          <w:tcPr>
            <w:tcW w:w="100" w:type="dxa"/>
            <w:vAlign w:val="bottom"/>
          </w:tcPr>
          <w:p>
            <w:pPr>
              <w:spacing w:after="0"/>
              <w:rPr>
                <w:sz w:val="18"/>
                <w:szCs w:val="18"/>
                <w:color w:val="auto"/>
              </w:rPr>
            </w:pPr>
          </w:p>
        </w:tc>
      </w:tr>
      <w:tr>
        <w:trPr>
          <w:trHeight w:val="216"/>
        </w:trPr>
        <w:tc>
          <w:tcPr>
            <w:tcW w:w="58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Services and other</w:t>
            </w:r>
          </w:p>
        </w:tc>
        <w:tc>
          <w:tcPr>
            <w:tcW w:w="16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1,025,144</w:t>
            </w:r>
          </w:p>
        </w:tc>
        <w:tc>
          <w:tcPr>
            <w:tcW w:w="2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999,571</w:t>
            </w:r>
          </w:p>
        </w:tc>
        <w:tc>
          <w:tcPr>
            <w:tcW w:w="2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981,574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Net sales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5,961,467</w:t>
            </w:r>
          </w:p>
        </w:tc>
        <w:tc>
          <w:tcPr>
            <w:tcW w:w="4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6,116,462</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6,255,284</w:t>
            </w:r>
          </w:p>
        </w:tc>
        <w:tc>
          <w:tcPr>
            <w:tcW w:w="100" w:type="dxa"/>
            <w:vAlign w:val="bottom"/>
          </w:tcPr>
          <w:p>
            <w:pPr>
              <w:spacing w:after="0"/>
              <w:rPr>
                <w:sz w:val="18"/>
                <w:szCs w:val="18"/>
                <w:color w:val="auto"/>
              </w:rPr>
            </w:pPr>
          </w:p>
        </w:tc>
      </w:tr>
      <w:tr>
        <w:trPr>
          <w:trHeight w:val="20"/>
        </w:trPr>
        <w:tc>
          <w:tcPr>
            <w:tcW w:w="58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4882515</wp:posOffset>
            </wp:positionH>
            <wp:positionV relativeFrom="paragraph">
              <wp:posOffset>-170815</wp:posOffset>
            </wp:positionV>
            <wp:extent cx="6858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-170815</wp:posOffset>
            </wp:positionV>
            <wp:extent cx="6032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-170815</wp:posOffset>
            </wp:positionV>
            <wp:extent cx="6032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45" w:lineRule="exact"/>
        <w:rPr>
          <w:sz w:val="20"/>
          <w:szCs w:val="20"/>
          <w:color w:val="auto"/>
        </w:rPr>
      </w:pPr>
    </w:p>
    <w:p>
      <w:pPr>
        <w:jc w:val="both"/>
        <w:ind w:right="200" w:firstLine="509"/>
        <w:spacing w:after="0" w:line="266" w:lineRule="auto"/>
        <w:rPr>
          <w:sz w:val="20"/>
          <w:szCs w:val="20"/>
          <w:color w:val="auto"/>
        </w:rPr>
      </w:pPr>
      <w:r>
        <w:rPr>
          <w:rFonts w:ascii="Times New Roman" w:cs="Times New Roman" w:eastAsia="Times New Roman" w:hAnsi="Times New Roman"/>
          <w:sz w:val="18"/>
          <w:szCs w:val="18"/>
          <w:color w:val="auto"/>
        </w:rPr>
        <w:t>For all contracts with customers, the Company evaluates whether it is the principal (i.e., to report revenue on a gross basis) or agent (i.e., to report revenue on a net basis). Generally, the Company is the principal in its contracts with customers as it controls the related goods or services before they are transferred to the customer.</w:t>
      </w:r>
    </w:p>
    <w:p>
      <w:pPr>
        <w:spacing w:after="0" w:line="176"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Revenue from product sales and services is reported net of sales refunds, which includes an estimate of future returns based on historical refund rates, with a corresponding reduction to cost of sales. The Company records a refund liability for sales returns, which is included in accrued expenses and other liabilities, and a corresponding asset for anticipated cost recoveries, which is included in other current assets. The Company’s refund liability and expected cost recoveries were not material as of January 31, 2026 and February 1, 2025. There is inherent judgment in estimating future refunds as they are susceptible to factors outside of the Company’s influence. The Company has significant experience in estimating the amount of refunds based primarily on historical data.</w:t>
      </w:r>
    </w:p>
    <w:p>
      <w:pPr>
        <w:spacing w:after="0" w:line="187"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Revenue is recognized net of applicable sales tax in the consolidated statements of operations. Sales tax liability is included in accrued expenses and other liabilities in the consolidated balance sheets.</w:t>
      </w:r>
    </w:p>
    <w:p>
      <w:pPr>
        <w:spacing w:after="0" w:line="162" w:lineRule="exact"/>
        <w:rPr>
          <w:sz w:val="20"/>
          <w:szCs w:val="20"/>
          <w:color w:val="auto"/>
        </w:rPr>
      </w:pPr>
    </w:p>
    <w:p>
      <w:pPr>
        <w:ind w:right="220" w:firstLine="509"/>
        <w:spacing w:after="0" w:line="271" w:lineRule="auto"/>
        <w:rPr>
          <w:sz w:val="20"/>
          <w:szCs w:val="20"/>
          <w:color w:val="auto"/>
        </w:rPr>
      </w:pPr>
      <w:r>
        <w:rPr>
          <w:rFonts w:ascii="Times New Roman" w:cs="Times New Roman" w:eastAsia="Times New Roman" w:hAnsi="Times New Roman"/>
          <w:sz w:val="18"/>
          <w:szCs w:val="18"/>
          <w:color w:val="auto"/>
        </w:rPr>
        <w:t>The Company’s contract liabilities primarily relate to product merchandise not yet delivered to customers, unredeemed gift cards, services not yet completed, and options that provide a material right to customers, such as its customer loyalty program. Substantially all of the Company’s remaining performance obligations have an original expected duration of one year or less. The Company did not have any material contract assets as of January 31, 2026 and February 1, 2025.</w:t>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Revenue</w:t>
      </w:r>
    </w:p>
    <w:p>
      <w:pPr>
        <w:spacing w:after="0" w:line="121" w:lineRule="exact"/>
        <w:rPr>
          <w:sz w:val="20"/>
          <w:szCs w:val="20"/>
          <w:color w:val="auto"/>
        </w:rPr>
      </w:pPr>
    </w:p>
    <w:p>
      <w:pPr>
        <w:ind w:right="320" w:firstLine="509"/>
        <w:spacing w:after="0" w:line="282" w:lineRule="auto"/>
        <w:rPr>
          <w:sz w:val="20"/>
          <w:szCs w:val="20"/>
          <w:color w:val="auto"/>
        </w:rPr>
      </w:pPr>
      <w:r>
        <w:rPr>
          <w:rFonts w:ascii="Times New Roman" w:cs="Times New Roman" w:eastAsia="Times New Roman" w:hAnsi="Times New Roman"/>
          <w:sz w:val="18"/>
          <w:szCs w:val="18"/>
          <w:color w:val="auto"/>
        </w:rPr>
        <w:t>Product revenue is recognized when control passes, which generally occurs at a point in time when the customer completes a transaction in a pet care center and receives the merchandise. The Company’s payment terms are typically at the point of sale.</w:t>
      </w:r>
    </w:p>
    <w:p>
      <w:pPr>
        <w:spacing w:after="0" w:line="162" w:lineRule="exact"/>
        <w:rPr>
          <w:sz w:val="20"/>
          <w:szCs w:val="20"/>
          <w:color w:val="auto"/>
        </w:rPr>
      </w:pPr>
    </w:p>
    <w:p>
      <w:pPr>
        <w:jc w:val="both"/>
        <w:ind w:right="140" w:firstLine="509"/>
        <w:spacing w:after="0" w:line="266" w:lineRule="auto"/>
        <w:rPr>
          <w:sz w:val="20"/>
          <w:szCs w:val="20"/>
          <w:color w:val="auto"/>
        </w:rPr>
      </w:pPr>
      <w:r>
        <w:rPr>
          <w:rFonts w:ascii="Times New Roman" w:cs="Times New Roman" w:eastAsia="Times New Roman" w:hAnsi="Times New Roman"/>
          <w:sz w:val="18"/>
          <w:szCs w:val="18"/>
          <w:color w:val="auto"/>
        </w:rPr>
        <w:t>For transactions initiated online, customers choose whether to have it delivered to them (using third-party parcel delivery companies) or to collect their merchandise from one of the Company’s pet care centers (“buy online, pick up in store,” or “BOPUS”). For items delivered directly to the customer, control passes and revenue is recognized when delivery has been completed to the customer, as title has passed and possession has transferred to</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0" w:name="page81"/>
    <w:bookmarkEnd w:id="80"/>
    <w:p>
      <w:pPr>
        <w:spacing w:after="0" w:line="194"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the customer. For BOPUS sales, control passes and revenue is recognized once the customer has taken possession of the merchandise. Any fees charged to customers for delivery (such as shipping and handling) are a component of the transaction price and are recognized when delivery has been completed. The Company uses delivery information to determine when to recognize revenue for products and any related delivery fee revenue.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Service Revenue</w:t>
      </w:r>
    </w:p>
    <w:p>
      <w:pPr>
        <w:spacing w:after="0" w:line="121"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The Company recognizes service revenue from pet grooming, veterinary care, and certain other in-store services once the service is completed, as this is when the customer has the ability to direct the use of and obtain the benefits of the service. Payment terms are typically at the point of sale, but may also occur upon completion of the service. The Company’s service contracts are primarily with retail and veterinary customers.</w:t>
      </w:r>
    </w:p>
    <w:p>
      <w:pPr>
        <w:spacing w:after="0" w:line="176" w:lineRule="exact"/>
        <w:rPr>
          <w:sz w:val="20"/>
          <w:szCs w:val="20"/>
          <w:color w:val="auto"/>
        </w:rPr>
      </w:pPr>
    </w:p>
    <w:p>
      <w:pPr>
        <w:ind w:right="740" w:firstLine="509"/>
        <w:spacing w:after="0" w:line="282" w:lineRule="auto"/>
        <w:rPr>
          <w:sz w:val="20"/>
          <w:szCs w:val="20"/>
          <w:color w:val="auto"/>
        </w:rPr>
      </w:pPr>
      <w:r>
        <w:rPr>
          <w:rFonts w:ascii="Times New Roman" w:cs="Times New Roman" w:eastAsia="Times New Roman" w:hAnsi="Times New Roman"/>
          <w:sz w:val="18"/>
          <w:szCs w:val="18"/>
          <w:color w:val="auto"/>
        </w:rPr>
        <w:t>The Company recognizes service revenue from dog training packages ratably over the life of the contract, as this pattern best depicts when customers use the services provided and, accordingly, when delivery of the performance obligation occurs.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Gift Cards</w:t>
      </w:r>
    </w:p>
    <w:p>
      <w:pPr>
        <w:spacing w:after="0" w:line="121" w:lineRule="exact"/>
        <w:rPr>
          <w:sz w:val="20"/>
          <w:szCs w:val="20"/>
          <w:color w:val="auto"/>
        </w:rPr>
      </w:pPr>
    </w:p>
    <w:p>
      <w:pPr>
        <w:jc w:val="both"/>
        <w:ind w:right="60" w:firstLine="509"/>
        <w:spacing w:after="0" w:line="261" w:lineRule="auto"/>
        <w:rPr>
          <w:sz w:val="20"/>
          <w:szCs w:val="20"/>
          <w:color w:val="auto"/>
        </w:rPr>
      </w:pPr>
      <w:r>
        <w:rPr>
          <w:rFonts w:ascii="Times New Roman" w:cs="Times New Roman" w:eastAsia="Times New Roman" w:hAnsi="Times New Roman"/>
          <w:sz w:val="18"/>
          <w:szCs w:val="18"/>
          <w:color w:val="auto"/>
        </w:rPr>
        <w:t>The Company sells its own gift cards to customers in its pet care centers, online, and through select third parties. The Company recognizes revenue from gift cards when gift cards are redeemed by the customer. The Company also recognizes revenue for the portion of gift card values that is not expected to be redeemed (“breakage”). Breakage is estimated based upon historical redemption patterns and other factors, such as laws and regulations applicable to each jurisdiction. There is judgment in assessing redemption patterns and the ultimate value of gift cards that is not expected to be redeemed.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Incentives and Customer Loyalty Program</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Company has a customer loyalty program that allows members to earn points for each qualifying purchase. Points earned enable members to receive a certificate that may be redeemed on future purchases generally within 45 days of the issuance date. The loyalty program points represent customer options that provide a material right and, accordingly, are performance obligations for each applicable contract. The relative standalone selling price of points earned by loyalty program members is deferred and included as part of accrued expenses and other liabilities in the consolidated balance sheets based on the amount of points that are projected to be redeemed, subject to breakage. The Company’s contract liabilities for its customer loyalty program were not material as of January 31, 2026 and February 1, 2025. Revenue is recognized for these performance obligations as actual redemptions occur and the Company updates its estimate of the amount of points that are projected to be redeemed. There is judgment in assessing redemption patterns and the ultimate value of points that is not expected to be redeemed.</w:t>
      </w:r>
    </w:p>
    <w:p>
      <w:pPr>
        <w:spacing w:after="0" w:line="192" w:lineRule="exact"/>
        <w:rPr>
          <w:sz w:val="20"/>
          <w:szCs w:val="20"/>
          <w:color w:val="auto"/>
        </w:rPr>
      </w:pPr>
    </w:p>
    <w:p>
      <w:pPr>
        <w:ind w:right="300" w:firstLine="509"/>
        <w:spacing w:after="0" w:line="261" w:lineRule="auto"/>
        <w:rPr>
          <w:sz w:val="20"/>
          <w:szCs w:val="20"/>
          <w:color w:val="auto"/>
        </w:rPr>
      </w:pPr>
      <w:r>
        <w:rPr>
          <w:rFonts w:ascii="Times New Roman" w:cs="Times New Roman" w:eastAsia="Times New Roman" w:hAnsi="Times New Roman"/>
          <w:sz w:val="18"/>
          <w:szCs w:val="18"/>
          <w:color w:val="auto"/>
        </w:rPr>
        <w:t>The Company issues coupons that are not earned in conjunction with a purchase of a product or service, typically as part of targeted marketing activities. Additionally, the Company issues coupons in conjunction with the purchase of products or services. However, these coupons typically do not materially exceed the range of discounts given to similar customers and do not confer a material right. In both of these cases, these are not performance obligations and are instead recognized as a reduction of the transaction price when redeemed by the customer.</w:t>
      </w:r>
    </w:p>
    <w:p>
      <w:pPr>
        <w:spacing w:after="0" w:line="180"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The Company sells annual membership plans that include access to benefits such as vet exams, percentage discounts on certain products and services and additional loyalty program points. The Company allocates the transaction price to all performance obligations identified in the contract based on their relative fair values. Performance obligations provided over the term of the contract are recognized as revenue on a usage basis. This involves the estimation of expected usage patterns, primarily derived from historical information.</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Acquisitions</w:t>
      </w:r>
    </w:p>
    <w:p>
      <w:pPr>
        <w:spacing w:after="0" w:line="121"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During fiscal 2023, the Company completed acquisitions of small, regional veterinary businesses for total consideration of approximately $10.0 million. Noncash consideration was not material. Net tangible and identifiable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1" w:name="page82"/>
    <w:bookmarkEnd w:id="81"/>
    <w:p>
      <w:pPr>
        <w:spacing w:after="0" w:line="86"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intangible assets acquired and liabilities assumed were not material. The acquisitions resulted in the recognition of $10.0 million of goodwill. The tax-deductible portion of goodwill in these acquisitions was $10.0 million. There were no acquisitions of veterinary businesses during fiscal 2024 and fiscal 2025.</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Pro forma results of operations for the acquisitions have not been presented because they are not material to the consolidated results of operations.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Composition of Balance Sheet Accounts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Fixed Assets, Net</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Fixed assets, net, consisted of the following (in thousands):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spacing w:after="0"/>
              <w:rPr>
                <w:sz w:val="13"/>
                <w:szCs w:val="13"/>
                <w:color w:val="auto"/>
              </w:rPr>
            </w:pPr>
          </w:p>
        </w:tc>
        <w:tc>
          <w:tcPr>
            <w:tcW w:w="57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January 31,</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80" w:type="dxa"/>
            <w:vAlign w:val="bottom"/>
            <w:gridSpan w:val="3"/>
          </w:tcPr>
          <w:p>
            <w:pPr>
              <w:jc w:val="center"/>
              <w:ind w:right="1400"/>
              <w:spacing w:after="0"/>
              <w:rPr>
                <w:sz w:val="20"/>
                <w:szCs w:val="20"/>
                <w:color w:val="auto"/>
              </w:rPr>
            </w:pPr>
            <w:r>
              <w:rPr>
                <w:rFonts w:ascii="Times New Roman" w:cs="Times New Roman" w:eastAsia="Times New Roman" w:hAnsi="Times New Roman"/>
                <w:sz w:val="14"/>
                <w:szCs w:val="14"/>
                <w:b w:val="1"/>
                <w:bCs w:val="1"/>
                <w:color w:val="auto"/>
              </w:rPr>
              <w:t>February 1,</w:t>
            </w:r>
          </w:p>
        </w:tc>
        <w:tc>
          <w:tcPr>
            <w:tcW w:w="0" w:type="dxa"/>
            <w:vAlign w:val="bottom"/>
          </w:tcPr>
          <w:p>
            <w:pPr>
              <w:spacing w:after="0"/>
              <w:rPr>
                <w:sz w:val="1"/>
                <w:szCs w:val="1"/>
                <w:color w:val="auto"/>
              </w:rPr>
            </w:pPr>
          </w:p>
        </w:tc>
      </w:tr>
      <w:tr>
        <w:trPr>
          <w:trHeight w:val="173"/>
        </w:trPr>
        <w:tc>
          <w:tcPr>
            <w:tcW w:w="1140" w:type="dxa"/>
            <w:vAlign w:val="bottom"/>
          </w:tcPr>
          <w:p>
            <w:pPr>
              <w:spacing w:after="0"/>
              <w:rPr>
                <w:sz w:val="15"/>
                <w:szCs w:val="15"/>
                <w:color w:val="auto"/>
              </w:rPr>
            </w:pPr>
          </w:p>
        </w:tc>
        <w:tc>
          <w:tcPr>
            <w:tcW w:w="57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114"/>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114"/>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5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Equipment</w:t>
            </w:r>
          </w:p>
        </w:tc>
        <w:tc>
          <w:tcPr>
            <w:tcW w:w="6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1,116,016</w:t>
            </w:r>
          </w:p>
        </w:tc>
        <w:tc>
          <w:tcPr>
            <w:tcW w:w="140" w:type="dxa"/>
            <w:vAlign w:val="bottom"/>
            <w:shd w:val="clear" w:color="auto" w:fill="CFF0FC"/>
          </w:tcPr>
          <w:p>
            <w:pPr>
              <w:spacing w:after="0"/>
              <w:rPr>
                <w:sz w:val="18"/>
                <w:szCs w:val="18"/>
                <w:color w:val="auto"/>
              </w:rPr>
            </w:pPr>
          </w:p>
        </w:tc>
        <w:tc>
          <w:tcPr>
            <w:tcW w:w="2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1,046,993</w:t>
            </w: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813,911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779,757</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5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4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437,500</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426,113</w:t>
            </w: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Buildings and related improvements</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10,663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12,816</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57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Land</w:t>
            </w:r>
          </w:p>
        </w:tc>
        <w:tc>
          <w:tcPr>
            <w:tcW w:w="4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80" w:type="dxa"/>
            <w:vAlign w:val="bottom"/>
            <w:tcBorders>
              <w:bottom w:val="single" w:sz="8" w:color="CFF0FC"/>
            </w:tcBorders>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5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2,378,208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2,265,915</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5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4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(1,722,060)</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(1,540,477)</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720" w:type="dxa"/>
            <w:vAlign w:val="bottom"/>
            <w:shd w:val="clear" w:color="auto" w:fill="CFF0FC"/>
          </w:tcPr>
          <w:p>
            <w:pPr>
              <w:spacing w:after="0" w:line="20" w:lineRule="exact"/>
              <w:rPr>
                <w:sz w:val="1"/>
                <w:szCs w:val="1"/>
                <w:color w:val="auto"/>
              </w:rPr>
            </w:pPr>
          </w:p>
        </w:tc>
        <w:tc>
          <w:tcPr>
            <w:tcW w:w="4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40" w:type="dxa"/>
            <w:vAlign w:val="bottom"/>
          </w:tcPr>
          <w:p>
            <w:pPr>
              <w:spacing w:after="0"/>
              <w:rPr>
                <w:sz w:val="18"/>
                <w:szCs w:val="18"/>
                <w:color w:val="auto"/>
              </w:rPr>
            </w:pPr>
          </w:p>
        </w:tc>
        <w:tc>
          <w:tcPr>
            <w:tcW w:w="572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656,148</w:t>
            </w:r>
          </w:p>
        </w:tc>
        <w:tc>
          <w:tcPr>
            <w:tcW w:w="140" w:type="dxa"/>
            <w:vAlign w:val="bottom"/>
          </w:tcPr>
          <w:p>
            <w:pPr>
              <w:spacing w:after="0"/>
              <w:rPr>
                <w:sz w:val="18"/>
                <w:szCs w:val="18"/>
                <w:color w:val="auto"/>
              </w:rPr>
            </w:pP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725,438</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Accrued Salaries and Employee Benefits</w:t>
            </w:r>
          </w:p>
        </w:tc>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6860" w:type="dxa"/>
            <w:vAlign w:val="bottom"/>
            <w:gridSpan w:val="2"/>
            <w:vMerge w:val="continue"/>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8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Accrued salaries and employee benefits consisted of the following (in thousands):</w:t>
            </w: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1140" w:type="dxa"/>
            <w:vAlign w:val="bottom"/>
          </w:tcPr>
          <w:p>
            <w:pPr>
              <w:spacing w:after="0"/>
              <w:rPr>
                <w:sz w:val="24"/>
                <w:szCs w:val="24"/>
                <w:color w:val="auto"/>
              </w:rPr>
            </w:pPr>
          </w:p>
        </w:tc>
        <w:tc>
          <w:tcPr>
            <w:tcW w:w="5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January 31,</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80" w:type="dxa"/>
            <w:vAlign w:val="bottom"/>
            <w:gridSpan w:val="3"/>
          </w:tcPr>
          <w:p>
            <w:pPr>
              <w:jc w:val="center"/>
              <w:ind w:right="1400"/>
              <w:spacing w:after="0"/>
              <w:rPr>
                <w:sz w:val="20"/>
                <w:szCs w:val="20"/>
                <w:color w:val="auto"/>
              </w:rPr>
            </w:pPr>
            <w:r>
              <w:rPr>
                <w:rFonts w:ascii="Times New Roman" w:cs="Times New Roman" w:eastAsia="Times New Roman" w:hAnsi="Times New Roman"/>
                <w:sz w:val="14"/>
                <w:szCs w:val="14"/>
                <w:b w:val="1"/>
                <w:bCs w:val="1"/>
                <w:color w:val="auto"/>
              </w:rPr>
              <w:t>February 1,</w:t>
            </w:r>
          </w:p>
        </w:tc>
        <w:tc>
          <w:tcPr>
            <w:tcW w:w="0" w:type="dxa"/>
            <w:vAlign w:val="bottom"/>
          </w:tcPr>
          <w:p>
            <w:pPr>
              <w:spacing w:after="0"/>
              <w:rPr>
                <w:sz w:val="1"/>
                <w:szCs w:val="1"/>
                <w:color w:val="auto"/>
              </w:rPr>
            </w:pPr>
          </w:p>
        </w:tc>
      </w:tr>
      <w:tr>
        <w:trPr>
          <w:trHeight w:val="173"/>
        </w:trPr>
        <w:tc>
          <w:tcPr>
            <w:tcW w:w="1140" w:type="dxa"/>
            <w:vAlign w:val="bottom"/>
          </w:tcPr>
          <w:p>
            <w:pPr>
              <w:spacing w:after="0"/>
              <w:rPr>
                <w:sz w:val="15"/>
                <w:szCs w:val="15"/>
                <w:color w:val="auto"/>
              </w:rPr>
            </w:pPr>
          </w:p>
        </w:tc>
        <w:tc>
          <w:tcPr>
            <w:tcW w:w="57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114"/>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114"/>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5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compensation and related taxes</w:t>
            </w:r>
          </w:p>
        </w:tc>
        <w:tc>
          <w:tcPr>
            <w:tcW w:w="6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90,821</w:t>
            </w:r>
          </w:p>
        </w:tc>
        <w:tc>
          <w:tcPr>
            <w:tcW w:w="140" w:type="dxa"/>
            <w:vAlign w:val="bottom"/>
            <w:shd w:val="clear" w:color="auto" w:fill="CFF0FC"/>
          </w:tcPr>
          <w:p>
            <w:pPr>
              <w:spacing w:after="0"/>
              <w:rPr>
                <w:sz w:val="18"/>
                <w:szCs w:val="18"/>
                <w:color w:val="auto"/>
              </w:rPr>
            </w:pPr>
          </w:p>
        </w:tc>
        <w:tc>
          <w:tcPr>
            <w:tcW w:w="2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101,548</w:t>
            </w: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Self-insurance reserves</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39,634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33,564</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57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paid time-off</w:t>
            </w:r>
          </w:p>
        </w:tc>
        <w:tc>
          <w:tcPr>
            <w:tcW w:w="4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23,693</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22,348</w:t>
            </w:r>
          </w:p>
        </w:tc>
        <w:tc>
          <w:tcPr>
            <w:tcW w:w="80" w:type="dxa"/>
            <w:vAlign w:val="bottom"/>
            <w:tcBorders>
              <w:bottom w:val="single" w:sz="8" w:color="CFF0FC"/>
            </w:tcBorders>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572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154,148</w:t>
            </w:r>
          </w:p>
        </w:tc>
        <w:tc>
          <w:tcPr>
            <w:tcW w:w="140" w:type="dxa"/>
            <w:vAlign w:val="bottom"/>
          </w:tcPr>
          <w:p>
            <w:pPr>
              <w:spacing w:after="0"/>
              <w:rPr>
                <w:sz w:val="18"/>
                <w:szCs w:val="18"/>
                <w:color w:val="auto"/>
              </w:rPr>
            </w:pP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157,460</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Accrued Expenses and Other Liabilities</w:t>
            </w:r>
          </w:p>
        </w:tc>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6860" w:type="dxa"/>
            <w:vAlign w:val="bottom"/>
            <w:gridSpan w:val="2"/>
            <w:vMerge w:val="continue"/>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8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Accrued expenses and other liabilities consisted of the following (in thousands):</w:t>
            </w: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1140" w:type="dxa"/>
            <w:vAlign w:val="bottom"/>
          </w:tcPr>
          <w:p>
            <w:pPr>
              <w:spacing w:after="0"/>
              <w:rPr>
                <w:sz w:val="24"/>
                <w:szCs w:val="24"/>
                <w:color w:val="auto"/>
              </w:rPr>
            </w:pPr>
          </w:p>
        </w:tc>
        <w:tc>
          <w:tcPr>
            <w:tcW w:w="5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January 31,</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80" w:type="dxa"/>
            <w:vAlign w:val="bottom"/>
            <w:gridSpan w:val="3"/>
          </w:tcPr>
          <w:p>
            <w:pPr>
              <w:jc w:val="center"/>
              <w:ind w:right="1400"/>
              <w:spacing w:after="0"/>
              <w:rPr>
                <w:sz w:val="20"/>
                <w:szCs w:val="20"/>
                <w:color w:val="auto"/>
              </w:rPr>
            </w:pPr>
            <w:r>
              <w:rPr>
                <w:rFonts w:ascii="Times New Roman" w:cs="Times New Roman" w:eastAsia="Times New Roman" w:hAnsi="Times New Roman"/>
                <w:sz w:val="14"/>
                <w:szCs w:val="14"/>
                <w:b w:val="1"/>
                <w:bCs w:val="1"/>
                <w:color w:val="auto"/>
              </w:rPr>
              <w:t>February 1,</w:t>
            </w:r>
          </w:p>
        </w:tc>
        <w:tc>
          <w:tcPr>
            <w:tcW w:w="0" w:type="dxa"/>
            <w:vAlign w:val="bottom"/>
          </w:tcPr>
          <w:p>
            <w:pPr>
              <w:spacing w:after="0"/>
              <w:rPr>
                <w:sz w:val="1"/>
                <w:szCs w:val="1"/>
                <w:color w:val="auto"/>
              </w:rPr>
            </w:pPr>
          </w:p>
        </w:tc>
      </w:tr>
      <w:tr>
        <w:trPr>
          <w:trHeight w:val="173"/>
        </w:trPr>
        <w:tc>
          <w:tcPr>
            <w:tcW w:w="1140" w:type="dxa"/>
            <w:vAlign w:val="bottom"/>
          </w:tcPr>
          <w:p>
            <w:pPr>
              <w:spacing w:after="0"/>
              <w:rPr>
                <w:sz w:val="15"/>
                <w:szCs w:val="15"/>
                <w:color w:val="auto"/>
              </w:rPr>
            </w:pPr>
          </w:p>
        </w:tc>
        <w:tc>
          <w:tcPr>
            <w:tcW w:w="57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114"/>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114"/>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5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6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31,446</w:t>
            </w:r>
          </w:p>
        </w:tc>
        <w:tc>
          <w:tcPr>
            <w:tcW w:w="140" w:type="dxa"/>
            <w:vAlign w:val="bottom"/>
            <w:shd w:val="clear" w:color="auto" w:fill="CFF0FC"/>
          </w:tcPr>
          <w:p>
            <w:pPr>
              <w:spacing w:after="0"/>
              <w:rPr>
                <w:sz w:val="18"/>
                <w:szCs w:val="18"/>
                <w:color w:val="auto"/>
              </w:rPr>
            </w:pPr>
          </w:p>
        </w:tc>
        <w:tc>
          <w:tcPr>
            <w:tcW w:w="2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29,564</w:t>
            </w: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Accrued real estate taxes</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28,059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28,079</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5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Sales taxes payable</w:t>
            </w:r>
          </w:p>
        </w:tc>
        <w:tc>
          <w:tcPr>
            <w:tcW w:w="4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19,969</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15,883</w:t>
            </w: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Accrued advertising</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19,230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12,844</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5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capital expenditures</w:t>
            </w:r>
          </w:p>
        </w:tc>
        <w:tc>
          <w:tcPr>
            <w:tcW w:w="4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15,714</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12,268</w:t>
            </w: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Other accrued expenses and liabilities</w:t>
            </w:r>
          </w:p>
        </w:tc>
        <w:tc>
          <w:tcPr>
            <w:tcW w:w="4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90,333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78,441</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1140" w:type="dxa"/>
            <w:vAlign w:val="bottom"/>
          </w:tcPr>
          <w:p>
            <w:pPr>
              <w:spacing w:after="0"/>
              <w:rPr>
                <w:sz w:val="21"/>
                <w:szCs w:val="21"/>
                <w:color w:val="auto"/>
              </w:rPr>
            </w:pPr>
          </w:p>
        </w:tc>
        <w:tc>
          <w:tcPr>
            <w:tcW w:w="5720" w:type="dxa"/>
            <w:vAlign w:val="bottom"/>
            <w:shd w:val="clear" w:color="auto" w:fill="CFF0FC"/>
          </w:tcPr>
          <w:p>
            <w:pPr>
              <w:spacing w:after="0"/>
              <w:rPr>
                <w:sz w:val="21"/>
                <w:szCs w:val="21"/>
                <w:color w:val="auto"/>
              </w:rPr>
            </w:pPr>
          </w:p>
        </w:tc>
        <w:tc>
          <w:tcPr>
            <w:tcW w:w="6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204,751</w:t>
            </w:r>
          </w:p>
        </w:tc>
        <w:tc>
          <w:tcPr>
            <w:tcW w:w="140" w:type="dxa"/>
            <w:vAlign w:val="bottom"/>
            <w:shd w:val="clear" w:color="auto" w:fill="CFF0FC"/>
          </w:tcPr>
          <w:p>
            <w:pPr>
              <w:spacing w:after="0"/>
              <w:rPr>
                <w:sz w:val="21"/>
                <w:szCs w:val="21"/>
                <w:color w:val="auto"/>
              </w:rPr>
            </w:pPr>
          </w:p>
        </w:tc>
        <w:tc>
          <w:tcPr>
            <w:tcW w:w="2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177,079</w:t>
            </w:r>
          </w:p>
        </w:tc>
        <w:tc>
          <w:tcPr>
            <w:tcW w:w="80" w:type="dxa"/>
            <w:vAlign w:val="bottom"/>
            <w:shd w:val="clear" w:color="auto" w:fill="CFF0FC"/>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45"/>
        </w:trPr>
        <w:tc>
          <w:tcPr>
            <w:tcW w:w="1140" w:type="dxa"/>
            <w:vAlign w:val="bottom"/>
          </w:tcPr>
          <w:p>
            <w:pPr>
              <w:spacing w:after="0"/>
              <w:rPr>
                <w:sz w:val="24"/>
                <w:szCs w:val="24"/>
                <w:color w:val="auto"/>
              </w:rPr>
            </w:pPr>
          </w:p>
        </w:tc>
        <w:tc>
          <w:tcPr>
            <w:tcW w:w="5720" w:type="dxa"/>
            <w:vAlign w:val="bottom"/>
            <w:tcBorders>
              <w:top w:val="single" w:sz="8" w:color="CFF0FC"/>
            </w:tcBorders>
          </w:tcPr>
          <w:p>
            <w:pPr>
              <w:ind w:left="4400"/>
              <w:spacing w:after="0"/>
              <w:rPr>
                <w:sz w:val="20"/>
                <w:szCs w:val="20"/>
                <w:color w:val="auto"/>
              </w:rPr>
            </w:pPr>
            <w:r>
              <w:rPr>
                <w:rFonts w:ascii="Times New Roman" w:cs="Times New Roman" w:eastAsia="Times New Roman" w:hAnsi="Times New Roman"/>
                <w:sz w:val="18"/>
                <w:szCs w:val="18"/>
                <w:color w:val="auto"/>
              </w:rPr>
              <w:t>81</w:t>
            </w:r>
          </w:p>
        </w:tc>
        <w:tc>
          <w:tcPr>
            <w:tcW w:w="46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140" w:type="dxa"/>
            <w:vAlign w:val="bottom"/>
            <w:tcBorders>
              <w:bottom w:val="single" w:sz="8" w:color="9A9A9A"/>
            </w:tcBorders>
          </w:tcPr>
          <w:p>
            <w:pPr>
              <w:spacing w:after="0"/>
              <w:rPr>
                <w:sz w:val="24"/>
                <w:szCs w:val="24"/>
                <w:color w:val="auto"/>
              </w:rPr>
            </w:pPr>
          </w:p>
        </w:tc>
        <w:tc>
          <w:tcPr>
            <w:tcW w:w="57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-4842510</wp:posOffset>
            </wp:positionV>
            <wp:extent cx="5143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-4842510</wp:posOffset>
            </wp:positionV>
            <wp:extent cx="51435"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-4559935</wp:posOffset>
            </wp:positionV>
            <wp:extent cx="51435"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-4559935</wp:posOffset>
            </wp:positionV>
            <wp:extent cx="51435"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-3128010</wp:posOffset>
            </wp:positionV>
            <wp:extent cx="51435"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-3128010</wp:posOffset>
            </wp:positionV>
            <wp:extent cx="51435"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-1071245</wp:posOffset>
            </wp:positionV>
            <wp:extent cx="51435"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-1053465</wp:posOffset>
            </wp:positionV>
            <wp:extent cx="51435"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-1071245</wp:posOffset>
            </wp:positionV>
            <wp:extent cx="51435"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-1053465</wp:posOffset>
            </wp:positionV>
            <wp:extent cx="51435"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2" w:name="page83"/>
    <w:bookmarkEnd w:id="82"/>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Long-Term Liabilities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Other long-term liabilities consisted of the following (in thousands):</w:t>
      </w:r>
    </w:p>
    <w:p>
      <w:pPr>
        <w:spacing w:after="0" w:line="23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6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January 31,</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February 1,</w:t>
            </w:r>
          </w:p>
        </w:tc>
      </w:tr>
      <w:tr>
        <w:trPr>
          <w:trHeight w:val="173"/>
        </w:trPr>
        <w:tc>
          <w:tcPr>
            <w:tcW w:w="6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2026</w:t>
            </w:r>
          </w:p>
        </w:tc>
        <w:tc>
          <w:tcPr>
            <w:tcW w:w="2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5"/>
                <w:szCs w:val="15"/>
                <w:color w:val="auto"/>
              </w:rPr>
            </w:pPr>
          </w:p>
        </w:tc>
      </w:tr>
      <w:tr>
        <w:trPr>
          <w:trHeight w:val="209"/>
        </w:trPr>
        <w:tc>
          <w:tcPr>
            <w:tcW w:w="6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Self-insurance reserves</w:t>
            </w: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48,280</w:t>
            </w:r>
          </w:p>
        </w:tc>
        <w:tc>
          <w:tcPr>
            <w:tcW w:w="400" w:type="dxa"/>
            <w:vAlign w:val="bottom"/>
            <w:gridSpan w:val="2"/>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50,803</w:t>
            </w:r>
          </w:p>
        </w:tc>
        <w:tc>
          <w:tcPr>
            <w:tcW w:w="80" w:type="dxa"/>
            <w:vAlign w:val="bottom"/>
            <w:shd w:val="clear" w:color="auto" w:fill="CFF0FC"/>
          </w:tcPr>
          <w:p>
            <w:pPr>
              <w:spacing w:after="0"/>
              <w:rPr>
                <w:sz w:val="18"/>
                <w:szCs w:val="18"/>
                <w:color w:val="auto"/>
              </w:rPr>
            </w:pPr>
          </w:p>
        </w:tc>
      </w:tr>
      <w:tr>
        <w:trPr>
          <w:trHeight w:val="216"/>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56,127</w:t>
            </w: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57,825</w:t>
            </w:r>
          </w:p>
        </w:tc>
        <w:tc>
          <w:tcPr>
            <w:tcW w:w="80" w:type="dxa"/>
            <w:vAlign w:val="bottom"/>
          </w:tcPr>
          <w:p>
            <w:pPr>
              <w:spacing w:after="0"/>
              <w:rPr>
                <w:sz w:val="18"/>
                <w:szCs w:val="18"/>
                <w:color w:val="auto"/>
              </w:rPr>
            </w:pPr>
          </w:p>
        </w:tc>
      </w:tr>
      <w:tr>
        <w:trPr>
          <w:trHeight w:val="210"/>
        </w:trPr>
        <w:tc>
          <w:tcPr>
            <w:tcW w:w="6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104,407</w:t>
            </w:r>
          </w:p>
        </w:tc>
        <w:tc>
          <w:tcPr>
            <w:tcW w:w="220" w:type="dxa"/>
            <w:vAlign w:val="bottom"/>
          </w:tcPr>
          <w:p>
            <w:pPr>
              <w:spacing w:after="0"/>
              <w:rPr>
                <w:sz w:val="18"/>
                <w:szCs w:val="18"/>
                <w:color w:val="auto"/>
              </w:rPr>
            </w:pP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108,628</w:t>
            </w:r>
          </w:p>
        </w:tc>
        <w:tc>
          <w:tcPr>
            <w:tcW w:w="80" w:type="dxa"/>
            <w:vAlign w:val="bottom"/>
          </w:tcPr>
          <w:p>
            <w:pPr>
              <w:spacing w:after="0"/>
              <w:rPr>
                <w:sz w:val="18"/>
                <w:szCs w:val="18"/>
                <w:color w:val="auto"/>
              </w:rPr>
            </w:pPr>
          </w:p>
        </w:tc>
      </w:tr>
      <w:tr>
        <w:trPr>
          <w:trHeight w:val="20"/>
        </w:trPr>
        <w:tc>
          <w:tcPr>
            <w:tcW w:w="6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Leases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Lease assets and liabilities are reflected in the Company’s consolidated balance sheets as follows (in thousands):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180" w:type="dxa"/>
            <w:vAlign w:val="bottom"/>
          </w:tcPr>
          <w:p>
            <w:pPr>
              <w:spacing w:after="0"/>
              <w:rPr>
                <w:sz w:val="13"/>
                <w:szCs w:val="13"/>
                <w:color w:val="auto"/>
              </w:rPr>
            </w:pPr>
          </w:p>
        </w:tc>
        <w:tc>
          <w:tcPr>
            <w:tcW w:w="4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Balance sheet</w:t>
            </w: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80" w:type="dxa"/>
            <w:vAlign w:val="bottom"/>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January 31,</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February 1,</w:t>
            </w:r>
          </w:p>
        </w:tc>
        <w:tc>
          <w:tcPr>
            <w:tcW w:w="0" w:type="dxa"/>
            <w:vAlign w:val="bottom"/>
          </w:tcPr>
          <w:p>
            <w:pPr>
              <w:spacing w:after="0"/>
              <w:rPr>
                <w:sz w:val="1"/>
                <w:szCs w:val="1"/>
                <w:color w:val="auto"/>
              </w:rPr>
            </w:pPr>
          </w:p>
        </w:tc>
      </w:tr>
      <w:tr>
        <w:trPr>
          <w:trHeight w:val="173"/>
        </w:trPr>
        <w:tc>
          <w:tcPr>
            <w:tcW w:w="2700" w:type="dxa"/>
            <w:vAlign w:val="bottom"/>
            <w:tcBorders>
              <w:bottom w:val="single" w:sz="8" w:color="auto"/>
            </w:tcBorders>
            <w:vMerge w:val="continue"/>
          </w:tcPr>
          <w:p>
            <w:pPr>
              <w:spacing w:after="0"/>
              <w:rPr>
                <w:sz w:val="15"/>
                <w:szCs w:val="15"/>
                <w:color w:val="auto"/>
              </w:rPr>
            </w:pPr>
          </w:p>
        </w:tc>
        <w:tc>
          <w:tcPr>
            <w:tcW w:w="180" w:type="dxa"/>
            <w:vAlign w:val="bottom"/>
          </w:tcPr>
          <w:p>
            <w:pPr>
              <w:spacing w:after="0"/>
              <w:rPr>
                <w:sz w:val="15"/>
                <w:szCs w:val="15"/>
                <w:color w:val="auto"/>
              </w:rPr>
            </w:pPr>
          </w:p>
        </w:tc>
        <w:tc>
          <w:tcPr>
            <w:tcW w:w="4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1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shd w:val="clear" w:color="auto" w:fill="CFF0FC"/>
          </w:tcPr>
          <w:p>
            <w:pPr>
              <w:spacing w:after="0"/>
              <w:rPr>
                <w:sz w:val="18"/>
                <w:szCs w:val="18"/>
                <w:color w:val="auto"/>
              </w:rPr>
            </w:pPr>
          </w:p>
        </w:tc>
        <w:tc>
          <w:tcPr>
            <w:tcW w:w="47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Operating leases</w:t>
            </w:r>
          </w:p>
        </w:tc>
        <w:tc>
          <w:tcPr>
            <w:tcW w:w="49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1,288,593</w:t>
            </w:r>
          </w:p>
        </w:tc>
        <w:tc>
          <w:tcPr>
            <w:tcW w:w="5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1,302,346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0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Finance leases</w:t>
            </w:r>
          </w:p>
        </w:tc>
        <w:tc>
          <w:tcPr>
            <w:tcW w:w="4940" w:type="dxa"/>
            <w:vAlign w:val="bottom"/>
            <w:tcBorders>
              <w:bottom w:val="single" w:sz="8" w:color="CFF0FC"/>
            </w:tcBorders>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Fixed assets, net(1)</w:t>
            </w:r>
          </w:p>
        </w:tc>
        <w:tc>
          <w:tcPr>
            <w:tcW w:w="1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6,931</w:t>
            </w:r>
          </w:p>
        </w:tc>
        <w:tc>
          <w:tcPr>
            <w:tcW w:w="1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10,131</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Total lease assets</w:t>
            </w:r>
          </w:p>
        </w:tc>
        <w:tc>
          <w:tcPr>
            <w:tcW w:w="18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1,295,524</w:t>
            </w:r>
          </w:p>
        </w:tc>
        <w:tc>
          <w:tcPr>
            <w:tcW w:w="5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1,312,477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70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w:t>
            </w:r>
          </w:p>
        </w:tc>
        <w:tc>
          <w:tcPr>
            <w:tcW w:w="180" w:type="dxa"/>
            <w:vAlign w:val="bottom"/>
            <w:shd w:val="clear" w:color="auto" w:fill="CFF0FC"/>
          </w:tcPr>
          <w:p>
            <w:pPr>
              <w:spacing w:after="0"/>
              <w:rPr>
                <w:sz w:val="17"/>
                <w:szCs w:val="17"/>
                <w:color w:val="auto"/>
              </w:rPr>
            </w:pPr>
          </w:p>
        </w:tc>
        <w:tc>
          <w:tcPr>
            <w:tcW w:w="47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Current</w:t>
            </w:r>
          </w:p>
        </w:tc>
        <w:tc>
          <w:tcPr>
            <w:tcW w:w="18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Operating leases</w:t>
            </w:r>
          </w:p>
        </w:tc>
        <w:tc>
          <w:tcPr>
            <w:tcW w:w="494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4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320,082</w:t>
            </w:r>
          </w:p>
        </w:tc>
        <w:tc>
          <w:tcPr>
            <w:tcW w:w="52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306,400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700" w:type="dxa"/>
            <w:vAlign w:val="bottom"/>
          </w:tcPr>
          <w:p>
            <w:pPr>
              <w:ind w:left="60"/>
              <w:spacing w:after="0" w:line="198" w:lineRule="exact"/>
              <w:rPr>
                <w:sz w:val="20"/>
                <w:szCs w:val="20"/>
                <w:color w:val="auto"/>
              </w:rPr>
            </w:pPr>
            <w:r>
              <w:rPr>
                <w:rFonts w:ascii="Times New Roman" w:cs="Times New Roman" w:eastAsia="Times New Roman" w:hAnsi="Times New Roman"/>
                <w:sz w:val="18"/>
                <w:szCs w:val="18"/>
                <w:color w:val="auto"/>
              </w:rPr>
              <w:t>Finance leases</w:t>
            </w:r>
          </w:p>
        </w:tc>
        <w:tc>
          <w:tcPr>
            <w:tcW w:w="4940" w:type="dxa"/>
            <w:vAlign w:val="bottom"/>
            <w:gridSpan w:val="2"/>
          </w:tcPr>
          <w:p>
            <w:pPr>
              <w:ind w:left="180"/>
              <w:spacing w:after="0" w:line="198" w:lineRule="exact"/>
              <w:rPr>
                <w:sz w:val="20"/>
                <w:szCs w:val="20"/>
                <w:color w:val="auto"/>
              </w:rPr>
            </w:pPr>
            <w:r>
              <w:rPr>
                <w:rFonts w:ascii="Times New Roman" w:cs="Times New Roman" w:eastAsia="Times New Roman" w:hAnsi="Times New Roman"/>
                <w:sz w:val="18"/>
                <w:szCs w:val="18"/>
                <w:color w:val="auto"/>
              </w:rPr>
              <w:t>Current portion of long-term debt and other</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lease liabilities</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Non-current</w:t>
            </w:r>
          </w:p>
        </w:tc>
        <w:tc>
          <w:tcPr>
            <w:tcW w:w="180" w:type="dxa"/>
            <w:vAlign w:val="bottom"/>
            <w:shd w:val="clear" w:color="auto" w:fill="CFF0FC"/>
          </w:tcPr>
          <w:p>
            <w:pPr>
              <w:spacing w:after="0"/>
              <w:rPr>
                <w:sz w:val="18"/>
                <w:szCs w:val="18"/>
                <w:color w:val="auto"/>
              </w:rPr>
            </w:pPr>
          </w:p>
        </w:tc>
        <w:tc>
          <w:tcPr>
            <w:tcW w:w="47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700" w:type="dxa"/>
            <w:vAlign w:val="bottom"/>
          </w:tcPr>
          <w:p>
            <w:pPr>
              <w:ind w:left="60"/>
              <w:spacing w:after="0" w:line="198" w:lineRule="exact"/>
              <w:rPr>
                <w:sz w:val="20"/>
                <w:szCs w:val="20"/>
                <w:color w:val="auto"/>
              </w:rPr>
            </w:pPr>
            <w:r>
              <w:rPr>
                <w:rFonts w:ascii="Times New Roman" w:cs="Times New Roman" w:eastAsia="Times New Roman" w:hAnsi="Times New Roman"/>
                <w:sz w:val="18"/>
                <w:szCs w:val="18"/>
                <w:color w:val="auto"/>
              </w:rPr>
              <w:t>Operating leases</w:t>
            </w:r>
          </w:p>
        </w:tc>
        <w:tc>
          <w:tcPr>
            <w:tcW w:w="4940" w:type="dxa"/>
            <w:vAlign w:val="bottom"/>
            <w:gridSpan w:val="2"/>
          </w:tcPr>
          <w:p>
            <w:pPr>
              <w:ind w:left="180"/>
              <w:spacing w:after="0" w:line="198" w:lineRule="exact"/>
              <w:rPr>
                <w:sz w:val="20"/>
                <w:szCs w:val="20"/>
                <w:color w:val="auto"/>
              </w:rPr>
            </w:pPr>
            <w:r>
              <w:rPr>
                <w:rFonts w:ascii="Times New Roman" w:cs="Times New Roman" w:eastAsia="Times New Roman" w:hAnsi="Times New Roman"/>
                <w:sz w:val="18"/>
                <w:szCs w:val="18"/>
                <w:color w:val="auto"/>
              </w:rPr>
              <w:t>Operating lease liabilities, excluding</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 portion</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1,047,185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1,037,206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70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Finance leases</w:t>
            </w:r>
          </w:p>
        </w:tc>
        <w:tc>
          <w:tcPr>
            <w:tcW w:w="4940" w:type="dxa"/>
            <w:vAlign w:val="bottom"/>
            <w:tcBorders>
              <w:bottom w:val="single" w:sz="8" w:color="CFF0FC"/>
            </w:tcBorders>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5,075</w:t>
            </w:r>
          </w:p>
        </w:tc>
        <w:tc>
          <w:tcPr>
            <w:tcW w:w="1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8,447</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Total lease liabilities</w:t>
            </w:r>
          </w:p>
        </w:tc>
        <w:tc>
          <w:tcPr>
            <w:tcW w:w="18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1,376,950</w:t>
            </w:r>
          </w:p>
        </w:tc>
        <w:tc>
          <w:tcPr>
            <w:tcW w:w="5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1,357,399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5928360</wp:posOffset>
            </wp:positionH>
            <wp:positionV relativeFrom="paragraph">
              <wp:posOffset>-1576705</wp:posOffset>
            </wp:positionV>
            <wp:extent cx="6858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-1576705</wp:posOffset>
            </wp:positionV>
            <wp:extent cx="6858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-170815</wp:posOffset>
            </wp:positionV>
            <wp:extent cx="6858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1" w:lineRule="exact"/>
        <w:rPr>
          <w:sz w:val="20"/>
          <w:szCs w:val="20"/>
          <w:color w:val="auto"/>
        </w:rPr>
      </w:pPr>
    </w:p>
    <w:p>
      <w:pPr>
        <w:ind w:left="520" w:hanging="512"/>
        <w:spacing w:after="0"/>
        <w:tabs>
          <w:tab w:leader="none" w:pos="5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Finance lease right-of-use assets are recorded net of accumulated amortization of $30.1 million and $26.1 million as of January 31, 2026 and February 1, 2025, respectively.</w:t>
      </w:r>
    </w:p>
    <w:p>
      <w:pPr>
        <w:spacing w:after="0" w:line="23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components of total lease cost are as follows (in thousands):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140" w:type="dxa"/>
            <w:vAlign w:val="bottom"/>
          </w:tcPr>
          <w:p>
            <w:pPr>
              <w:spacing w:after="0"/>
              <w:rPr>
                <w:sz w:val="15"/>
                <w:szCs w:val="15"/>
                <w:color w:val="auto"/>
              </w:rPr>
            </w:pPr>
          </w:p>
        </w:tc>
        <w:tc>
          <w:tcPr>
            <w:tcW w:w="37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4"/>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Fiscal years ended</w:t>
            </w: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17"/>
        </w:trPr>
        <w:tc>
          <w:tcPr>
            <w:tcW w:w="1140" w:type="dxa"/>
            <w:vAlign w:val="bottom"/>
          </w:tcPr>
          <w:p>
            <w:pPr>
              <w:spacing w:after="0"/>
              <w:rPr>
                <w:sz w:val="10"/>
                <w:szCs w:val="10"/>
                <w:color w:val="auto"/>
              </w:rPr>
            </w:pPr>
          </w:p>
        </w:tc>
        <w:tc>
          <w:tcPr>
            <w:tcW w:w="370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gridSpan w:val="2"/>
          </w:tcPr>
          <w:p>
            <w:pPr>
              <w:jc w:val="center"/>
              <w:ind w:right="240"/>
              <w:spacing w:after="0" w:line="118" w:lineRule="exact"/>
              <w:rPr>
                <w:sz w:val="20"/>
                <w:szCs w:val="20"/>
                <w:color w:val="auto"/>
              </w:rPr>
            </w:pPr>
            <w:r>
              <w:rPr>
                <w:rFonts w:ascii="Times New Roman" w:cs="Times New Roman" w:eastAsia="Times New Roman" w:hAnsi="Times New Roman"/>
                <w:sz w:val="13"/>
                <w:szCs w:val="13"/>
                <w:b w:val="1"/>
                <w:bCs w:val="1"/>
                <w:color w:val="auto"/>
              </w:rPr>
              <w:t>January 31,</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gridSpan w:val="2"/>
          </w:tcPr>
          <w:p>
            <w:pPr>
              <w:jc w:val="center"/>
              <w:ind w:right="280"/>
              <w:spacing w:after="0" w:line="118" w:lineRule="exact"/>
              <w:rPr>
                <w:sz w:val="20"/>
                <w:szCs w:val="20"/>
                <w:color w:val="auto"/>
              </w:rPr>
            </w:pPr>
            <w:r>
              <w:rPr>
                <w:rFonts w:ascii="Times New Roman" w:cs="Times New Roman" w:eastAsia="Times New Roman" w:hAnsi="Times New Roman"/>
                <w:sz w:val="13"/>
                <w:szCs w:val="13"/>
                <w:b w:val="1"/>
                <w:bCs w:val="1"/>
                <w:color w:val="auto"/>
              </w:rPr>
              <w:t>February 1,</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tcPr>
          <w:p>
            <w:pPr>
              <w:jc w:val="center"/>
              <w:ind w:right="77"/>
              <w:spacing w:after="0" w:line="118" w:lineRule="exact"/>
              <w:rPr>
                <w:sz w:val="20"/>
                <w:szCs w:val="20"/>
                <w:color w:val="auto"/>
              </w:rPr>
            </w:pPr>
            <w:r>
              <w:rPr>
                <w:rFonts w:ascii="Times New Roman" w:cs="Times New Roman" w:eastAsia="Times New Roman" w:hAnsi="Times New Roman"/>
                <w:sz w:val="13"/>
                <w:szCs w:val="13"/>
                <w:b w:val="1"/>
                <w:bCs w:val="1"/>
                <w:color w:val="auto"/>
              </w:rPr>
              <w:t>February 3,</w:t>
            </w:r>
          </w:p>
        </w:tc>
        <w:tc>
          <w:tcPr>
            <w:tcW w:w="1200" w:type="dxa"/>
            <w:vAlign w:val="bottom"/>
            <w:gridSpan w:val="2"/>
          </w:tcPr>
          <w:p>
            <w:pPr>
              <w:spacing w:after="0"/>
              <w:rPr>
                <w:sz w:val="10"/>
                <w:szCs w:val="10"/>
                <w:color w:val="auto"/>
              </w:rPr>
            </w:pPr>
          </w:p>
        </w:tc>
      </w:tr>
      <w:tr>
        <w:trPr>
          <w:trHeight w:val="173"/>
        </w:trPr>
        <w:tc>
          <w:tcPr>
            <w:tcW w:w="1140" w:type="dxa"/>
            <w:vAlign w:val="bottom"/>
          </w:tcPr>
          <w:p>
            <w:pPr>
              <w:spacing w:after="0"/>
              <w:rPr>
                <w:sz w:val="15"/>
                <w:szCs w:val="15"/>
                <w:color w:val="auto"/>
              </w:rPr>
            </w:pPr>
          </w:p>
        </w:tc>
        <w:tc>
          <w:tcPr>
            <w:tcW w:w="37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42"/>
        </w:trPr>
        <w:tc>
          <w:tcPr>
            <w:tcW w:w="114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center"/>
              <w:ind w:right="57"/>
              <w:spacing w:after="0" w:line="142" w:lineRule="exact"/>
              <w:rPr>
                <w:sz w:val="20"/>
                <w:szCs w:val="20"/>
                <w:color w:val="auto"/>
              </w:rPr>
            </w:pPr>
            <w:r>
              <w:rPr>
                <w:rFonts w:ascii="Times New Roman" w:cs="Times New Roman" w:eastAsia="Times New Roman" w:hAnsi="Times New Roman"/>
                <w:sz w:val="14"/>
                <w:szCs w:val="14"/>
                <w:b w:val="1"/>
                <w:bCs w:val="1"/>
                <w:color w:val="auto"/>
              </w:rPr>
              <w:t>(52 weeks)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center"/>
              <w:ind w:right="57"/>
              <w:spacing w:after="0" w:line="142" w:lineRule="exact"/>
              <w:rPr>
                <w:sz w:val="20"/>
                <w:szCs w:val="20"/>
                <w:color w:val="auto"/>
              </w:rPr>
            </w:pPr>
            <w:r>
              <w:rPr>
                <w:rFonts w:ascii="Times New Roman" w:cs="Times New Roman" w:eastAsia="Times New Roman" w:hAnsi="Times New Roman"/>
                <w:sz w:val="14"/>
                <w:szCs w:val="14"/>
                <w:b w:val="1"/>
                <w:bCs w:val="1"/>
                <w:color w:val="auto"/>
              </w:rPr>
              <w:t>(52 weeks)</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center"/>
              <w:ind w:right="57"/>
              <w:spacing w:after="0" w:line="142" w:lineRule="exact"/>
              <w:rPr>
                <w:sz w:val="20"/>
                <w:szCs w:val="20"/>
                <w:color w:val="auto"/>
              </w:rPr>
            </w:pPr>
            <w:r>
              <w:rPr>
                <w:rFonts w:ascii="Times New Roman" w:cs="Times New Roman" w:eastAsia="Times New Roman" w:hAnsi="Times New Roman"/>
                <w:sz w:val="14"/>
                <w:szCs w:val="14"/>
                <w:b w:val="1"/>
                <w:bCs w:val="1"/>
                <w:color w:val="auto"/>
              </w:rPr>
              <w:t>(53 weeks)</w:t>
            </w:r>
          </w:p>
        </w:tc>
        <w:tc>
          <w:tcPr>
            <w:tcW w:w="1200" w:type="dxa"/>
            <w:vAlign w:val="bottom"/>
            <w:gridSpan w:val="2"/>
          </w:tcPr>
          <w:p>
            <w:pPr>
              <w:spacing w:after="0"/>
              <w:rPr>
                <w:sz w:val="12"/>
                <w:szCs w:val="12"/>
                <w:color w:val="auto"/>
              </w:rPr>
            </w:pPr>
          </w:p>
        </w:tc>
      </w:tr>
      <w:tr>
        <w:trPr>
          <w:trHeight w:val="216"/>
        </w:trPr>
        <w:tc>
          <w:tcPr>
            <w:tcW w:w="1140" w:type="dxa"/>
            <w:vAlign w:val="bottom"/>
          </w:tcPr>
          <w:p>
            <w:pPr>
              <w:spacing w:after="0"/>
              <w:rPr>
                <w:sz w:val="18"/>
                <w:szCs w:val="18"/>
                <w:color w:val="auto"/>
              </w:rPr>
            </w:pPr>
          </w:p>
        </w:tc>
        <w:tc>
          <w:tcPr>
            <w:tcW w:w="3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1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411,812</w:t>
            </w:r>
          </w:p>
        </w:tc>
        <w:tc>
          <w:tcPr>
            <w:tcW w:w="100" w:type="dxa"/>
            <w:vAlign w:val="bottom"/>
            <w:shd w:val="clear" w:color="auto" w:fill="CFF0FC"/>
          </w:tcPr>
          <w:p>
            <w:pPr>
              <w:spacing w:after="0"/>
              <w:rPr>
                <w:sz w:val="18"/>
                <w:szCs w:val="18"/>
                <w:color w:val="auto"/>
              </w:rPr>
            </w:pPr>
          </w:p>
        </w:tc>
        <w:tc>
          <w:tcPr>
            <w:tcW w:w="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414,396</w:t>
            </w:r>
          </w:p>
        </w:tc>
        <w:tc>
          <w:tcPr>
            <w:tcW w:w="14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429,056</w:t>
            </w: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 cost:</w:t>
            </w: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7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Amortization of right-of-use lease assets</w:t>
            </w:r>
          </w:p>
        </w:tc>
        <w:tc>
          <w:tcPr>
            <w:tcW w:w="16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4,709</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4,524</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5,838</w:t>
            </w: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Variable lease cost</w:t>
            </w:r>
          </w:p>
        </w:tc>
        <w:tc>
          <w:tcPr>
            <w:tcW w:w="16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126,290</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128,716</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119,361</w:t>
            </w: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Sublease income</w:t>
            </w: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(1,060)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(1,508)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(2,241)</w:t>
            </w:r>
          </w:p>
        </w:tc>
        <w:tc>
          <w:tcPr>
            <w:tcW w:w="1120" w:type="dxa"/>
            <w:vAlign w:val="bottom"/>
          </w:tcPr>
          <w:p>
            <w:pPr>
              <w:spacing w:after="0"/>
              <w:rPr>
                <w:sz w:val="18"/>
                <w:szCs w:val="18"/>
                <w:color w:val="auto"/>
              </w:rPr>
            </w:pPr>
          </w:p>
        </w:tc>
      </w:tr>
      <w:tr>
        <w:trPr>
          <w:trHeight w:val="20"/>
        </w:trPr>
        <w:tc>
          <w:tcPr>
            <w:tcW w:w="114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49"/>
        </w:trPr>
        <w:tc>
          <w:tcPr>
            <w:tcW w:w="1140" w:type="dxa"/>
            <w:vAlign w:val="bottom"/>
          </w:tcPr>
          <w:p>
            <w:pPr>
              <w:spacing w:after="0"/>
              <w:rPr>
                <w:sz w:val="21"/>
                <w:szCs w:val="21"/>
                <w:color w:val="auto"/>
              </w:rPr>
            </w:pPr>
          </w:p>
        </w:tc>
        <w:tc>
          <w:tcPr>
            <w:tcW w:w="37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 lease cost</w:t>
            </w:r>
          </w:p>
        </w:tc>
        <w:tc>
          <w:tcPr>
            <w:tcW w:w="1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542,550</w:t>
            </w:r>
          </w:p>
        </w:tc>
        <w:tc>
          <w:tcPr>
            <w:tcW w:w="100" w:type="dxa"/>
            <w:vAlign w:val="bottom"/>
            <w:shd w:val="clear" w:color="auto" w:fill="CFF0FC"/>
          </w:tcPr>
          <w:p>
            <w:pPr>
              <w:spacing w:after="0"/>
              <w:rPr>
                <w:sz w:val="21"/>
                <w:szCs w:val="21"/>
                <w:color w:val="auto"/>
              </w:rPr>
            </w:pPr>
          </w:p>
        </w:tc>
        <w:tc>
          <w:tcPr>
            <w:tcW w:w="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547,012</w:t>
            </w:r>
          </w:p>
        </w:tc>
        <w:tc>
          <w:tcPr>
            <w:tcW w:w="140" w:type="dxa"/>
            <w:vAlign w:val="bottom"/>
            <w:shd w:val="clear" w:color="auto" w:fill="CFF0FC"/>
          </w:tcPr>
          <w:p>
            <w:pPr>
              <w:spacing w:after="0"/>
              <w:rPr>
                <w:sz w:val="21"/>
                <w:szCs w:val="21"/>
                <w:color w:val="auto"/>
              </w:rPr>
            </w:pPr>
          </w:p>
        </w:tc>
        <w:tc>
          <w:tcPr>
            <w:tcW w:w="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553,264</w:t>
            </w:r>
          </w:p>
        </w:tc>
        <w:tc>
          <w:tcPr>
            <w:tcW w:w="80" w:type="dxa"/>
            <w:vAlign w:val="bottom"/>
            <w:shd w:val="clear" w:color="auto" w:fill="CFF0FC"/>
          </w:tcPr>
          <w:p>
            <w:pPr>
              <w:spacing w:after="0"/>
              <w:rPr>
                <w:sz w:val="21"/>
                <w:szCs w:val="21"/>
                <w:color w:val="auto"/>
              </w:rPr>
            </w:pPr>
          </w:p>
        </w:tc>
        <w:tc>
          <w:tcPr>
            <w:tcW w:w="1120" w:type="dxa"/>
            <w:vAlign w:val="bottom"/>
          </w:tcPr>
          <w:p>
            <w:pPr>
              <w:spacing w:after="0"/>
              <w:rPr>
                <w:sz w:val="21"/>
                <w:szCs w:val="21"/>
                <w:color w:val="auto"/>
              </w:rPr>
            </w:pPr>
          </w:p>
        </w:tc>
      </w:tr>
      <w:tr>
        <w:trPr>
          <w:trHeight w:val="845"/>
        </w:trPr>
        <w:tc>
          <w:tcPr>
            <w:tcW w:w="1140" w:type="dxa"/>
            <w:vAlign w:val="bottom"/>
          </w:tcPr>
          <w:p>
            <w:pPr>
              <w:spacing w:after="0"/>
              <w:rPr>
                <w:sz w:val="24"/>
                <w:szCs w:val="24"/>
                <w:color w:val="auto"/>
              </w:rPr>
            </w:pPr>
          </w:p>
        </w:tc>
        <w:tc>
          <w:tcPr>
            <w:tcW w:w="3700" w:type="dxa"/>
            <w:vAlign w:val="bottom"/>
            <w:tcBorders>
              <w:top w:val="single" w:sz="8" w:color="CFF0FC"/>
            </w:tcBorders>
          </w:tcPr>
          <w:p>
            <w:pPr>
              <w:spacing w:after="0"/>
              <w:rPr>
                <w:sz w:val="24"/>
                <w:szCs w:val="24"/>
                <w:color w:val="auto"/>
              </w:rPr>
            </w:pPr>
          </w:p>
        </w:tc>
        <w:tc>
          <w:tcPr>
            <w:tcW w:w="1600" w:type="dxa"/>
            <w:vAlign w:val="bottom"/>
            <w:tcBorders>
              <w:top w:val="single" w:sz="8" w:color="CFF0FC"/>
            </w:tcBorders>
          </w:tcPr>
          <w:p>
            <w:pPr>
              <w:jc w:val="right"/>
              <w:ind w:right="630"/>
              <w:spacing w:after="0"/>
              <w:rPr>
                <w:sz w:val="20"/>
                <w:szCs w:val="20"/>
                <w:color w:val="auto"/>
              </w:rPr>
            </w:pPr>
            <w:r>
              <w:rPr>
                <w:rFonts w:ascii="Times New Roman" w:cs="Times New Roman" w:eastAsia="Times New Roman" w:hAnsi="Times New Roman"/>
                <w:sz w:val="18"/>
                <w:szCs w:val="18"/>
                <w:color w:val="auto"/>
              </w:rPr>
              <w:t>82</w:t>
            </w:r>
          </w:p>
        </w:tc>
        <w:tc>
          <w:tcPr>
            <w:tcW w:w="12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1120" w:type="dxa"/>
            <w:vAlign w:val="bottom"/>
          </w:tcPr>
          <w:p>
            <w:pPr>
              <w:spacing w:after="0"/>
              <w:rPr>
                <w:sz w:val="24"/>
                <w:szCs w:val="24"/>
                <w:color w:val="auto"/>
              </w:rPr>
            </w:pPr>
          </w:p>
        </w:tc>
      </w:tr>
      <w:tr>
        <w:trPr>
          <w:trHeight w:val="763"/>
        </w:trPr>
        <w:tc>
          <w:tcPr>
            <w:tcW w:w="1140" w:type="dxa"/>
            <w:vAlign w:val="bottom"/>
            <w:tcBorders>
              <w:bottom w:val="single" w:sz="8" w:color="9A9A9A"/>
            </w:tcBorders>
          </w:tcPr>
          <w:p>
            <w:pPr>
              <w:spacing w:after="0"/>
              <w:rPr>
                <w:sz w:val="24"/>
                <w:szCs w:val="24"/>
                <w:color w:val="auto"/>
              </w:rPr>
            </w:pPr>
          </w:p>
        </w:tc>
        <w:tc>
          <w:tcPr>
            <w:tcW w:w="370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-1071245</wp:posOffset>
            </wp:positionV>
            <wp:extent cx="51435"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-1053465</wp:posOffset>
            </wp:positionV>
            <wp:extent cx="51435"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-1071245</wp:posOffset>
            </wp:positionV>
            <wp:extent cx="51435"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-1053465</wp:posOffset>
            </wp:positionV>
            <wp:extent cx="51435"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-1071245</wp:posOffset>
            </wp:positionV>
            <wp:extent cx="51435"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-1053465</wp:posOffset>
            </wp:positionV>
            <wp:extent cx="51435"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3" w:name="page84"/>
    <w:bookmarkEnd w:id="83"/>
    <w:p>
      <w:pPr>
        <w:spacing w:after="0" w:line="200" w:lineRule="exact"/>
        <w:rPr>
          <w:sz w:val="20"/>
          <w:szCs w:val="20"/>
          <w:color w:val="auto"/>
        </w:rPr>
      </w:pPr>
    </w:p>
    <w:p>
      <w:pPr>
        <w:spacing w:after="0" w:line="23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Other information for the Company’s leases is as follows (in thousands):</w:t>
      </w:r>
    </w:p>
    <w:p>
      <w:pPr>
        <w:spacing w:after="0" w:line="246"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45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Fiscal years ended</w:t>
            </w: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17"/>
        </w:trPr>
        <w:tc>
          <w:tcPr>
            <w:tcW w:w="45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gridSpan w:val="2"/>
          </w:tcPr>
          <w:p>
            <w:pPr>
              <w:jc w:val="center"/>
              <w:ind w:right="68"/>
              <w:spacing w:after="0" w:line="118" w:lineRule="exact"/>
              <w:rPr>
                <w:sz w:val="20"/>
                <w:szCs w:val="20"/>
                <w:color w:val="auto"/>
              </w:rPr>
            </w:pPr>
            <w:r>
              <w:rPr>
                <w:rFonts w:ascii="Times New Roman" w:cs="Times New Roman" w:eastAsia="Times New Roman" w:hAnsi="Times New Roman"/>
                <w:sz w:val="13"/>
                <w:szCs w:val="13"/>
                <w:b w:val="1"/>
                <w:bCs w:val="1"/>
                <w:color w:val="auto"/>
              </w:rPr>
              <w:t>January 31,</w:t>
            </w:r>
          </w:p>
        </w:tc>
        <w:tc>
          <w:tcPr>
            <w:tcW w:w="200" w:type="dxa"/>
            <w:vAlign w:val="bottom"/>
          </w:tcPr>
          <w:p>
            <w:pPr>
              <w:spacing w:after="0"/>
              <w:rPr>
                <w:sz w:val="10"/>
                <w:szCs w:val="10"/>
                <w:color w:val="auto"/>
              </w:rPr>
            </w:pPr>
          </w:p>
        </w:tc>
        <w:tc>
          <w:tcPr>
            <w:tcW w:w="1160" w:type="dxa"/>
            <w:vAlign w:val="bottom"/>
            <w:gridSpan w:val="5"/>
          </w:tcPr>
          <w:p>
            <w:pPr>
              <w:jc w:val="center"/>
              <w:ind w:right="120"/>
              <w:spacing w:after="0" w:line="118" w:lineRule="exact"/>
              <w:rPr>
                <w:sz w:val="20"/>
                <w:szCs w:val="20"/>
                <w:color w:val="auto"/>
              </w:rPr>
            </w:pPr>
            <w:r>
              <w:rPr>
                <w:rFonts w:ascii="Times New Roman" w:cs="Times New Roman" w:eastAsia="Times New Roman" w:hAnsi="Times New Roman"/>
                <w:sz w:val="13"/>
                <w:szCs w:val="13"/>
                <w:b w:val="1"/>
                <w:bCs w:val="1"/>
                <w:color w:val="auto"/>
              </w:rPr>
              <w:t>February 1,</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gridSpan w:val="2"/>
          </w:tcPr>
          <w:p>
            <w:pPr>
              <w:jc w:val="center"/>
              <w:ind w:right="160"/>
              <w:spacing w:after="0" w:line="118" w:lineRule="exact"/>
              <w:rPr>
                <w:sz w:val="20"/>
                <w:szCs w:val="20"/>
                <w:color w:val="auto"/>
              </w:rPr>
            </w:pPr>
            <w:r>
              <w:rPr>
                <w:rFonts w:ascii="Times New Roman" w:cs="Times New Roman" w:eastAsia="Times New Roman" w:hAnsi="Times New Roman"/>
                <w:sz w:val="13"/>
                <w:szCs w:val="13"/>
                <w:b w:val="1"/>
                <w:bCs w:val="1"/>
                <w:color w:val="auto"/>
              </w:rPr>
              <w:t>February 3,</w:t>
            </w:r>
          </w:p>
        </w:tc>
        <w:tc>
          <w:tcPr>
            <w:tcW w:w="80" w:type="dxa"/>
            <w:vAlign w:val="bottom"/>
          </w:tcPr>
          <w:p>
            <w:pPr>
              <w:spacing w:after="0"/>
              <w:rPr>
                <w:sz w:val="10"/>
                <w:szCs w:val="10"/>
                <w:color w:val="auto"/>
              </w:rPr>
            </w:pPr>
          </w:p>
        </w:tc>
      </w:tr>
      <w:tr>
        <w:trPr>
          <w:trHeight w:val="173"/>
        </w:trPr>
        <w:tc>
          <w:tcPr>
            <w:tcW w:w="45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center"/>
              <w:ind w:left="117"/>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34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2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42"/>
        </w:trPr>
        <w:tc>
          <w:tcPr>
            <w:tcW w:w="45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68"/>
              <w:spacing w:after="0" w:line="142" w:lineRule="exact"/>
              <w:rPr>
                <w:sz w:val="20"/>
                <w:szCs w:val="20"/>
                <w:color w:val="auto"/>
              </w:rPr>
            </w:pPr>
            <w:r>
              <w:rPr>
                <w:rFonts w:ascii="Times New Roman" w:cs="Times New Roman" w:eastAsia="Times New Roman" w:hAnsi="Times New Roman"/>
                <w:sz w:val="14"/>
                <w:szCs w:val="14"/>
                <w:b w:val="1"/>
                <w:bCs w:val="1"/>
                <w:color w:val="auto"/>
              </w:rPr>
              <w:t>(52 weeks)</w:t>
            </w:r>
          </w:p>
        </w:tc>
        <w:tc>
          <w:tcPr>
            <w:tcW w:w="200" w:type="dxa"/>
            <w:vAlign w:val="bottom"/>
          </w:tcPr>
          <w:p>
            <w:pPr>
              <w:spacing w:after="0"/>
              <w:rPr>
                <w:sz w:val="12"/>
                <w:szCs w:val="12"/>
                <w:color w:val="auto"/>
              </w:rPr>
            </w:pPr>
          </w:p>
        </w:tc>
        <w:tc>
          <w:tcPr>
            <w:tcW w:w="1060" w:type="dxa"/>
            <w:vAlign w:val="bottom"/>
            <w:gridSpan w:val="4"/>
          </w:tcPr>
          <w:p>
            <w:pPr>
              <w:jc w:val="center"/>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(52 weeks)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140"/>
              <w:spacing w:after="0" w:line="142" w:lineRule="exact"/>
              <w:rPr>
                <w:sz w:val="20"/>
                <w:szCs w:val="20"/>
                <w:color w:val="auto"/>
              </w:rPr>
            </w:pPr>
            <w:r>
              <w:rPr>
                <w:rFonts w:ascii="Times New Roman" w:cs="Times New Roman" w:eastAsia="Times New Roman" w:hAnsi="Times New Roman"/>
                <w:sz w:val="14"/>
                <w:szCs w:val="14"/>
                <w:b w:val="1"/>
                <w:bCs w:val="1"/>
                <w:color w:val="auto"/>
              </w:rPr>
              <w:t>(53 weeks)</w:t>
            </w:r>
          </w:p>
        </w:tc>
        <w:tc>
          <w:tcPr>
            <w:tcW w:w="80" w:type="dxa"/>
            <w:vAlign w:val="bottom"/>
          </w:tcPr>
          <w:p>
            <w:pPr>
              <w:spacing w:after="0"/>
              <w:rPr>
                <w:sz w:val="12"/>
                <w:szCs w:val="12"/>
                <w:color w:val="auto"/>
              </w:rPr>
            </w:pPr>
          </w:p>
        </w:tc>
      </w:tr>
      <w:tr>
        <w:trPr>
          <w:trHeight w:val="198"/>
        </w:trPr>
        <w:tc>
          <w:tcPr>
            <w:tcW w:w="458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Cash paid for amounts included in the measurement</w:t>
            </w:r>
          </w:p>
        </w:tc>
        <w:tc>
          <w:tcPr>
            <w:tcW w:w="7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34"/>
        </w:trPr>
        <w:tc>
          <w:tcPr>
            <w:tcW w:w="45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of lease liabilities:</w:t>
            </w:r>
          </w:p>
        </w:tc>
        <w:tc>
          <w:tcPr>
            <w:tcW w:w="7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r>
      <w:tr>
        <w:trPr>
          <w:trHeight w:val="216"/>
        </w:trPr>
        <w:tc>
          <w:tcPr>
            <w:tcW w:w="4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371,134</w:t>
            </w:r>
          </w:p>
        </w:tc>
        <w:tc>
          <w:tcPr>
            <w:tcW w:w="4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418,219</w:t>
            </w:r>
          </w:p>
        </w:tc>
        <w:tc>
          <w:tcPr>
            <w:tcW w:w="100" w:type="dxa"/>
            <w:vAlign w:val="bottom"/>
          </w:tcPr>
          <w:p>
            <w:pPr>
              <w:spacing w:after="0"/>
              <w:rPr>
                <w:sz w:val="18"/>
                <w:szCs w:val="18"/>
                <w:color w:val="auto"/>
              </w:rPr>
            </w:pP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446,981</w:t>
            </w:r>
          </w:p>
        </w:tc>
        <w:tc>
          <w:tcPr>
            <w:tcW w:w="80" w:type="dxa"/>
            <w:vAlign w:val="bottom"/>
          </w:tcPr>
          <w:p>
            <w:pPr>
              <w:spacing w:after="0"/>
              <w:rPr>
                <w:sz w:val="18"/>
                <w:szCs w:val="18"/>
                <w:color w:val="auto"/>
              </w:rPr>
            </w:pPr>
          </w:p>
        </w:tc>
      </w:tr>
      <w:tr>
        <w:trPr>
          <w:trHeight w:val="216"/>
        </w:trPr>
        <w:tc>
          <w:tcPr>
            <w:tcW w:w="45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Operating cash flows from finance leases</w:t>
            </w:r>
          </w:p>
        </w:tc>
        <w:tc>
          <w:tcPr>
            <w:tcW w:w="8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851</w:t>
            </w:r>
          </w:p>
        </w:tc>
        <w:tc>
          <w:tcPr>
            <w:tcW w:w="48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788</w:t>
            </w:r>
          </w:p>
        </w:tc>
        <w:tc>
          <w:tcPr>
            <w:tcW w:w="100" w:type="dxa"/>
            <w:vAlign w:val="bottom"/>
            <w:shd w:val="clear" w:color="auto" w:fill="CFF0FC"/>
          </w:tcPr>
          <w:p>
            <w:pPr>
              <w:spacing w:after="0"/>
              <w:rPr>
                <w:sz w:val="18"/>
                <w:szCs w:val="18"/>
                <w:color w:val="auto"/>
              </w:rPr>
            </w:pPr>
          </w:p>
        </w:tc>
        <w:tc>
          <w:tcPr>
            <w:tcW w:w="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1,267</w:t>
            </w:r>
          </w:p>
        </w:tc>
        <w:tc>
          <w:tcPr>
            <w:tcW w:w="80" w:type="dxa"/>
            <w:vAlign w:val="bottom"/>
            <w:shd w:val="clear" w:color="auto" w:fill="CFF0FC"/>
          </w:tcPr>
          <w:p>
            <w:pPr>
              <w:spacing w:after="0"/>
              <w:rPr>
                <w:sz w:val="18"/>
                <w:szCs w:val="18"/>
                <w:color w:val="auto"/>
              </w:rPr>
            </w:pPr>
          </w:p>
        </w:tc>
      </w:tr>
      <w:tr>
        <w:trPr>
          <w:trHeight w:val="216"/>
        </w:trPr>
        <w:tc>
          <w:tcPr>
            <w:tcW w:w="4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Financing cash flows from finance leases</w:t>
            </w: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5,614</w:t>
            </w:r>
          </w:p>
        </w:tc>
        <w:tc>
          <w:tcPr>
            <w:tcW w:w="4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5,707</w:t>
            </w:r>
          </w:p>
        </w:tc>
        <w:tc>
          <w:tcPr>
            <w:tcW w:w="100" w:type="dxa"/>
            <w:vAlign w:val="bottom"/>
          </w:tcPr>
          <w:p>
            <w:pPr>
              <w:spacing w:after="0"/>
              <w:rPr>
                <w:sz w:val="18"/>
                <w:szCs w:val="18"/>
                <w:color w:val="auto"/>
              </w:rPr>
            </w:pP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5,925</w:t>
            </w:r>
          </w:p>
        </w:tc>
        <w:tc>
          <w:tcPr>
            <w:tcW w:w="80" w:type="dxa"/>
            <w:vAlign w:val="bottom"/>
          </w:tcPr>
          <w:p>
            <w:pPr>
              <w:spacing w:after="0"/>
              <w:rPr>
                <w:sz w:val="18"/>
                <w:szCs w:val="18"/>
                <w:color w:val="auto"/>
              </w:rPr>
            </w:pPr>
          </w:p>
        </w:tc>
      </w:tr>
      <w:tr>
        <w:trPr>
          <w:trHeight w:val="216"/>
        </w:trPr>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 assets obtained in exchange for lease liabilities:</w:t>
            </w:r>
          </w:p>
        </w:tc>
        <w:tc>
          <w:tcPr>
            <w:tcW w:w="7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4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Operating leases</w:t>
            </w: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290,555</w:t>
            </w:r>
          </w:p>
        </w:tc>
        <w:tc>
          <w:tcPr>
            <w:tcW w:w="4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223,541</w:t>
            </w:r>
          </w:p>
        </w:tc>
        <w:tc>
          <w:tcPr>
            <w:tcW w:w="100" w:type="dxa"/>
            <w:vAlign w:val="bottom"/>
          </w:tcPr>
          <w:p>
            <w:pPr>
              <w:spacing w:after="0"/>
              <w:rPr>
                <w:sz w:val="18"/>
                <w:szCs w:val="18"/>
                <w:color w:val="auto"/>
              </w:rPr>
            </w:pP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298,672</w:t>
            </w:r>
          </w:p>
        </w:tc>
        <w:tc>
          <w:tcPr>
            <w:tcW w:w="80" w:type="dxa"/>
            <w:vAlign w:val="bottom"/>
          </w:tcPr>
          <w:p>
            <w:pPr>
              <w:spacing w:after="0"/>
              <w:rPr>
                <w:sz w:val="18"/>
                <w:szCs w:val="18"/>
                <w:color w:val="auto"/>
              </w:rPr>
            </w:pPr>
          </w:p>
        </w:tc>
      </w:tr>
      <w:tr>
        <w:trPr>
          <w:trHeight w:val="216"/>
        </w:trPr>
        <w:tc>
          <w:tcPr>
            <w:tcW w:w="45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Finance leases</w:t>
            </w:r>
          </w:p>
        </w:tc>
        <w:tc>
          <w:tcPr>
            <w:tcW w:w="8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1,541</w:t>
            </w:r>
          </w:p>
        </w:tc>
        <w:tc>
          <w:tcPr>
            <w:tcW w:w="48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7,516</w:t>
            </w:r>
          </w:p>
        </w:tc>
        <w:tc>
          <w:tcPr>
            <w:tcW w:w="100" w:type="dxa"/>
            <w:vAlign w:val="bottom"/>
            <w:shd w:val="clear" w:color="auto" w:fill="CFF0FC"/>
          </w:tcPr>
          <w:p>
            <w:pPr>
              <w:spacing w:after="0"/>
              <w:rPr>
                <w:sz w:val="18"/>
                <w:szCs w:val="18"/>
                <w:color w:val="auto"/>
              </w:rPr>
            </w:pPr>
          </w:p>
        </w:tc>
        <w:tc>
          <w:tcPr>
            <w:tcW w:w="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712</w:t>
            </w:r>
          </w:p>
        </w:tc>
        <w:tc>
          <w:tcPr>
            <w:tcW w:w="80" w:type="dxa"/>
            <w:vAlign w:val="bottom"/>
            <w:shd w:val="clear" w:color="auto" w:fill="CFF0FC"/>
          </w:tcPr>
          <w:p>
            <w:pPr>
              <w:spacing w:after="0"/>
              <w:rPr>
                <w:sz w:val="18"/>
                <w:szCs w:val="18"/>
                <w:color w:val="auto"/>
              </w:rPr>
            </w:pPr>
          </w:p>
        </w:tc>
      </w:tr>
      <w:tr>
        <w:trPr>
          <w:trHeight w:val="367"/>
        </w:trPr>
        <w:tc>
          <w:tcPr>
            <w:tcW w:w="45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700" w:type="dxa"/>
            <w:vAlign w:val="bottom"/>
            <w:gridSpan w:val="7"/>
          </w:tcPr>
          <w:p>
            <w:pPr>
              <w:ind w:left="260"/>
              <w:spacing w:after="0"/>
              <w:rPr>
                <w:sz w:val="20"/>
                <w:szCs w:val="20"/>
                <w:color w:val="auto"/>
              </w:rPr>
            </w:pPr>
            <w:r>
              <w:rPr>
                <w:rFonts w:ascii="Times New Roman" w:cs="Times New Roman" w:eastAsia="Times New Roman" w:hAnsi="Times New Roman"/>
                <w:sz w:val="14"/>
                <w:szCs w:val="14"/>
                <w:b w:val="1"/>
                <w:bCs w:val="1"/>
                <w:color w:val="auto"/>
              </w:rPr>
              <w:t>January 31,</w:t>
            </w:r>
          </w:p>
        </w:tc>
        <w:tc>
          <w:tcPr>
            <w:tcW w:w="1260" w:type="dxa"/>
            <w:vAlign w:val="bottom"/>
            <w:gridSpan w:val="5"/>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February 1,</w:t>
            </w:r>
          </w:p>
        </w:tc>
      </w:tr>
      <w:tr>
        <w:trPr>
          <w:trHeight w:val="173"/>
        </w:trPr>
        <w:tc>
          <w:tcPr>
            <w:tcW w:w="45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2026</w:t>
            </w:r>
          </w:p>
        </w:tc>
        <w:tc>
          <w:tcPr>
            <w:tcW w:w="44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09"/>
        </w:trPr>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 average remaining lease term:</w:t>
            </w:r>
          </w:p>
        </w:tc>
        <w:tc>
          <w:tcPr>
            <w:tcW w:w="7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4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Operating leases</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5.4</w:t>
            </w:r>
          </w:p>
        </w:tc>
        <w:tc>
          <w:tcPr>
            <w:tcW w:w="880" w:type="dxa"/>
            <w:vAlign w:val="bottom"/>
            <w:gridSpan w:val="4"/>
          </w:tcPr>
          <w:p>
            <w:pPr>
              <w:jc w:val="center"/>
              <w:ind w:right="420"/>
              <w:spacing w:after="0"/>
              <w:rPr>
                <w:sz w:val="20"/>
                <w:szCs w:val="20"/>
                <w:color w:val="auto"/>
              </w:rPr>
            </w:pPr>
            <w:r>
              <w:rPr>
                <w:rFonts w:ascii="Times New Roman" w:cs="Times New Roman" w:eastAsia="Times New Roman" w:hAnsi="Times New Roman"/>
                <w:sz w:val="18"/>
                <w:szCs w:val="18"/>
                <w:color w:val="auto"/>
                <w:w w:val="99"/>
              </w:rPr>
              <w:t>years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5.7 years</w:t>
            </w:r>
          </w:p>
        </w:tc>
      </w:tr>
      <w:tr>
        <w:trPr>
          <w:trHeight w:val="216"/>
        </w:trPr>
        <w:tc>
          <w:tcPr>
            <w:tcW w:w="45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Finance leases</w:t>
            </w:r>
          </w:p>
        </w:tc>
        <w:tc>
          <w:tcPr>
            <w:tcW w:w="7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48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2.7</w:t>
            </w:r>
          </w:p>
        </w:tc>
        <w:tc>
          <w:tcPr>
            <w:tcW w:w="880" w:type="dxa"/>
            <w:vAlign w:val="bottom"/>
            <w:gridSpan w:val="4"/>
            <w:shd w:val="clear" w:color="auto" w:fill="CFF0FC"/>
          </w:tcPr>
          <w:p>
            <w:pPr>
              <w:jc w:val="center"/>
              <w:ind w:right="420"/>
              <w:spacing w:after="0"/>
              <w:rPr>
                <w:sz w:val="20"/>
                <w:szCs w:val="20"/>
                <w:color w:val="auto"/>
              </w:rPr>
            </w:pPr>
            <w:r>
              <w:rPr>
                <w:rFonts w:ascii="Times New Roman" w:cs="Times New Roman" w:eastAsia="Times New Roman" w:hAnsi="Times New Roman"/>
                <w:sz w:val="18"/>
                <w:szCs w:val="18"/>
                <w:color w:val="auto"/>
                <w:w w:val="99"/>
              </w:rPr>
              <w:t>years</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2.4 years</w:t>
            </w:r>
          </w:p>
        </w:tc>
      </w:tr>
      <w:tr>
        <w:trPr>
          <w:trHeight w:val="216"/>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5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Operating leases</w:t>
            </w:r>
          </w:p>
        </w:tc>
        <w:tc>
          <w:tcPr>
            <w:tcW w:w="7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8.1%</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8.1%</w:t>
            </w:r>
          </w:p>
        </w:tc>
      </w:tr>
      <w:tr>
        <w:trPr>
          <w:trHeight w:val="234"/>
        </w:trPr>
        <w:tc>
          <w:tcPr>
            <w:tcW w:w="4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Finance leases</w:t>
            </w: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6.3%</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6.0%</w:t>
            </w:r>
          </w:p>
        </w:tc>
      </w:tr>
    </w:tbl>
    <w:p>
      <w:pPr>
        <w:spacing w:after="0" w:line="24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At January 31, 2026, the maturities of the Company’s operating and finance lease liabilities were as follows (in thousands):</w:t>
      </w:r>
    </w:p>
    <w:p>
      <w:pPr>
        <w:spacing w:after="0" w:line="23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60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Fiscal years</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Finance</w:t>
            </w:r>
          </w:p>
        </w:tc>
        <w:tc>
          <w:tcPr>
            <w:tcW w:w="0" w:type="dxa"/>
            <w:vAlign w:val="bottom"/>
          </w:tcPr>
          <w:p>
            <w:pPr>
              <w:spacing w:after="0"/>
              <w:rPr>
                <w:sz w:val="1"/>
                <w:szCs w:val="1"/>
                <w:color w:val="auto"/>
              </w:rPr>
            </w:pPr>
          </w:p>
        </w:tc>
      </w:tr>
      <w:tr>
        <w:trPr>
          <w:trHeight w:val="173"/>
        </w:trPr>
        <w:tc>
          <w:tcPr>
            <w:tcW w:w="60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w:t>
            </w:r>
          </w:p>
        </w:tc>
        <w:tc>
          <w:tcPr>
            <w:tcW w:w="14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414,719</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5,139</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346,852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2028</w:t>
            </w: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292,219</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1,444</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209,608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2030</w:t>
            </w: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141,853</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1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285,991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lease payments</w:t>
            </w:r>
          </w:p>
        </w:tc>
        <w:tc>
          <w:tcPr>
            <w:tcW w:w="3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1,691,242</w:t>
            </w:r>
          </w:p>
        </w:tc>
        <w:tc>
          <w:tcPr>
            <w:tcW w:w="140" w:type="dxa"/>
            <w:vAlign w:val="bottom"/>
            <w:shd w:val="clear" w:color="auto" w:fill="CFF0FC"/>
          </w:tcPr>
          <w:p>
            <w:pPr>
              <w:spacing w:after="0"/>
              <w:rPr>
                <w:sz w:val="18"/>
                <w:szCs w:val="18"/>
                <w:color w:val="auto"/>
              </w:rPr>
            </w:pPr>
          </w:p>
        </w:tc>
        <w:tc>
          <w:tcPr>
            <w:tcW w:w="3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10,633</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(323,975)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(950)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Present value of lease payments</w:t>
            </w:r>
          </w:p>
        </w:tc>
        <w:tc>
          <w:tcPr>
            <w:tcW w:w="14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1,367,267</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9,683</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Less current portion</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(320,082)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(4,608)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vMerge w:val="continue"/>
          </w:tcPr>
          <w:p>
            <w:pPr>
              <w:spacing w:after="0"/>
              <w:rPr>
                <w:sz w:val="19"/>
                <w:szCs w:val="19"/>
                <w:color w:val="auto"/>
              </w:rPr>
            </w:pPr>
          </w:p>
        </w:tc>
        <w:tc>
          <w:tcPr>
            <w:tcW w:w="6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 liabilities, excluding current portion</w:t>
            </w:r>
          </w:p>
        </w:tc>
        <w:tc>
          <w:tcPr>
            <w:tcW w:w="3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1,047,185</w:t>
            </w:r>
          </w:p>
        </w:tc>
        <w:tc>
          <w:tcPr>
            <w:tcW w:w="14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5,075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5440045</wp:posOffset>
            </wp:positionH>
            <wp:positionV relativeFrom="paragraph">
              <wp:posOffset>-24765</wp:posOffset>
            </wp:positionV>
            <wp:extent cx="51435"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-7620</wp:posOffset>
            </wp:positionV>
            <wp:extent cx="51435"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-24765</wp:posOffset>
            </wp:positionV>
            <wp:extent cx="51435"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Goodwill</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changes in the carrying amount of the Company’s goodwill were as follows (in thousands):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spacing w:after="0"/>
              <w:rPr>
                <w:sz w:val="13"/>
                <w:szCs w:val="13"/>
                <w:color w:val="auto"/>
              </w:rPr>
            </w:pPr>
          </w:p>
        </w:tc>
        <w:tc>
          <w:tcPr>
            <w:tcW w:w="314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January 31,</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8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February 1,</w:t>
            </w:r>
          </w:p>
        </w:tc>
      </w:tr>
      <w:tr>
        <w:trPr>
          <w:trHeight w:val="173"/>
        </w:trPr>
        <w:tc>
          <w:tcPr>
            <w:tcW w:w="114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2026</w:t>
            </w:r>
          </w:p>
        </w:tc>
        <w:tc>
          <w:tcPr>
            <w:tcW w:w="2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209"/>
        </w:trPr>
        <w:tc>
          <w:tcPr>
            <w:tcW w:w="1140" w:type="dxa"/>
            <w:vAlign w:val="bottom"/>
          </w:tcPr>
          <w:p>
            <w:pPr>
              <w:spacing w:after="0"/>
              <w:rPr>
                <w:sz w:val="18"/>
                <w:szCs w:val="18"/>
                <w:color w:val="auto"/>
              </w:rPr>
            </w:pPr>
          </w:p>
        </w:tc>
        <w:tc>
          <w:tcPr>
            <w:tcW w:w="3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3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980,064</w:t>
            </w:r>
          </w:p>
        </w:tc>
        <w:tc>
          <w:tcPr>
            <w:tcW w:w="400" w:type="dxa"/>
            <w:vAlign w:val="bottom"/>
            <w:gridSpan w:val="2"/>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980,297</w:t>
            </w: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Activity from divestiture</w:t>
            </w:r>
          </w:p>
        </w:tc>
        <w:tc>
          <w:tcPr>
            <w:tcW w:w="3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(233)</w:t>
            </w:r>
          </w:p>
        </w:tc>
        <w:tc>
          <w:tcPr>
            <w:tcW w:w="1120" w:type="dxa"/>
            <w:vAlign w:val="bottom"/>
          </w:tcPr>
          <w:p>
            <w:pPr>
              <w:spacing w:after="0"/>
              <w:rPr>
                <w:sz w:val="18"/>
                <w:szCs w:val="18"/>
                <w:color w:val="auto"/>
              </w:rPr>
            </w:pPr>
          </w:p>
        </w:tc>
      </w:tr>
      <w:tr>
        <w:trPr>
          <w:trHeight w:val="249"/>
        </w:trPr>
        <w:tc>
          <w:tcPr>
            <w:tcW w:w="1140" w:type="dxa"/>
            <w:vAlign w:val="bottom"/>
          </w:tcPr>
          <w:p>
            <w:pPr>
              <w:spacing w:after="0"/>
              <w:rPr>
                <w:sz w:val="21"/>
                <w:szCs w:val="21"/>
                <w:color w:val="auto"/>
              </w:rPr>
            </w:pPr>
          </w:p>
        </w:tc>
        <w:tc>
          <w:tcPr>
            <w:tcW w:w="314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3040" w:type="dxa"/>
            <w:vAlign w:val="bottom"/>
            <w:tcBorders>
              <w:top w:val="single" w:sz="8" w:color="CFF0FC"/>
              <w:bottom w:val="single" w:sz="8" w:color="CFF0FC"/>
            </w:tcBorders>
            <w:shd w:val="clear" w:color="auto" w:fill="CFF0FC"/>
          </w:tcPr>
          <w:p>
            <w:pPr>
              <w:spacing w:after="0"/>
              <w:rPr>
                <w:sz w:val="21"/>
                <w:szCs w:val="21"/>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980,064</w:t>
            </w:r>
          </w:p>
        </w:tc>
        <w:tc>
          <w:tcPr>
            <w:tcW w:w="220" w:type="dxa"/>
            <w:vAlign w:val="bottom"/>
            <w:tcBorders>
              <w:top w:val="single" w:sz="8" w:color="CFF0FC"/>
              <w:bottom w:val="single" w:sz="8" w:color="CFF0FC"/>
            </w:tcBorders>
            <w:shd w:val="clear" w:color="auto" w:fill="CFF0FC"/>
          </w:tcPr>
          <w:p>
            <w:pPr>
              <w:spacing w:after="0"/>
              <w:rPr>
                <w:sz w:val="21"/>
                <w:szCs w:val="21"/>
                <w:color w:val="auto"/>
              </w:rPr>
            </w:pPr>
          </w:p>
        </w:tc>
        <w:tc>
          <w:tcPr>
            <w:tcW w:w="180" w:type="dxa"/>
            <w:vAlign w:val="bottom"/>
            <w:tcBorders>
              <w:top w:val="single" w:sz="8" w:color="auto"/>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980,064</w:t>
            </w:r>
          </w:p>
        </w:tc>
        <w:tc>
          <w:tcPr>
            <w:tcW w:w="80" w:type="dxa"/>
            <w:vAlign w:val="bottom"/>
            <w:tcBorders>
              <w:top w:val="single" w:sz="8" w:color="CFF0FC"/>
              <w:bottom w:val="single" w:sz="8" w:color="CFF0FC"/>
            </w:tcBorders>
            <w:shd w:val="clear" w:color="auto" w:fill="CFF0FC"/>
          </w:tcPr>
          <w:p>
            <w:pPr>
              <w:spacing w:after="0"/>
              <w:rPr>
                <w:sz w:val="21"/>
                <w:szCs w:val="21"/>
                <w:color w:val="auto"/>
              </w:rPr>
            </w:pPr>
          </w:p>
        </w:tc>
        <w:tc>
          <w:tcPr>
            <w:tcW w:w="1120" w:type="dxa"/>
            <w:vAlign w:val="bottom"/>
          </w:tcPr>
          <w:p>
            <w:pPr>
              <w:spacing w:after="0"/>
              <w:rPr>
                <w:sz w:val="21"/>
                <w:szCs w:val="21"/>
                <w:color w:val="auto"/>
              </w:rPr>
            </w:pPr>
          </w:p>
        </w:tc>
      </w:tr>
      <w:tr>
        <w:trPr>
          <w:trHeight w:val="844"/>
        </w:trPr>
        <w:tc>
          <w:tcPr>
            <w:tcW w:w="114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3040" w:type="dxa"/>
            <w:vAlign w:val="bottom"/>
          </w:tcPr>
          <w:p>
            <w:pPr>
              <w:jc w:val="right"/>
              <w:ind w:right="1510"/>
              <w:spacing w:after="0"/>
              <w:rPr>
                <w:sz w:val="20"/>
                <w:szCs w:val="20"/>
                <w:color w:val="auto"/>
              </w:rPr>
            </w:pPr>
            <w:r>
              <w:rPr>
                <w:rFonts w:ascii="Times New Roman" w:cs="Times New Roman" w:eastAsia="Times New Roman" w:hAnsi="Times New Roman"/>
                <w:sz w:val="18"/>
                <w:szCs w:val="18"/>
                <w:color w:val="auto"/>
              </w:rPr>
              <w:t>83</w:t>
            </w: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763"/>
        </w:trPr>
        <w:tc>
          <w:tcPr>
            <w:tcW w:w="1140" w:type="dxa"/>
            <w:vAlign w:val="bottom"/>
            <w:tcBorders>
              <w:bottom w:val="single" w:sz="8" w:color="9A9A9A"/>
            </w:tcBorders>
          </w:tcPr>
          <w:p>
            <w:pPr>
              <w:spacing w:after="0"/>
              <w:rPr>
                <w:sz w:val="24"/>
                <w:szCs w:val="24"/>
                <w:color w:val="auto"/>
              </w:rPr>
            </w:pPr>
          </w:p>
        </w:tc>
        <w:tc>
          <w:tcPr>
            <w:tcW w:w="3140" w:type="dxa"/>
            <w:vAlign w:val="bottom"/>
            <w:tcBorders>
              <w:bottom w:val="single" w:sz="8" w:color="9A9A9A"/>
            </w:tcBorders>
          </w:tcPr>
          <w:p>
            <w:pPr>
              <w:spacing w:after="0"/>
              <w:rPr>
                <w:sz w:val="24"/>
                <w:szCs w:val="24"/>
                <w:color w:val="auto"/>
              </w:rPr>
            </w:pPr>
          </w:p>
        </w:tc>
        <w:tc>
          <w:tcPr>
            <w:tcW w:w="30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-1071245</wp:posOffset>
            </wp:positionV>
            <wp:extent cx="51435"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-1053465</wp:posOffset>
            </wp:positionV>
            <wp:extent cx="51435"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-1216660</wp:posOffset>
            </wp:positionV>
            <wp:extent cx="51435"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-1071245</wp:posOffset>
            </wp:positionV>
            <wp:extent cx="51435"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-1053465</wp:posOffset>
            </wp:positionV>
            <wp:extent cx="51435"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-1216660</wp:posOffset>
            </wp:positionV>
            <wp:extent cx="51435"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4" w:name="page85"/>
    <w:bookmarkEnd w:id="84"/>
    <w:p>
      <w:pPr>
        <w:spacing w:after="0" w:line="221" w:lineRule="exact"/>
        <w:rPr>
          <w:sz w:val="20"/>
          <w:szCs w:val="20"/>
          <w:color w:val="auto"/>
        </w:rPr>
      </w:pPr>
    </w:p>
    <w:p>
      <w:pPr>
        <w:ind w:right="580" w:firstLine="509"/>
        <w:spacing w:after="0" w:line="282" w:lineRule="auto"/>
        <w:rPr>
          <w:sz w:val="20"/>
          <w:szCs w:val="20"/>
          <w:color w:val="auto"/>
        </w:rPr>
      </w:pPr>
      <w:r>
        <w:rPr>
          <w:rFonts w:ascii="Times New Roman" w:cs="Times New Roman" w:eastAsia="Times New Roman" w:hAnsi="Times New Roman"/>
          <w:sz w:val="18"/>
          <w:szCs w:val="18"/>
          <w:color w:val="auto"/>
        </w:rPr>
        <w:t>The Company has one reporting unit. The Company performs its annual impairment test during the fourth quarter of each fiscal year or more frequently when warranted by events or changes in circumstances.</w:t>
      </w:r>
    </w:p>
    <w:p>
      <w:pPr>
        <w:spacing w:after="0" w:line="162"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During the third quarter of fiscal 2023, the Company concluded that indicators of impairment existed due to declines in the Company's share price, as well as macroeconomic conditions, and performed an interim quantitative impairment test. The fair value of the Company’s reporting unit was estimated by management with the assistance of a third-party valuation specialist. Fair value estimates used in the quantitative impairment test were calculated using a combination of discounted cash flow analysis and a public company analysis. The discounted cash flow analysis measures the value of an asset by the present value of its future estimated cash flows. The Company makes estimates and assumptions about sales, gross margins, selling, general and administrative percentages and profit margins, based on budgets and forecasts, business plans, economic projections, anticipated future cash flows, and marketplace data. The public company analysis analyzes transactional and financial data of publicly traded companies to develop valuation multiples. These multiples are then applied to the Company to develop an indication of fair value.</w:t>
      </w:r>
    </w:p>
    <w:p>
      <w:pPr>
        <w:spacing w:after="0" w:line="192" w:lineRule="exact"/>
        <w:rPr>
          <w:sz w:val="20"/>
          <w:szCs w:val="20"/>
          <w:color w:val="auto"/>
        </w:rPr>
      </w:pPr>
    </w:p>
    <w:p>
      <w:pPr>
        <w:jc w:val="both"/>
        <w:ind w:right="180" w:firstLine="554"/>
        <w:spacing w:after="0" w:line="266" w:lineRule="auto"/>
        <w:rPr>
          <w:sz w:val="20"/>
          <w:szCs w:val="20"/>
          <w:color w:val="auto"/>
        </w:rPr>
      </w:pPr>
      <w:r>
        <w:rPr>
          <w:rFonts w:ascii="Times New Roman" w:cs="Times New Roman" w:eastAsia="Times New Roman" w:hAnsi="Times New Roman"/>
          <w:sz w:val="18"/>
          <w:szCs w:val="18"/>
          <w:color w:val="auto"/>
        </w:rPr>
        <w:t>Significant assumptions used in the determination of fair value of the reporting unit generally include prospective financial information, discount rates, terminal growth rates and earnings multiples. The discounted cash flow model used to determine the fair value of the reporting unit during the third quarter of fiscal 2023 reflected the Company's most recent cash flow projections, a discount rate of 16.4% and a terminal growth rate of 3%.</w:t>
      </w:r>
    </w:p>
    <w:p>
      <w:pPr>
        <w:spacing w:after="0" w:line="176" w:lineRule="exact"/>
        <w:rPr>
          <w:sz w:val="20"/>
          <w:szCs w:val="20"/>
          <w:color w:val="auto"/>
        </w:rPr>
      </w:pPr>
    </w:p>
    <w:p>
      <w:pPr>
        <w:jc w:val="both"/>
        <w:ind w:right="420" w:firstLine="509"/>
        <w:spacing w:after="0" w:line="266" w:lineRule="auto"/>
        <w:rPr>
          <w:sz w:val="20"/>
          <w:szCs w:val="20"/>
          <w:color w:val="auto"/>
        </w:rPr>
      </w:pPr>
      <w:r>
        <w:rPr>
          <w:rFonts w:ascii="Times New Roman" w:cs="Times New Roman" w:eastAsia="Times New Roman" w:hAnsi="Times New Roman"/>
          <w:sz w:val="18"/>
          <w:szCs w:val="18"/>
          <w:color w:val="auto"/>
        </w:rPr>
        <w:t>As a result of the impairment test, the Company concluded that it was more likely than not that carrying value of the Company’s reporting unit exceeded its fair value and recorded a pre-tax goodwill impairment charge of $1,222.5 million during the third quarter of fiscal 2023. This charge was recorded in goodwill impairment in the consolidated statements of operations.</w:t>
      </w:r>
    </w:p>
    <w:p>
      <w:pPr>
        <w:spacing w:after="0" w:line="68"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During the first quarter of fiscal 2024, due to declines in the Company’s share price, the Company performed an interim impairment test. As the estimated fair value of the Company's reporting unit was in excess of its carrying value, the Company concluded that goodwill was not impaired during the first quarter of fiscal 2024. The fair value of the Company's reporting unit was based upon an equal weighting of the income and market approaches, utilizing estimated cash flows and a terminal value, discounted at a rate of return that reflects the relative risk of the cash flows, as well as valuation multiples derived from comparable publicly traded companies that are applied to operating performance of the reporting unit. The discounted cash flow model used to determine the fair value of the reporting unit during the first quarter of fiscal 2024 reflected the Company's most recent cash flow projections, a discount rate of 13.2%, and a terminal growth rate of 3%.</w:t>
      </w:r>
    </w:p>
    <w:p>
      <w:pPr>
        <w:spacing w:after="0" w:line="81"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During the fourth quarter of fiscal years 2025, 2024, and 2023, the Company concluded that it was more likely than not that the fair value of its reporting unit was greater than its carrying amount, and therefore no goodwill impairment charge was recorded. The reporting unit fair value measurement is classified as Level 3 in the fair value hierarchy because it involves significant unobservable inputs.</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Senior Secured Credit Facilities</w:t>
      </w:r>
    </w:p>
    <w:p>
      <w:pPr>
        <w:spacing w:after="0" w:line="22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On March 4, 2021, the Company entered into a $1,700.0 million secured term loan facility originally maturing on March 4, 2028 (the “First Lien Term Loan”) and a secured asset-based revolving credit facility with availability of up to $500.0 million, subject to a borrowing base, originally maturing on March 4, 2026 (as amended from time to time, the “ABL Revolving Credit Facility”). In March 2024, the Company amended the ABL Revolving Credit Facility, which now consists of two tranches, to increase its total availability from $500.0 million to $581.0 million and extend the maturity on a portion of this availability. The first tranche has availability of up to $35.0 million, subject to a borrowing base, maturing on March 4, 2026. The second tranche has availability of up to $546.0 million, subject to a borrowing base, maturing on March 29, 2029. Interest on the ABL Revolving Credit Facility is based on, at the Company's option, either the base rate subject to a 1% floor, or Term SOFR subject to a floor of 0%, plus an applicable margin. All other key terms of the ABL Revolving Credit Facility remained unchanged.</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5" w:name="page86"/>
    <w:bookmarkEnd w:id="85"/>
    <w:p>
      <w:pPr>
        <w:spacing w:after="0" w:line="194"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Company’s obligations under the First Lien Term Loan and ABL Revolving Credit Facility are secured by substantially all of the personal property assets of the Company with differing priority rights to the various personal property assets ascribed to each facility. The credit facility agreements, while not identical, contain certain affirmative and negative covenants related to indebtedness, liens, fundamental changes in the business, investments, restricted payments and agreements and a fixed charge coverage ratio, among other things. As of January 31, 2026, the Company was in compliance with its covenants on the agreements.</w:t>
      </w:r>
    </w:p>
    <w:p>
      <w:pPr>
        <w:spacing w:after="0" w:line="183"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The credit agreements governing the First Lien Term Loan and ABL Revolving Credit Facility contain customary default provisions including, among others, the failure to make payments when due, defaults under other material indebtedness, non-compliance with covenants, change of control and bankruptcy, the occurrence of any of which would limit the Company’s ability to draw on the ABL Revolving Credit Facility and could result in the applicable lenders under the First Lien Term Loan and ABL Revolving Credit Facility accelerating the maturity of such indebtedness and foreclosing upon the collateral pledged thereunder.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Term Loan Facilities</w:t>
      </w:r>
    </w:p>
    <w:p>
      <w:pPr>
        <w:spacing w:after="0" w:line="229" w:lineRule="exact"/>
        <w:rPr>
          <w:sz w:val="20"/>
          <w:szCs w:val="20"/>
          <w:color w:val="auto"/>
        </w:rPr>
      </w:pPr>
    </w:p>
    <w:p>
      <w:pPr>
        <w:ind w:right="40" w:firstLine="554"/>
        <w:spacing w:after="0" w:line="258" w:lineRule="auto"/>
        <w:rPr>
          <w:sz w:val="20"/>
          <w:szCs w:val="20"/>
          <w:color w:val="auto"/>
        </w:rPr>
      </w:pPr>
      <w:r>
        <w:rPr>
          <w:rFonts w:ascii="Times New Roman" w:cs="Times New Roman" w:eastAsia="Times New Roman" w:hAnsi="Times New Roman"/>
          <w:sz w:val="18"/>
          <w:szCs w:val="18"/>
          <w:color w:val="auto"/>
        </w:rPr>
        <w:t>Interest on the First Lien Term Loan was based on, at the Company’s option, either a base rate or Term SOFR plus the credit spread adjustment recommended by the Alternative Reference Rates Committee ("Adjusted Term SOFR"), subject to a 0.75% floor, payable upon maturity of the SOFR contract, in either case plus the applicable rate. The base rate was the greater of the bank prime rate, federal funds effective rate plus 0.5% or Adjusted Term SOFR plus 1.0%. The applicable rate was 2.25% per annum for a base rate loan or 3.25% per annum for an Adjusted Term SOFR loan. Principal and interest payments commenced on June 30, 2021. Principal payments were normally $4.25 million quarterly.</w:t>
      </w:r>
    </w:p>
    <w:p>
      <w:pPr>
        <w:spacing w:after="0" w:line="183" w:lineRule="exact"/>
        <w:rPr>
          <w:sz w:val="20"/>
          <w:szCs w:val="20"/>
          <w:color w:val="auto"/>
        </w:rPr>
      </w:pPr>
    </w:p>
    <w:p>
      <w:pPr>
        <w:ind w:right="160" w:firstLine="515"/>
        <w:spacing w:after="0" w:line="256" w:lineRule="auto"/>
        <w:rPr>
          <w:sz w:val="20"/>
          <w:szCs w:val="20"/>
          <w:color w:val="auto"/>
        </w:rPr>
      </w:pPr>
      <w:r>
        <w:rPr>
          <w:rFonts w:ascii="Times New Roman" w:cs="Times New Roman" w:eastAsia="Times New Roman" w:hAnsi="Times New Roman"/>
          <w:sz w:val="18"/>
          <w:szCs w:val="18"/>
          <w:color w:val="auto"/>
        </w:rPr>
        <w:t>During the fourth quarter of fiscal 2025, the Company voluntarily repaid $95.3 million of the principal of the First Lien Term Loan using existing cash on hand. During fiscal 2023, the Company voluntarily repaid $75.0 million of the principal of the First Lien Term Loan using existing cash on hand. The repayments were applied to the remaining principal payments in order of scheduled payment date and, as a result, the entire remaining balance was included in senior secured credit facilities, net, excluding current portion in the consolidated balance sheets as of January 31, 2026 and February 1, 2025. The Company accounted for the repayments as partial extinguishments and recognized losses on debt extinguishment of $0.6 million and $0.9 million during fiscal 2025 and fiscal 2023, respectively.</w:t>
      </w:r>
    </w:p>
    <w:p>
      <w:pPr>
        <w:spacing w:after="0" w:line="187"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As of January 31, 2026, the outstanding principal balance of the First Lien Term Loan was $1,500.0 million ($1,491.8 million, net of the unamortized discount and debt issuance costs). As of February 1, 2025, the outstanding principal balance of the First Lien Term Loan was $1,595.3 million ($1,582.5 million, net of the unamortized discount and debt issuance costs). The weighted average interest rate on the borrowings outstanding was 7.3% and 7.9% as of January 31, 2026 and February 1, 2025, respectively. Debt issuance costs are being amortized over the contractual term to interest expense using the effective interest rate in effect at issuance. As of January 31, 2026 and February 1, 2025, the estimated fair value of the First Lien Term Loan was approximately $1,496.3 million and $1,529.5 million, respectively, based upon Level 2 fair value hierarchy inputs (Note 1).</w:t>
      </w:r>
    </w:p>
    <w:p>
      <w:pPr>
        <w:spacing w:after="0" w:line="187"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On February 2, 2026, the Company entered into a refinancing amendment to the credit agreement governing the First Lien Term Loan and issued $600.0 million in aggregate principal amount of senior secured notes (the “Senior Secured Notes”). Among other changes, the amendment provided that certain lenders would provide new term loans to the Company in an aggregate principal amount of $900.0 million (the “Amended First Lien Term Loan”), the proceeds of which, together with cash on hand and the proceeds from the Company's issuance of the Senior Secured Notes, would be used to repay the then outstanding principal on the First Lien Term Loan.</w:t>
      </w:r>
    </w:p>
    <w:p>
      <w:pPr>
        <w:spacing w:after="0" w:line="183"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Interest under the Amended First Lien Term Loan is, at the Company’s option, either a base rate plus 3.25% or Term SOFR plus 4.25%. The base rate is the greater of the bank prime rate, federal funds effective rate plus 0.5% or one month Term SOFR plus 1.0%. The Amended First Lien Term Loan matures on February 2, 2031. The Senior Secured Notes bear interest at 8.25% per annum and mature on February 1, 2031. Principal payments on the Amended First Lien Term Loan are $2.25 million quarterly and commence on June 30, 2026.</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86" w:name="page87"/>
    <w:bookmarkEnd w:id="86"/>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Revolving Credit Facilities</w:t>
      </w:r>
    </w:p>
    <w:p>
      <w:pPr>
        <w:spacing w:after="0" w:line="229"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In March 2024, the Company amended the ABL Revolving Credit Facility to increase its total availability and extend the maturity on a portion of the availability. Fees of $3.0 million relating to the Company’s entry into the amendment were capitalized as debt issuance costs. These fees consisted of arranger fees and other third-party expenses. The unamortized portion of the debt issuance costs of the ABL Revolving Credit Facility previously capitalized is being amortized over the amended contractual term.</w:t>
      </w:r>
    </w:p>
    <w:p>
      <w:pPr>
        <w:spacing w:after="0" w:line="180" w:lineRule="exact"/>
        <w:rPr>
          <w:sz w:val="20"/>
          <w:szCs w:val="20"/>
          <w:color w:val="auto"/>
        </w:rPr>
      </w:pPr>
    </w:p>
    <w:p>
      <w:pPr>
        <w:ind w:firstLine="515"/>
        <w:spacing w:after="0" w:line="258" w:lineRule="auto"/>
        <w:rPr>
          <w:sz w:val="20"/>
          <w:szCs w:val="20"/>
          <w:color w:val="auto"/>
        </w:rPr>
      </w:pPr>
      <w:r>
        <w:rPr>
          <w:rFonts w:ascii="Times New Roman" w:cs="Times New Roman" w:eastAsia="Times New Roman" w:hAnsi="Times New Roman"/>
          <w:sz w:val="18"/>
          <w:szCs w:val="18"/>
          <w:color w:val="auto"/>
        </w:rPr>
        <w:t>As of January 31, 2026 and February 1, 2025, no amounts were outstanding under the ABL Revolving Credit Facility. At January 31, 2026, $467.5 million was available under the ABL Revolving Credit Facility, which is net of $58.4 million of outstanding letters of credit issued in the normal course of business and a $55.1 million borrowing base reduction for a shortfall in qualifying assets. Unamortized debt issuance costs of $3.2 million and $4.4 million relating to the ABL Revolving Credit Facility were outstanding and were being amortized using the straight-line method over the remaining term of the agreement as of January 31, 2026 and February 1, 2025, respectively.</w:t>
      </w:r>
    </w:p>
    <w:p>
      <w:pPr>
        <w:spacing w:after="0" w:line="183" w:lineRule="exact"/>
        <w:rPr>
          <w:sz w:val="20"/>
          <w:szCs w:val="20"/>
          <w:color w:val="auto"/>
        </w:rPr>
      </w:pPr>
    </w:p>
    <w:p>
      <w:pPr>
        <w:ind w:right="40" w:firstLine="666"/>
        <w:spacing w:after="0" w:line="261" w:lineRule="auto"/>
        <w:rPr>
          <w:sz w:val="20"/>
          <w:szCs w:val="20"/>
          <w:color w:val="auto"/>
        </w:rPr>
      </w:pPr>
      <w:r>
        <w:rPr>
          <w:rFonts w:ascii="Times New Roman" w:cs="Times New Roman" w:eastAsia="Times New Roman" w:hAnsi="Times New Roman"/>
          <w:sz w:val="18"/>
          <w:szCs w:val="18"/>
          <w:color w:val="auto"/>
        </w:rPr>
        <w:t>The ABL Revolving Credit Facility has availability up to $581.0 million, and a $150.0 million letter of credit sub-facility. The availability is limited to a borrowing base, which allows borrowings of up to 90% of eligible accounts receivable plus 90% of the net orderly liquidation value of eligible inventory plus up to $50.0 million of qualified cash of the Company to which the Company and guarantors have no access, less reserves as determined by the administrative agent. Letters of credit reduce the amount available to borrow under the ABL Revolving Credit Facility by their face value.</w:t>
      </w:r>
    </w:p>
    <w:p>
      <w:pPr>
        <w:spacing w:after="0" w:line="180" w:lineRule="exact"/>
        <w:rPr>
          <w:sz w:val="20"/>
          <w:szCs w:val="20"/>
          <w:color w:val="auto"/>
        </w:rPr>
      </w:pPr>
    </w:p>
    <w:p>
      <w:pPr>
        <w:ind w:firstLine="666"/>
        <w:spacing w:after="0" w:line="258" w:lineRule="auto"/>
        <w:rPr>
          <w:sz w:val="20"/>
          <w:szCs w:val="20"/>
          <w:color w:val="auto"/>
        </w:rPr>
      </w:pPr>
      <w:r>
        <w:rPr>
          <w:rFonts w:ascii="Times New Roman" w:cs="Times New Roman" w:eastAsia="Times New Roman" w:hAnsi="Times New Roman"/>
          <w:sz w:val="18"/>
          <w:szCs w:val="18"/>
          <w:color w:val="auto"/>
        </w:rPr>
        <w:t>Prior to the March 2024 amendment, interest on the ABL Revolving Credit Facility was based on, at the Company’s option, either the base rate or Adjusted Term SOFR subject to a floor of 0%, in either case, plus an applicable margin. Following the March 2024 amendment, interest on the ABL Revolving Credit Facility is based on, at the Company's option, either the base rate subject to a 1% floor, or Term SOFR subject to a floor of 0%, plus an applicable margin. The applicable margin is currently equal to 25 basis points in the case of base rate loans and 125 basis points in the case of Term SOFR loans.</w:t>
      </w:r>
    </w:p>
    <w:p>
      <w:pPr>
        <w:spacing w:after="0" w:line="183"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The applicable margin is adjusted quarterly based on the average historical excess availability as a percentage of the Line Cap, which represents the lesser of the aggregate ABL Revolving Credit Facility and the borrowing base, as follows:</w:t>
      </w:r>
    </w:p>
    <w:p>
      <w:pPr>
        <w:spacing w:after="0" w:line="170"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Applicable</w:t>
            </w:r>
          </w:p>
        </w:tc>
        <w:tc>
          <w:tcPr>
            <w:tcW w:w="15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Applicable</w:t>
            </w:r>
          </w:p>
        </w:tc>
        <w:tc>
          <w:tcPr>
            <w:tcW w:w="0" w:type="dxa"/>
            <w:vAlign w:val="bottom"/>
          </w:tcPr>
          <w:p>
            <w:pPr>
              <w:spacing w:after="0"/>
              <w:rPr>
                <w:sz w:val="1"/>
                <w:szCs w:val="1"/>
                <w:color w:val="auto"/>
              </w:rPr>
            </w:pPr>
          </w:p>
        </w:tc>
      </w:tr>
      <w:tr>
        <w:trPr>
          <w:trHeight w:val="148"/>
        </w:trPr>
        <w:tc>
          <w:tcPr>
            <w:tcW w:w="58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Average Historical Excess Availability</w:t>
            </w:r>
          </w:p>
        </w:tc>
        <w:tc>
          <w:tcPr>
            <w:tcW w:w="80" w:type="dxa"/>
            <w:vAlign w:val="bottom"/>
          </w:tcPr>
          <w:p>
            <w:pPr>
              <w:spacing w:after="0"/>
              <w:rPr>
                <w:sz w:val="12"/>
                <w:szCs w:val="12"/>
                <w:color w:val="auto"/>
              </w:rPr>
            </w:pPr>
          </w:p>
        </w:tc>
        <w:tc>
          <w:tcPr>
            <w:tcW w:w="15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Margin for</w:t>
            </w:r>
          </w:p>
        </w:tc>
        <w:tc>
          <w:tcPr>
            <w:tcW w:w="15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Margin for</w:t>
            </w:r>
          </w:p>
        </w:tc>
        <w:tc>
          <w:tcPr>
            <w:tcW w:w="0" w:type="dxa"/>
            <w:vAlign w:val="bottom"/>
          </w:tcPr>
          <w:p>
            <w:pPr>
              <w:spacing w:after="0"/>
              <w:rPr>
                <w:sz w:val="1"/>
                <w:szCs w:val="1"/>
                <w:color w:val="auto"/>
              </w:rPr>
            </w:pPr>
          </w:p>
        </w:tc>
      </w:tr>
      <w:tr>
        <w:trPr>
          <w:trHeight w:val="173"/>
        </w:trPr>
        <w:tc>
          <w:tcPr>
            <w:tcW w:w="580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Term SOFR Loans</w:t>
            </w:r>
          </w:p>
        </w:tc>
        <w:tc>
          <w:tcPr>
            <w:tcW w:w="15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Base Rate Loans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than 33.3% of the Line Cap</w:t>
            </w:r>
          </w:p>
        </w:tc>
        <w:tc>
          <w:tcPr>
            <w:tcW w:w="8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1.75%</w:t>
            </w:r>
          </w:p>
        </w:tc>
        <w:tc>
          <w:tcPr>
            <w:tcW w:w="15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0.75%</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7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Less than 66.7% but greater than or equal to 33.3% of</w:t>
            </w:r>
          </w:p>
        </w:tc>
        <w:tc>
          <w:tcPr>
            <w:tcW w:w="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the Line Cap</w:t>
            </w:r>
          </w:p>
        </w:tc>
        <w:tc>
          <w:tcPr>
            <w:tcW w:w="16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1.50%</w:t>
            </w:r>
          </w:p>
        </w:tc>
        <w:tc>
          <w:tcPr>
            <w:tcW w:w="1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Greater than or equal to 66.7% of the Line Cap</w:t>
            </w:r>
          </w:p>
        </w:tc>
        <w:tc>
          <w:tcPr>
            <w:tcW w:w="166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1.25%</w:t>
            </w:r>
          </w:p>
        </w:tc>
        <w:tc>
          <w:tcPr>
            <w:tcW w:w="15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0.25%</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right="860" w:firstLine="509"/>
        <w:spacing w:after="0" w:line="282" w:lineRule="auto"/>
        <w:rPr>
          <w:sz w:val="20"/>
          <w:szCs w:val="20"/>
          <w:color w:val="auto"/>
        </w:rPr>
      </w:pPr>
      <w:r>
        <w:rPr>
          <w:rFonts w:ascii="Times New Roman" w:cs="Times New Roman" w:eastAsia="Times New Roman" w:hAnsi="Times New Roman"/>
          <w:sz w:val="18"/>
          <w:szCs w:val="18"/>
          <w:color w:val="auto"/>
        </w:rPr>
        <w:t>The ABL Revolving Credit Facility is subject to an unused commitment fee. If the actual daily utilized portion exceeds 50%, the unused commitment fee is 0.25%. Otherwise, the unused commitment fee is 0.375% and is not dependent upon excess availability.</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Derivative Instruments</w:t>
      </w:r>
    </w:p>
    <w:p>
      <w:pPr>
        <w:spacing w:after="0" w:line="229"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The Company's interest rate swap, caps and collars are accounted for as cash flow hedges because they are expected to be highly effective in hedging variable rate interest payments. Changes in the fair value of the cash flow hedges are reported as a component of AOCI. As of January 31, 2026, AOCI included unrealized losses of $1.0 million ($0.8 million, net of tax). As of February 1, 2025, AOCI included unrealized gains of $0.4 million ($0.3 million, net of tax). Approximately $0.6 million, $3.1 million, and $0.5 million of pre-tax gains deferred in AOCI were reclassified to interest expense during fiscal 2025, fiscal 2024, and fiscal 2023, respectively. The</w:t>
      </w:r>
    </w:p>
    <w:p>
      <w:pPr>
        <w:spacing w:after="0" w:line="3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87" w:name="page88"/>
    <w:bookmarkEnd w:id="87"/>
    <w:p>
      <w:pPr>
        <w:spacing w:after="0" w:line="19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Company currently estimates that $0.1 million of losses related to trade date costs on its cash flow hedges that are currently deferred in AOCI will be reclassified to interest expense in the consolidated statement of operations within the next twelve months. This estimate could vary based on actual amounts as a result of changes in market conditions. The estimated fair value of the cash flow hedges are based upon Level 2 fair value hierarchy inputs (Note 1).</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cash flow hedges are reflected in the Company’s consolidated balance sheets as follows (in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60" w:type="dxa"/>
            <w:vAlign w:val="bottom"/>
            <w:vMerge w:val="restart"/>
          </w:tcPr>
          <w:p>
            <w:pPr>
              <w:ind w:left="1500"/>
              <w:spacing w:after="0"/>
              <w:rPr>
                <w:sz w:val="20"/>
                <w:szCs w:val="20"/>
                <w:color w:val="auto"/>
              </w:rPr>
            </w:pPr>
            <w:r>
              <w:rPr>
                <w:rFonts w:ascii="Times New Roman" w:cs="Times New Roman" w:eastAsia="Times New Roman" w:hAnsi="Times New Roman"/>
                <w:sz w:val="14"/>
                <w:szCs w:val="14"/>
                <w:b w:val="1"/>
                <w:bCs w:val="1"/>
                <w:color w:val="auto"/>
              </w:rPr>
              <w:t>Assets (Liabilities)</w:t>
            </w:r>
          </w:p>
        </w:tc>
        <w:tc>
          <w:tcPr>
            <w:tcW w:w="160" w:type="dxa"/>
            <w:vAlign w:val="bottom"/>
          </w:tcPr>
          <w:p>
            <w:pPr>
              <w:spacing w:after="0"/>
              <w:rPr>
                <w:sz w:val="13"/>
                <w:szCs w:val="13"/>
                <w:color w:val="auto"/>
              </w:rPr>
            </w:pPr>
          </w:p>
        </w:tc>
        <w:tc>
          <w:tcPr>
            <w:tcW w:w="3080" w:type="dxa"/>
            <w:vAlign w:val="bottom"/>
            <w:vMerge w:val="restart"/>
          </w:tcPr>
          <w:p>
            <w:pPr>
              <w:ind w:left="86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20" w:type="dxa"/>
            <w:vAlign w:val="bottom"/>
            <w:gridSpan w:val="2"/>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January 31,</w:t>
            </w:r>
          </w:p>
        </w:tc>
        <w:tc>
          <w:tcPr>
            <w:tcW w:w="280" w:type="dxa"/>
            <w:vAlign w:val="bottom"/>
          </w:tcPr>
          <w:p>
            <w:pPr>
              <w:spacing w:after="0"/>
              <w:rPr>
                <w:sz w:val="13"/>
                <w:szCs w:val="13"/>
                <w:color w:val="auto"/>
              </w:rPr>
            </w:pPr>
          </w:p>
        </w:tc>
        <w:tc>
          <w:tcPr>
            <w:tcW w:w="152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February 1,</w:t>
            </w:r>
          </w:p>
        </w:tc>
        <w:tc>
          <w:tcPr>
            <w:tcW w:w="0" w:type="dxa"/>
            <w:vAlign w:val="bottom"/>
          </w:tcPr>
          <w:p>
            <w:pPr>
              <w:spacing w:after="0"/>
              <w:rPr>
                <w:sz w:val="1"/>
                <w:szCs w:val="1"/>
                <w:color w:val="auto"/>
              </w:rPr>
            </w:pPr>
          </w:p>
        </w:tc>
      </w:tr>
      <w:tr>
        <w:trPr>
          <w:trHeight w:val="173"/>
        </w:trPr>
        <w:tc>
          <w:tcPr>
            <w:tcW w:w="4160" w:type="dxa"/>
            <w:vAlign w:val="bottom"/>
            <w:tcBorders>
              <w:bottom w:val="single" w:sz="8" w:color="auto"/>
            </w:tcBorders>
            <w:vMerge w:val="continue"/>
          </w:tcPr>
          <w:p>
            <w:pPr>
              <w:spacing w:after="0"/>
              <w:rPr>
                <w:sz w:val="15"/>
                <w:szCs w:val="15"/>
                <w:color w:val="auto"/>
              </w:rPr>
            </w:pPr>
          </w:p>
        </w:tc>
        <w:tc>
          <w:tcPr>
            <w:tcW w:w="160" w:type="dxa"/>
            <w:vAlign w:val="bottom"/>
          </w:tcPr>
          <w:p>
            <w:pPr>
              <w:spacing w:after="0"/>
              <w:rPr>
                <w:sz w:val="15"/>
                <w:szCs w:val="15"/>
                <w:color w:val="auto"/>
              </w:rPr>
            </w:pPr>
          </w:p>
        </w:tc>
        <w:tc>
          <w:tcPr>
            <w:tcW w:w="3080" w:type="dxa"/>
            <w:vAlign w:val="bottom"/>
            <w:tcBorders>
              <w:bottom w:val="single" w:sz="8" w:color="auto"/>
            </w:tcBorders>
            <w:vMerge w:val="continue"/>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2026</w:t>
            </w:r>
          </w:p>
        </w:tc>
        <w:tc>
          <w:tcPr>
            <w:tcW w:w="3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6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1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Current asset portion of cash flow hedges</w:t>
            </w:r>
          </w:p>
        </w:tc>
        <w:tc>
          <w:tcPr>
            <w:tcW w:w="160" w:type="dxa"/>
            <w:vAlign w:val="bottom"/>
            <w:shd w:val="clear" w:color="auto" w:fill="CFF0FC"/>
          </w:tcPr>
          <w:p>
            <w:pPr>
              <w:spacing w:after="0"/>
              <w:rPr>
                <w:sz w:val="18"/>
                <w:szCs w:val="18"/>
                <w:color w:val="auto"/>
              </w:rPr>
            </w:pPr>
          </w:p>
        </w:tc>
        <w:tc>
          <w:tcPr>
            <w:tcW w:w="3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42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160" w:type="dxa"/>
            <w:vAlign w:val="bottom"/>
          </w:tcPr>
          <w:p>
            <w:pPr>
              <w:ind w:left="60"/>
              <w:spacing w:after="0" w:line="198" w:lineRule="exact"/>
              <w:rPr>
                <w:sz w:val="20"/>
                <w:szCs w:val="20"/>
                <w:color w:val="auto"/>
              </w:rPr>
            </w:pPr>
            <w:r>
              <w:rPr>
                <w:rFonts w:ascii="Times New Roman" w:cs="Times New Roman" w:eastAsia="Times New Roman" w:hAnsi="Times New Roman"/>
                <w:sz w:val="18"/>
                <w:szCs w:val="18"/>
                <w:color w:val="auto"/>
              </w:rPr>
              <w:t>Non-current asset portion of cash flow</w:t>
            </w:r>
          </w:p>
        </w:tc>
        <w:tc>
          <w:tcPr>
            <w:tcW w:w="160" w:type="dxa"/>
            <w:vAlign w:val="bottom"/>
          </w:tcPr>
          <w:p>
            <w:pPr>
              <w:spacing w:after="0"/>
              <w:rPr>
                <w:sz w:val="17"/>
                <w:szCs w:val="17"/>
                <w:color w:val="auto"/>
              </w:rPr>
            </w:pPr>
          </w:p>
        </w:tc>
        <w:tc>
          <w:tcPr>
            <w:tcW w:w="30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Other long-term assets</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hedges</w:t>
            </w:r>
          </w:p>
        </w:tc>
        <w:tc>
          <w:tcPr>
            <w:tcW w:w="16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160" w:type="dxa"/>
            <w:vAlign w:val="bottom"/>
            <w:shd w:val="clear" w:color="auto" w:fill="CFF0FC"/>
          </w:tcPr>
          <w:p>
            <w:pPr>
              <w:ind w:left="60"/>
              <w:spacing w:after="0" w:line="198" w:lineRule="exact"/>
              <w:rPr>
                <w:sz w:val="20"/>
                <w:szCs w:val="20"/>
                <w:color w:val="auto"/>
              </w:rPr>
            </w:pPr>
            <w:r>
              <w:rPr>
                <w:rFonts w:ascii="Times New Roman" w:cs="Times New Roman" w:eastAsia="Times New Roman" w:hAnsi="Times New Roman"/>
                <w:sz w:val="18"/>
                <w:szCs w:val="18"/>
                <w:color w:val="auto"/>
              </w:rPr>
              <w:t>Current liability portion of cash flow</w:t>
            </w:r>
          </w:p>
        </w:tc>
        <w:tc>
          <w:tcPr>
            <w:tcW w:w="160" w:type="dxa"/>
            <w:vAlign w:val="bottom"/>
            <w:shd w:val="clear" w:color="auto" w:fill="CFF0FC"/>
          </w:tcPr>
          <w:p>
            <w:pPr>
              <w:spacing w:after="0"/>
              <w:rPr>
                <w:sz w:val="17"/>
                <w:szCs w:val="17"/>
                <w:color w:val="auto"/>
              </w:rPr>
            </w:pPr>
          </w:p>
        </w:tc>
        <w:tc>
          <w:tcPr>
            <w:tcW w:w="308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Accrued expenses and other</w:t>
            </w:r>
          </w:p>
        </w:tc>
        <w:tc>
          <w:tcPr>
            <w:tcW w:w="1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1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hedges</w:t>
            </w:r>
          </w:p>
        </w:tc>
        <w:tc>
          <w:tcPr>
            <w:tcW w:w="160" w:type="dxa"/>
            <w:vAlign w:val="bottom"/>
            <w:shd w:val="clear" w:color="auto" w:fill="CFF0FC"/>
          </w:tcPr>
          <w:p>
            <w:pPr>
              <w:spacing w:after="0"/>
              <w:rPr>
                <w:sz w:val="20"/>
                <w:szCs w:val="20"/>
                <w:color w:val="auto"/>
              </w:rPr>
            </w:pPr>
          </w:p>
        </w:tc>
        <w:tc>
          <w:tcPr>
            <w:tcW w:w="30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liabilities</w:t>
            </w:r>
          </w:p>
        </w:tc>
        <w:tc>
          <w:tcPr>
            <w:tcW w:w="1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6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(853)</w:t>
            </w:r>
          </w:p>
        </w:tc>
        <w:tc>
          <w:tcPr>
            <w:tcW w:w="280" w:type="dxa"/>
            <w:vAlign w:val="bottom"/>
            <w:shd w:val="clear" w:color="auto" w:fill="CFF0FC"/>
          </w:tcPr>
          <w:p>
            <w:pPr>
              <w:spacing w:after="0"/>
              <w:rPr>
                <w:sz w:val="20"/>
                <w:szCs w:val="20"/>
                <w:color w:val="auto"/>
              </w:rPr>
            </w:pPr>
          </w:p>
        </w:tc>
        <w:tc>
          <w:tcPr>
            <w:tcW w:w="15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198"/>
        </w:trPr>
        <w:tc>
          <w:tcPr>
            <w:tcW w:w="4160" w:type="dxa"/>
            <w:vAlign w:val="bottom"/>
          </w:tcPr>
          <w:p>
            <w:pPr>
              <w:ind w:left="60"/>
              <w:spacing w:after="0" w:line="198" w:lineRule="exact"/>
              <w:rPr>
                <w:sz w:val="20"/>
                <w:szCs w:val="20"/>
                <w:color w:val="auto"/>
              </w:rPr>
            </w:pPr>
            <w:r>
              <w:rPr>
                <w:rFonts w:ascii="Times New Roman" w:cs="Times New Roman" w:eastAsia="Times New Roman" w:hAnsi="Times New Roman"/>
                <w:sz w:val="18"/>
                <w:szCs w:val="18"/>
                <w:color w:val="auto"/>
              </w:rPr>
              <w:t>Non-current liability portion of cash flow</w:t>
            </w:r>
          </w:p>
        </w:tc>
        <w:tc>
          <w:tcPr>
            <w:tcW w:w="160" w:type="dxa"/>
            <w:vAlign w:val="bottom"/>
          </w:tcPr>
          <w:p>
            <w:pPr>
              <w:spacing w:after="0"/>
              <w:rPr>
                <w:sz w:val="17"/>
                <w:szCs w:val="17"/>
                <w:color w:val="auto"/>
              </w:rPr>
            </w:pPr>
          </w:p>
        </w:tc>
        <w:tc>
          <w:tcPr>
            <w:tcW w:w="30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Other long-term liabilities</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vMerge w:val="restart"/>
          </w:tcPr>
          <w:p>
            <w:pPr>
              <w:spacing w:after="0"/>
              <w:rPr>
                <w:sz w:val="17"/>
                <w:szCs w:val="17"/>
                <w:color w:val="auto"/>
              </w:rPr>
            </w:pPr>
          </w:p>
        </w:tc>
        <w:tc>
          <w:tcPr>
            <w:tcW w:w="280" w:type="dxa"/>
            <w:vAlign w:val="bottom"/>
          </w:tcPr>
          <w:p>
            <w:pPr>
              <w:spacing w:after="0"/>
              <w:rPr>
                <w:sz w:val="17"/>
                <w:szCs w:val="17"/>
                <w:color w:val="auto"/>
              </w:rPr>
            </w:pPr>
          </w:p>
        </w:tc>
        <w:tc>
          <w:tcPr>
            <w:tcW w:w="15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(554)</w:t>
            </w:r>
          </w:p>
        </w:tc>
        <w:tc>
          <w:tcPr>
            <w:tcW w:w="0" w:type="dxa"/>
            <w:vAlign w:val="bottom"/>
          </w:tcPr>
          <w:p>
            <w:pPr>
              <w:spacing w:after="0"/>
              <w:rPr>
                <w:sz w:val="1"/>
                <w:szCs w:val="1"/>
                <w:color w:val="auto"/>
              </w:rPr>
            </w:pPr>
          </w:p>
        </w:tc>
      </w:tr>
      <w:tr>
        <w:trPr>
          <w:trHeight w:val="221"/>
        </w:trPr>
        <w:tc>
          <w:tcPr>
            <w:tcW w:w="4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hedges</w:t>
            </w:r>
          </w:p>
        </w:tc>
        <w:tc>
          <w:tcPr>
            <w:tcW w:w="16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vMerge w:val="continue"/>
          </w:tcPr>
          <w:p>
            <w:pPr>
              <w:spacing w:after="0"/>
              <w:rPr>
                <w:sz w:val="19"/>
                <w:szCs w:val="19"/>
                <w:color w:val="auto"/>
              </w:rPr>
            </w:pPr>
          </w:p>
        </w:tc>
        <w:tc>
          <w:tcPr>
            <w:tcW w:w="30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15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41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Total cash flow hedges</w:t>
            </w:r>
          </w:p>
        </w:tc>
        <w:tc>
          <w:tcPr>
            <w:tcW w:w="160" w:type="dxa"/>
            <w:vAlign w:val="bottom"/>
            <w:shd w:val="clear" w:color="auto" w:fill="CFF0FC"/>
          </w:tcPr>
          <w:p>
            <w:pPr>
              <w:spacing w:after="0"/>
              <w:rPr>
                <w:sz w:val="19"/>
                <w:szCs w:val="19"/>
                <w:color w:val="auto"/>
              </w:rPr>
            </w:pPr>
          </w:p>
        </w:tc>
        <w:tc>
          <w:tcPr>
            <w:tcW w:w="30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(853)</w:t>
            </w: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30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5808345</wp:posOffset>
            </wp:positionH>
            <wp:positionV relativeFrom="paragraph">
              <wp:posOffset>-25400</wp:posOffset>
            </wp:positionV>
            <wp:extent cx="6858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-7620</wp:posOffset>
            </wp:positionV>
            <wp:extent cx="6858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-25400</wp:posOffset>
            </wp:positionV>
            <wp:extent cx="7747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8" w:lineRule="exact"/>
        <w:rPr>
          <w:sz w:val="20"/>
          <w:szCs w:val="20"/>
          <w:color w:val="auto"/>
        </w:rPr>
      </w:pPr>
    </w:p>
    <w:p>
      <w:pPr>
        <w:ind w:right="200" w:firstLine="509"/>
        <w:spacing w:after="0" w:line="261" w:lineRule="auto"/>
        <w:rPr>
          <w:sz w:val="20"/>
          <w:szCs w:val="20"/>
          <w:color w:val="auto"/>
        </w:rPr>
      </w:pPr>
      <w:r>
        <w:rPr>
          <w:rFonts w:ascii="Times New Roman" w:cs="Times New Roman" w:eastAsia="Times New Roman" w:hAnsi="Times New Roman"/>
          <w:sz w:val="18"/>
          <w:szCs w:val="18"/>
          <w:color w:val="auto"/>
        </w:rPr>
        <w:t>Although the Company is exposed to credit loss in the event of nonperformance by its counterparties, credit risk is considered limited due to the credit ratings of the counterparties and the use of a master netting agreement, which permits the netting of derivative payables and receivables. The Company has not historically incurred and does not expect to incur in the future any losses as a result of counterparty default. The notional amount of the Company’s outstanding derivatives is not an indicator of the magnitude of potential exposure.</w:t>
      </w:r>
    </w:p>
    <w:p>
      <w:pPr>
        <w:spacing w:after="0" w:line="180" w:lineRule="exact"/>
        <w:rPr>
          <w:sz w:val="20"/>
          <w:szCs w:val="20"/>
          <w:color w:val="auto"/>
        </w:rPr>
      </w:pPr>
    </w:p>
    <w:p>
      <w:pPr>
        <w:ind w:right="300" w:firstLine="509"/>
        <w:spacing w:after="0" w:line="266" w:lineRule="auto"/>
        <w:rPr>
          <w:sz w:val="20"/>
          <w:szCs w:val="20"/>
          <w:color w:val="auto"/>
        </w:rPr>
      </w:pPr>
      <w:r>
        <w:rPr>
          <w:rFonts w:ascii="Times New Roman" w:cs="Times New Roman" w:eastAsia="Times New Roman" w:hAnsi="Times New Roman"/>
          <w:sz w:val="18"/>
          <w:szCs w:val="18"/>
          <w:color w:val="auto"/>
        </w:rPr>
        <w:t>The cash flow hedge agreements contain provisions that would be triggered in the event the Company defaults on its debt agreements (Note 7), which in turn could impact the assessment of hedge effectiveness or cause termination of the underlying cash flow hedge agreements. As of January 31, 2026, no events of default have occurred. There is no collateral posting requirement outside the provisions in the debt agreements.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Fair Value Measurements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Assets and Liabilities Measured on a Recurring Basis</w:t>
      </w:r>
    </w:p>
    <w:p>
      <w:pPr>
        <w:spacing w:after="0" w:line="121"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presents information about assets and liabilities that are measured at fair value on a recurring basis and indicate the fair value hierarchy of the valuation techniques utilized to determine such fair value (in thousands):</w:t>
      </w:r>
    </w:p>
    <w:p>
      <w:pPr>
        <w:spacing w:after="0" w:line="155"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4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4"/>
          </w:tcPr>
          <w:p>
            <w:pPr>
              <w:ind w:left="200"/>
              <w:spacing w:after="0"/>
              <w:rPr>
                <w:sz w:val="20"/>
                <w:szCs w:val="20"/>
                <w:color w:val="auto"/>
              </w:rPr>
            </w:pPr>
            <w:r>
              <w:rPr>
                <w:rFonts w:ascii="Times New Roman" w:cs="Times New Roman" w:eastAsia="Times New Roman" w:hAnsi="Times New Roman"/>
                <w:sz w:val="14"/>
                <w:szCs w:val="14"/>
                <w:b w:val="1"/>
                <w:bCs w:val="1"/>
                <w:color w:val="auto"/>
              </w:rPr>
              <w:t>January 31, 2026</w:t>
            </w:r>
          </w:p>
        </w:tc>
        <w:tc>
          <w:tcPr>
            <w:tcW w:w="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42"/>
        </w:trPr>
        <w:tc>
          <w:tcPr>
            <w:tcW w:w="4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jc w:val="right"/>
              <w:ind w:right="235"/>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gridSpan w:val="2"/>
          </w:tcPr>
          <w:p>
            <w:pPr>
              <w:jc w:val="right"/>
              <w:ind w:right="460"/>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80" w:type="dxa"/>
            <w:vAlign w:val="bottom"/>
          </w:tcPr>
          <w:p>
            <w:pPr>
              <w:spacing w:after="0"/>
              <w:rPr>
                <w:sz w:val="12"/>
                <w:szCs w:val="12"/>
                <w:color w:val="auto"/>
              </w:rPr>
            </w:pPr>
          </w:p>
        </w:tc>
      </w:tr>
      <w:tr>
        <w:trPr>
          <w:trHeight w:val="209"/>
        </w:trPr>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Assets (liabilities):</w:t>
            </w:r>
          </w:p>
        </w:tc>
        <w:tc>
          <w:tcPr>
            <w:tcW w:w="108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4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Money market mutual funds</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216,676</w:t>
            </w:r>
          </w:p>
        </w:tc>
        <w:tc>
          <w:tcPr>
            <w:tcW w:w="4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2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Investments of officers' life insurance</w:t>
            </w:r>
          </w:p>
        </w:tc>
        <w:tc>
          <w:tcPr>
            <w:tcW w:w="12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16,109</w:t>
            </w:r>
          </w:p>
        </w:tc>
        <w:tc>
          <w:tcPr>
            <w:tcW w:w="140" w:type="dxa"/>
            <w:vAlign w:val="bottom"/>
            <w:shd w:val="clear" w:color="auto" w:fill="CFF0FC"/>
          </w:tcPr>
          <w:p>
            <w:pPr>
              <w:spacing w:after="0"/>
              <w:rPr>
                <w:sz w:val="18"/>
                <w:szCs w:val="18"/>
                <w:color w:val="auto"/>
              </w:rPr>
            </w:pPr>
          </w:p>
        </w:tc>
        <w:tc>
          <w:tcPr>
            <w:tcW w:w="2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FF0FC"/>
          </w:tcPr>
          <w:p>
            <w:pPr>
              <w:ind w:left="68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4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Non-qualified deferred compensation plan</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(13,447)</w:t>
            </w: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r>
      <w:tr>
        <w:trPr>
          <w:trHeight w:val="373"/>
        </w:trPr>
        <w:tc>
          <w:tcPr>
            <w:tcW w:w="4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4"/>
          </w:tcPr>
          <w:p>
            <w:pPr>
              <w:ind w:left="200"/>
              <w:spacing w:after="0"/>
              <w:rPr>
                <w:sz w:val="20"/>
                <w:szCs w:val="20"/>
                <w:color w:val="auto"/>
              </w:rPr>
            </w:pPr>
            <w:r>
              <w:rPr>
                <w:rFonts w:ascii="Times New Roman" w:cs="Times New Roman" w:eastAsia="Times New Roman" w:hAnsi="Times New Roman"/>
                <w:sz w:val="14"/>
                <w:szCs w:val="14"/>
                <w:b w:val="1"/>
                <w:bCs w:val="1"/>
                <w:color w:val="auto"/>
              </w:rPr>
              <w:t>February 1, 2025</w:t>
            </w: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142"/>
        </w:trPr>
        <w:tc>
          <w:tcPr>
            <w:tcW w:w="4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jc w:val="right"/>
              <w:ind w:right="235"/>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gridSpan w:val="2"/>
          </w:tcPr>
          <w:p>
            <w:pPr>
              <w:jc w:val="right"/>
              <w:ind w:right="460"/>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80" w:type="dxa"/>
            <w:vAlign w:val="bottom"/>
          </w:tcPr>
          <w:p>
            <w:pPr>
              <w:spacing w:after="0"/>
              <w:rPr>
                <w:sz w:val="12"/>
                <w:szCs w:val="12"/>
                <w:color w:val="auto"/>
              </w:rPr>
            </w:pPr>
          </w:p>
        </w:tc>
      </w:tr>
      <w:tr>
        <w:trPr>
          <w:trHeight w:val="209"/>
        </w:trPr>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Assets (liabilities):</w:t>
            </w:r>
          </w:p>
        </w:tc>
        <w:tc>
          <w:tcPr>
            <w:tcW w:w="108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4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Money market mutual funds</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127,109</w:t>
            </w:r>
          </w:p>
        </w:tc>
        <w:tc>
          <w:tcPr>
            <w:tcW w:w="4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2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Investments of officers' life insurance</w:t>
            </w:r>
          </w:p>
        </w:tc>
        <w:tc>
          <w:tcPr>
            <w:tcW w:w="12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14,630</w:t>
            </w:r>
          </w:p>
        </w:tc>
        <w:tc>
          <w:tcPr>
            <w:tcW w:w="140" w:type="dxa"/>
            <w:vAlign w:val="bottom"/>
            <w:shd w:val="clear" w:color="auto" w:fill="CFF0FC"/>
          </w:tcPr>
          <w:p>
            <w:pPr>
              <w:spacing w:after="0"/>
              <w:rPr>
                <w:sz w:val="18"/>
                <w:szCs w:val="18"/>
                <w:color w:val="auto"/>
              </w:rPr>
            </w:pPr>
          </w:p>
        </w:tc>
        <w:tc>
          <w:tcPr>
            <w:tcW w:w="2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FF0FC"/>
          </w:tcPr>
          <w:p>
            <w:pPr>
              <w:ind w:left="68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4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Non-qualified deferred compensation plan</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(13,996)</w:t>
            </w: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r>
    </w:tbl>
    <w:p>
      <w:pPr>
        <w:spacing w:after="0" w:line="247"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The fair value of money market mutual funds is based on quoted market prices, such as quoted net asset values published by the fund as supported in an active market. Money market mutual funds included in the Company’s cash and cash equivalents were $204.0 million and $111.5 million as of January 31, 2026 and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8" w:name="page89"/>
    <w:bookmarkEnd w:id="88"/>
    <w:p>
      <w:pPr>
        <w:spacing w:after="0" w:line="18"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February 1, 2025, respectively. Also included in the Company’s money market mutual funds balances were $12.7 million and $15.6 million as of January 31, 2026 and February 1, 2025, respectively, which relate to the Company’s restricted cash, and are included in other current assets in the consolidated balance sheets.</w:t>
      </w:r>
    </w:p>
    <w:p>
      <w:pPr>
        <w:spacing w:after="0" w:line="176" w:lineRule="exact"/>
        <w:rPr>
          <w:sz w:val="20"/>
          <w:szCs w:val="20"/>
          <w:color w:val="auto"/>
        </w:rPr>
      </w:pPr>
    </w:p>
    <w:p>
      <w:pPr>
        <w:jc w:val="both"/>
        <w:ind w:right="200" w:firstLine="509"/>
        <w:spacing w:after="0" w:line="266" w:lineRule="auto"/>
        <w:rPr>
          <w:sz w:val="20"/>
          <w:szCs w:val="20"/>
          <w:color w:val="auto"/>
        </w:rPr>
      </w:pPr>
      <w:r>
        <w:rPr>
          <w:rFonts w:ascii="Times New Roman" w:cs="Times New Roman" w:eastAsia="Times New Roman" w:hAnsi="Times New Roman"/>
          <w:sz w:val="18"/>
          <w:szCs w:val="18"/>
          <w:color w:val="auto"/>
        </w:rPr>
        <w:t>The Company maintains a deferred compensation plan for key executives and other members of management, which is funded by investments in officers’ life insurance. The fair value of this obligation is based on participants’ elected investments, which reflect the closing market prices of similar assets.</w:t>
      </w:r>
    </w:p>
    <w:p>
      <w:pPr>
        <w:spacing w:after="0" w:line="176"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The Company previously held shares of Rover Group, Inc. (“Rover”) Class A common stock. The Company remeasured the fair value of its investment on a quarterly basis, and the resulting gains or losses were included in other non-operating income in the consolidated statements of operations. In April 2023, the Company sold its interest in Rover Class A common stock to a buyer at a price determined based on the daily volume weighted average price, in addition to a premium, over an agreed upon period. The Company's interest in the unsettled cash proceeds were remeasured at fair value at each reporting period, and the resulting gains or losses were included in other non-operating income in the consolidated statements of operations.</w:t>
      </w:r>
    </w:p>
    <w:p>
      <w:pPr>
        <w:spacing w:after="0" w:line="183"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In February 2022, the Company amended a collaboration agreement with a vendor, and as part of the amendment the Company was granted a right to receive equity and warrants for common shares of the vendor that is subject to certain performance conditions and other contingencies. The warrants were exercised in July 2024, following the satisfaction of the related performance conditions and contingencies. Cash consideration for the exercise of the warrants was de minimis. The Company's interest is accounted for as an investment in an equity security without a readily determinable fair value. When an upward or downward adjustment occurs, the resulting gains or losses are included in other non-operating income in the consolidated statements of operations.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Assets Measured on a Non-Recurring Basis</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Company’s non-financial assets, which primarily consist of goodwill, other intangible assets, fixed assets and equity and other investments, are reported at carrying value, or at fair value as of the date of the Company’s acquisition of Petco Holdings, Inc. LLC on January 26, 2016, and are not required to be measured at fair value on a recurring basis. However, on a periodic basis (at least annually for goodwill and indefinite-lived intangibles or whenever events or changes in circumstances indicate that the carrying value of an asset may not be recoverable), non-financial assets are assessed for impairment. If impaired, the carrying values of the assets are written down to fair value using Level 3 inputs.</w:t>
      </w:r>
    </w:p>
    <w:p>
      <w:pPr>
        <w:spacing w:after="0" w:line="75"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 Company’s trade name has an indefinite life. The Company performs its annual impairment test during the fourth quarter of each fiscal year, or more frequently when warranted by events or changes in circumstances. During the third quarter of fiscal 2023 and the first quarter of fiscal 2024, the Company performed interim impairment tests of its goodwill and indefinite-lived trade name due to declines in the Company's share price. Refer to Note 6 for further discussion of the results of interim impairment testing performed on the Company’s goodwill.</w:t>
      </w:r>
    </w:p>
    <w:p>
      <w:pPr>
        <w:spacing w:after="0" w:line="72"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During the third quarter of fiscal 2023, the Company concluded that the fair value of its trade name exceeded its carrying value, and therefore no trade name impairment charge was recorded. The fair value of the Company’s trade name was estimated by management with the assistance of a third-party valuation specialist using the relief from royalty valuation method, which estimates the hypothetical royalties that would have to be paid if the trade name was not owned. The fair value of the Company's trade name reflected the Company's most recent revenue projections at the time of the analysis, a discount rate of 17.4% and a terminal growth rate of 3%.</w:t>
      </w:r>
    </w:p>
    <w:p>
      <w:pPr>
        <w:spacing w:after="0" w:line="75" w:lineRule="exact"/>
        <w:rPr>
          <w:sz w:val="20"/>
          <w:szCs w:val="20"/>
          <w:color w:val="auto"/>
        </w:rPr>
      </w:pPr>
    </w:p>
    <w:p>
      <w:pPr>
        <w:ind w:right="280" w:firstLine="509"/>
        <w:spacing w:after="0" w:line="261" w:lineRule="auto"/>
        <w:rPr>
          <w:sz w:val="20"/>
          <w:szCs w:val="20"/>
          <w:color w:val="auto"/>
        </w:rPr>
      </w:pPr>
      <w:r>
        <w:rPr>
          <w:rFonts w:ascii="Times New Roman" w:cs="Times New Roman" w:eastAsia="Times New Roman" w:hAnsi="Times New Roman"/>
          <w:sz w:val="18"/>
          <w:szCs w:val="18"/>
          <w:color w:val="auto"/>
        </w:rPr>
        <w:t>During the first quarter of fiscal 2024, the Company concluded that the fair value of its trade name exceeded its carrying value, and therefore no trade name impairment charge was recorded. The fair value of the Company’s trade name was estimated by management using the relief from royalty valuation method. The fair value of the Company's trade name reflected the Company's most recent revenue projections at the time of the analysis, a discount rate of 14.2% and a terminal growth rate of 3%.</w:t>
      </w:r>
    </w:p>
    <w:p>
      <w:pPr>
        <w:spacing w:after="0" w:line="72"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In fiscal years 2025, 2024, and 2023, the Company concluded that it was more likely than not that the fair value of its trade name was greater than its carrying amount, and therefore no tradename impairment charge was recorded. There were no indications of impairment of the Company’s other intangible assets or equity and other investments in fiscal years 2025, 2024, and 2023.</w:t>
      </w:r>
    </w:p>
    <w:p>
      <w:pPr>
        <w:spacing w:after="0" w:line="39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89" w:name="page90"/>
    <w:bookmarkEnd w:id="89"/>
    <w:p>
      <w:pPr>
        <w:spacing w:after="0" w:line="194"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The Company recorded fixed asset and right-of-use asset impairment charges of $1.9 million, $8.4 million $2.7 million in fiscal years 2025, 2024, and 2023, respectively. Impairment charges are primarily related to pet care center locations and are recorded in selling, general and administrative expense in the accompanying consolidated statements of operations.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Employee Benefit Plans</w:t>
      </w:r>
    </w:p>
    <w:p>
      <w:pPr>
        <w:spacing w:after="0" w:line="121" w:lineRule="exact"/>
        <w:rPr>
          <w:sz w:val="20"/>
          <w:szCs w:val="20"/>
          <w:color w:val="auto"/>
        </w:rPr>
      </w:pPr>
    </w:p>
    <w:p>
      <w:pPr>
        <w:ind w:right="400" w:firstLine="509"/>
        <w:spacing w:after="0" w:line="282" w:lineRule="auto"/>
        <w:rPr>
          <w:sz w:val="20"/>
          <w:szCs w:val="20"/>
          <w:color w:val="auto"/>
        </w:rPr>
      </w:pPr>
      <w:r>
        <w:rPr>
          <w:rFonts w:ascii="Times New Roman" w:cs="Times New Roman" w:eastAsia="Times New Roman" w:hAnsi="Times New Roman"/>
          <w:sz w:val="18"/>
          <w:szCs w:val="18"/>
          <w:color w:val="auto"/>
        </w:rPr>
        <w:t>The Company has employee savings plans that permits eligible participants to make contributions by salary reduction pursuant to either section 401(k) of the Internal Revenue Code or under the Company’s non-qualified deferred compensation plan.</w:t>
      </w:r>
    </w:p>
    <w:p>
      <w:pPr>
        <w:spacing w:after="0" w:line="162"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The Company's matching contributions to these plans were $13.6 million, $11.9 million, and $12.1 million for fiscal years 2025, 2024, and 2023, respectively.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Stockholders’ Equity</w:t>
      </w:r>
    </w:p>
    <w:p>
      <w:pPr>
        <w:spacing w:after="0" w:line="135" w:lineRule="exact"/>
        <w:rPr>
          <w:sz w:val="20"/>
          <w:szCs w:val="20"/>
          <w:color w:val="auto"/>
        </w:rPr>
      </w:pPr>
    </w:p>
    <w:p>
      <w:pPr>
        <w:ind w:right="240" w:firstLine="450"/>
        <w:spacing w:after="0" w:line="258" w:lineRule="auto"/>
        <w:rPr>
          <w:sz w:val="20"/>
          <w:szCs w:val="20"/>
          <w:color w:val="auto"/>
        </w:rPr>
      </w:pPr>
      <w:r>
        <w:rPr>
          <w:rFonts w:ascii="Times New Roman" w:cs="Times New Roman" w:eastAsia="Times New Roman" w:hAnsi="Times New Roman"/>
          <w:sz w:val="18"/>
          <w:szCs w:val="18"/>
          <w:color w:val="auto"/>
        </w:rPr>
        <w:t>Equity-based compensation awards under the Company’s current equity incentive plan (as amended, the “2021 Equity Incentive Plan”) include restricted stock units (“RSUs,” which include performance-based stock units), restricted stock awards (“RSAs”), non-qualified stock options, and other equity compensation awards. In addition, the Company has made equity-based compensation awards of RSUs and non-qualified stock options outside of the 2021 Equity Incentive Plan as employment inducement awards (collectively, the “Inducement Awards”). The Company also has an employee stock purchase plan (“ESPP”).</w:t>
      </w:r>
    </w:p>
    <w:p>
      <w:pPr>
        <w:spacing w:after="0" w:line="183"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The Company issues new shares of Class A common stock upon exercise of stock options and the vesting of restricted stock units. As of January 31, 2026, there were 34.5 million shares of Class A common stock available for issuance pursuant to future equity-based compensation awards under the 2021 Equity Incentive Plan and 23.2 million shares of Class A common stock available for issuance pursuant to future equity-based employment inducement awards.</w:t>
      </w:r>
    </w:p>
    <w:p>
      <w:pPr>
        <w:spacing w:after="0" w:line="176" w:lineRule="exact"/>
        <w:rPr>
          <w:sz w:val="20"/>
          <w:szCs w:val="20"/>
          <w:color w:val="auto"/>
        </w:rPr>
      </w:pPr>
    </w:p>
    <w:p>
      <w:pPr>
        <w:ind w:right="40" w:firstLine="599"/>
        <w:spacing w:after="0" w:line="271" w:lineRule="auto"/>
        <w:rPr>
          <w:sz w:val="20"/>
          <w:szCs w:val="20"/>
          <w:color w:val="auto"/>
        </w:rPr>
      </w:pPr>
      <w:r>
        <w:rPr>
          <w:rFonts w:ascii="Times New Roman" w:cs="Times New Roman" w:eastAsia="Times New Roman" w:hAnsi="Times New Roman"/>
          <w:sz w:val="18"/>
          <w:szCs w:val="18"/>
          <w:color w:val="auto"/>
        </w:rPr>
        <w:t>The Company’s controlling parent, Scooby LP, also maintains an incentive plan (the “2016 Incentive Plan”) under which it has awarded partnership unit awards to certain current and former employees, consultants, and non-employee directors of the Company that are restricted profit interests in Scooby LP subject to a distribution threshold (“Series C Units”). No additional Series C Units have been or will be awarded following the Company’s initial public offering. As of January 31, 2026, substantially all Series C Units are fully vested.</w:t>
      </w:r>
    </w:p>
    <w:p>
      <w:pPr>
        <w:spacing w:after="0" w:line="3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Company’s equity-based compensation expense by award type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88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2"/>
          </w:tcPr>
          <w:p>
            <w:pPr>
              <w:jc w:val="right"/>
              <w:ind w:right="37"/>
              <w:spacing w:after="0"/>
              <w:rPr>
                <w:sz w:val="20"/>
                <w:szCs w:val="20"/>
                <w:color w:val="auto"/>
              </w:rPr>
            </w:pPr>
            <w:r>
              <w:rPr>
                <w:rFonts w:ascii="Times New Roman" w:cs="Times New Roman" w:eastAsia="Times New Roman" w:hAnsi="Times New Roman"/>
                <w:sz w:val="14"/>
                <w:szCs w:val="14"/>
                <w:b w:val="1"/>
                <w:bCs w:val="1"/>
                <w:color w:val="auto"/>
              </w:rPr>
              <w:t>Fiscal years ended</w:t>
            </w:r>
          </w:p>
        </w:tc>
        <w:tc>
          <w:tcPr>
            <w:tcW w:w="2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17"/>
        </w:trPr>
        <w:tc>
          <w:tcPr>
            <w:tcW w:w="488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40" w:type="dxa"/>
            <w:vAlign w:val="bottom"/>
          </w:tcPr>
          <w:p>
            <w:pPr>
              <w:jc w:val="center"/>
              <w:ind w:right="137"/>
              <w:spacing w:after="0" w:line="118" w:lineRule="exact"/>
              <w:rPr>
                <w:sz w:val="20"/>
                <w:szCs w:val="20"/>
                <w:color w:val="auto"/>
              </w:rPr>
            </w:pPr>
            <w:r>
              <w:rPr>
                <w:rFonts w:ascii="Times New Roman" w:cs="Times New Roman" w:eastAsia="Times New Roman" w:hAnsi="Times New Roman"/>
                <w:sz w:val="13"/>
                <w:szCs w:val="13"/>
                <w:b w:val="1"/>
                <w:bCs w:val="1"/>
                <w:color w:val="auto"/>
              </w:rPr>
              <w:t>January 31,</w:t>
            </w: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20" w:type="dxa"/>
            <w:vAlign w:val="bottom"/>
          </w:tcPr>
          <w:p>
            <w:pPr>
              <w:jc w:val="center"/>
              <w:ind w:right="117"/>
              <w:spacing w:after="0" w:line="118" w:lineRule="exact"/>
              <w:rPr>
                <w:sz w:val="20"/>
                <w:szCs w:val="20"/>
                <w:color w:val="auto"/>
              </w:rPr>
            </w:pPr>
            <w:r>
              <w:rPr>
                <w:rFonts w:ascii="Times New Roman" w:cs="Times New Roman" w:eastAsia="Times New Roman" w:hAnsi="Times New Roman"/>
                <w:sz w:val="13"/>
                <w:szCs w:val="13"/>
                <w:b w:val="1"/>
                <w:bCs w:val="1"/>
                <w:color w:val="auto"/>
              </w:rPr>
              <w:t>February 1,</w:t>
            </w: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40" w:type="dxa"/>
            <w:vAlign w:val="bottom"/>
          </w:tcPr>
          <w:p>
            <w:pPr>
              <w:jc w:val="center"/>
              <w:ind w:right="117"/>
              <w:spacing w:after="0" w:line="118" w:lineRule="exact"/>
              <w:rPr>
                <w:sz w:val="20"/>
                <w:szCs w:val="20"/>
                <w:color w:val="auto"/>
              </w:rPr>
            </w:pPr>
            <w:r>
              <w:rPr>
                <w:rFonts w:ascii="Times New Roman" w:cs="Times New Roman" w:eastAsia="Times New Roman" w:hAnsi="Times New Roman"/>
                <w:sz w:val="13"/>
                <w:szCs w:val="13"/>
                <w:b w:val="1"/>
                <w:bCs w:val="1"/>
                <w:color w:val="auto"/>
              </w:rPr>
              <w:t>February 3,</w:t>
            </w:r>
          </w:p>
        </w:tc>
        <w:tc>
          <w:tcPr>
            <w:tcW w:w="100" w:type="dxa"/>
            <w:vAlign w:val="bottom"/>
          </w:tcPr>
          <w:p>
            <w:pPr>
              <w:spacing w:after="0"/>
              <w:rPr>
                <w:sz w:val="10"/>
                <w:szCs w:val="10"/>
                <w:color w:val="auto"/>
              </w:rPr>
            </w:pPr>
          </w:p>
        </w:tc>
      </w:tr>
      <w:tr>
        <w:trPr>
          <w:trHeight w:val="173"/>
        </w:trPr>
        <w:tc>
          <w:tcPr>
            <w:tcW w:w="488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137"/>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2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2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r>
      <w:tr>
        <w:trPr>
          <w:trHeight w:val="142"/>
        </w:trPr>
        <w:tc>
          <w:tcPr>
            <w:tcW w:w="488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jc w:val="center"/>
              <w:ind w:right="137"/>
              <w:spacing w:after="0" w:line="142" w:lineRule="exact"/>
              <w:rPr>
                <w:sz w:val="20"/>
                <w:szCs w:val="20"/>
                <w:color w:val="auto"/>
              </w:rPr>
            </w:pPr>
            <w:r>
              <w:rPr>
                <w:rFonts w:ascii="Times New Roman" w:cs="Times New Roman" w:eastAsia="Times New Roman" w:hAnsi="Times New Roman"/>
                <w:sz w:val="14"/>
                <w:szCs w:val="14"/>
                <w:b w:val="1"/>
                <w:bCs w:val="1"/>
                <w:color w:val="auto"/>
              </w:rPr>
              <w:t>(52 weeks)</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jc w:val="center"/>
              <w:ind w:right="117"/>
              <w:spacing w:after="0" w:line="142" w:lineRule="exact"/>
              <w:rPr>
                <w:sz w:val="20"/>
                <w:szCs w:val="20"/>
                <w:color w:val="auto"/>
              </w:rPr>
            </w:pPr>
            <w:r>
              <w:rPr>
                <w:rFonts w:ascii="Times New Roman" w:cs="Times New Roman" w:eastAsia="Times New Roman" w:hAnsi="Times New Roman"/>
                <w:sz w:val="14"/>
                <w:szCs w:val="14"/>
                <w:b w:val="1"/>
                <w:bCs w:val="1"/>
                <w:color w:val="auto"/>
              </w:rPr>
              <w:t>(52 weeks)</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tcPr>
          <w:p>
            <w:pPr>
              <w:jc w:val="center"/>
              <w:ind w:right="117"/>
              <w:spacing w:after="0" w:line="142" w:lineRule="exact"/>
              <w:rPr>
                <w:sz w:val="20"/>
                <w:szCs w:val="20"/>
                <w:color w:val="auto"/>
              </w:rPr>
            </w:pPr>
            <w:r>
              <w:rPr>
                <w:rFonts w:ascii="Times New Roman" w:cs="Times New Roman" w:eastAsia="Times New Roman" w:hAnsi="Times New Roman"/>
                <w:sz w:val="14"/>
                <w:szCs w:val="14"/>
                <w:b w:val="1"/>
                <w:bCs w:val="1"/>
                <w:color w:val="auto"/>
              </w:rPr>
              <w:t>(53 weeks)</w:t>
            </w:r>
          </w:p>
        </w:tc>
        <w:tc>
          <w:tcPr>
            <w:tcW w:w="100" w:type="dxa"/>
            <w:vAlign w:val="bottom"/>
          </w:tcPr>
          <w:p>
            <w:pPr>
              <w:spacing w:after="0"/>
              <w:rPr>
                <w:sz w:val="12"/>
                <w:szCs w:val="12"/>
                <w:color w:val="auto"/>
              </w:rPr>
            </w:pPr>
          </w:p>
        </w:tc>
      </w:tr>
      <w:tr>
        <w:trPr>
          <w:trHeight w:val="216"/>
        </w:trPr>
        <w:tc>
          <w:tcPr>
            <w:tcW w:w="4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RSUs and RSAs</w:t>
            </w:r>
          </w:p>
        </w:tc>
        <w:tc>
          <w:tcPr>
            <w:tcW w:w="19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25,548</w:t>
            </w:r>
          </w:p>
        </w:tc>
        <w:tc>
          <w:tcPr>
            <w:tcW w:w="460" w:type="dxa"/>
            <w:vAlign w:val="bottom"/>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34,726</w:t>
            </w:r>
          </w:p>
        </w:tc>
        <w:tc>
          <w:tcPr>
            <w:tcW w:w="4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57,619</w:t>
            </w:r>
          </w:p>
        </w:tc>
        <w:tc>
          <w:tcPr>
            <w:tcW w:w="100" w:type="dxa"/>
            <w:vAlign w:val="bottom"/>
            <w:shd w:val="clear" w:color="auto" w:fill="CFF0FC"/>
          </w:tcPr>
          <w:p>
            <w:pPr>
              <w:spacing w:after="0"/>
              <w:rPr>
                <w:sz w:val="18"/>
                <w:szCs w:val="18"/>
                <w:color w:val="auto"/>
              </w:rPr>
            </w:pPr>
          </w:p>
        </w:tc>
      </w:t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Options</w:t>
            </w:r>
          </w:p>
        </w:tc>
        <w:tc>
          <w:tcPr>
            <w:tcW w:w="1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5,565</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12,231</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16,586</w:t>
            </w:r>
          </w:p>
        </w:tc>
        <w:tc>
          <w:tcPr>
            <w:tcW w:w="100" w:type="dxa"/>
            <w:vAlign w:val="bottom"/>
          </w:tcPr>
          <w:p>
            <w:pPr>
              <w:spacing w:after="0"/>
              <w:rPr>
                <w:sz w:val="18"/>
                <w:szCs w:val="18"/>
                <w:color w:val="auto"/>
              </w:rPr>
            </w:pPr>
          </w:p>
        </w:tc>
      </w:tr>
      <w:tr>
        <w:trPr>
          <w:trHeight w:val="216"/>
        </w:trPr>
        <w:tc>
          <w:tcPr>
            <w:tcW w:w="4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ESPP</w:t>
            </w:r>
          </w:p>
        </w:tc>
        <w:tc>
          <w:tcPr>
            <w:tcW w:w="1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1,529</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1,838</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1,474</w:t>
            </w:r>
          </w:p>
        </w:tc>
        <w:tc>
          <w:tcPr>
            <w:tcW w:w="100" w:type="dxa"/>
            <w:vAlign w:val="bottom"/>
            <w:shd w:val="clear" w:color="auto" w:fill="CFF0FC"/>
          </w:tcPr>
          <w:p>
            <w:pPr>
              <w:spacing w:after="0"/>
              <w:rPr>
                <w:sz w:val="18"/>
                <w:szCs w:val="18"/>
                <w:color w:val="auto"/>
              </w:rPr>
            </w:pPr>
          </w:p>
        </w:tc>
      </w:t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Other awards</w:t>
            </w:r>
          </w:p>
        </w:tc>
        <w:tc>
          <w:tcPr>
            <w:tcW w:w="17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1,417</w:t>
            </w:r>
          </w:p>
        </w:tc>
        <w:tc>
          <w:tcPr>
            <w:tcW w:w="2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6,180</w:t>
            </w:r>
          </w:p>
        </w:tc>
        <w:tc>
          <w:tcPr>
            <w:tcW w:w="100" w:type="dxa"/>
            <w:vAlign w:val="bottom"/>
          </w:tcPr>
          <w:p>
            <w:pPr>
              <w:spacing w:after="0"/>
              <w:rPr>
                <w:sz w:val="18"/>
                <w:szCs w:val="18"/>
                <w:color w:val="auto"/>
              </w:rPr>
            </w:pPr>
          </w:p>
        </w:tc>
      </w:tr>
      <w:tr>
        <w:trPr>
          <w:trHeight w:val="230"/>
        </w:trPr>
        <w:tc>
          <w:tcPr>
            <w:tcW w:w="48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equity-based compensation expense</w:t>
            </w:r>
          </w:p>
        </w:tc>
        <w:tc>
          <w:tcPr>
            <w:tcW w:w="19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32,650</w:t>
            </w:r>
          </w:p>
        </w:tc>
        <w:tc>
          <w:tcPr>
            <w:tcW w:w="460" w:type="dxa"/>
            <w:vAlign w:val="bottom"/>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50,212</w:t>
            </w:r>
          </w:p>
        </w:tc>
        <w:tc>
          <w:tcPr>
            <w:tcW w:w="4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81,859</w:t>
            </w:r>
          </w:p>
        </w:tc>
        <w:tc>
          <w:tcPr>
            <w:tcW w:w="100" w:type="dxa"/>
            <w:vAlign w:val="bottom"/>
            <w:shd w:val="clear" w:color="auto" w:fill="CFF0FC"/>
          </w:tcPr>
          <w:p>
            <w:pPr>
              <w:spacing w:after="0"/>
              <w:rPr>
                <w:sz w:val="19"/>
                <w:szCs w:val="19"/>
                <w:color w:val="auto"/>
              </w:rPr>
            </w:pPr>
          </w:p>
        </w:tc>
      </w:tr>
      <w:tr>
        <w:trPr>
          <w:trHeight w:val="20"/>
        </w:trPr>
        <w:tc>
          <w:tcPr>
            <w:tcW w:w="4880" w:type="dxa"/>
            <w:vAlign w:val="bottom"/>
            <w:tcBorders>
              <w:top w:val="single" w:sz="8" w:color="CFF0FC"/>
            </w:tcBorders>
            <w:shd w:val="clear" w:color="auto" w:fill="CFF0FC"/>
          </w:tcPr>
          <w:p>
            <w:pPr>
              <w:spacing w:after="0" w:line="20" w:lineRule="exact"/>
              <w:rPr>
                <w:sz w:val="1"/>
                <w:szCs w:val="1"/>
                <w:color w:val="auto"/>
              </w:rPr>
            </w:pPr>
          </w:p>
        </w:tc>
        <w:tc>
          <w:tcPr>
            <w:tcW w:w="176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215"/>
        </w:trPr>
        <w:tc>
          <w:tcPr>
            <w:tcW w:w="4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related tax benefit</w:t>
            </w:r>
          </w:p>
        </w:tc>
        <w:tc>
          <w:tcPr>
            <w:tcW w:w="1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5,695</w:t>
            </w:r>
          </w:p>
        </w:tc>
        <w:tc>
          <w:tcPr>
            <w:tcW w:w="46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7,341</w:t>
            </w:r>
          </w:p>
        </w:tc>
        <w:tc>
          <w:tcPr>
            <w:tcW w:w="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11,473</w:t>
            </w:r>
          </w:p>
        </w:tc>
        <w:tc>
          <w:tcPr>
            <w:tcW w:w="10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-173990</wp:posOffset>
            </wp:positionV>
            <wp:extent cx="76835"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-156845</wp:posOffset>
            </wp:positionV>
            <wp:extent cx="76835"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-173990</wp:posOffset>
            </wp:positionV>
            <wp:extent cx="6858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-156845</wp:posOffset>
            </wp:positionV>
            <wp:extent cx="6858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-173990</wp:posOffset>
            </wp:positionV>
            <wp:extent cx="6858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-156845</wp:posOffset>
            </wp:positionV>
            <wp:extent cx="6858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RSUs and RSAs</w:t>
      </w:r>
    </w:p>
    <w:p>
      <w:pPr>
        <w:spacing w:after="0" w:line="121"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The Company has time-vested RSUs, performance-based RSUs, and market-based RSUs. Time-vested RSUs are awarded to eligible employees and non-employee directors and entitle the grantee to receive shares of Class A</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0" w:name="page91"/>
    <w:bookmarkEnd w:id="90"/>
    <w:p>
      <w:pPr>
        <w:spacing w:after="0" w:line="86"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common stock at the end of a vesting period, subject solely to the individual’s continued employment or service as a director. In most cases, 34% of the units becomes vested on the anniversary of the grant date, followed by 16.5% of the units in four equal semi-annual installments thereafter. Performance-based RSUs are awarded to eligible employees and entitle the grantee to receive shares of Class A common stock if the Company achieves specified performance goals during the performance period and the grantee remains employed through the vesting period. Market-based RSUs are awarded to eligible employees and entitle the grantee to receive shares of Class A common stock if the total shareholder return goals are achieved and the grantee remains employed through the vesting period.</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RSU activity under the 2021 Equity Incentive Plan was as follows (in thousands, except per share and contractual life amounts):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20" w:type="dxa"/>
            <w:vAlign w:val="bottom"/>
          </w:tcPr>
          <w:p>
            <w:pPr>
              <w:spacing w:after="0"/>
              <w:rPr>
                <w:sz w:val="13"/>
                <w:szCs w:val="13"/>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7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jc w:val="center"/>
              <w:ind w:right="99"/>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57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jc w:val="center"/>
              <w:ind w:right="99"/>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22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80" w:type="dxa"/>
            <w:vAlign w:val="bottom"/>
          </w:tcPr>
          <w:p>
            <w:pPr>
              <w:spacing w:after="0"/>
              <w:rPr>
                <w:sz w:val="12"/>
                <w:szCs w:val="12"/>
                <w:color w:val="auto"/>
              </w:rPr>
            </w:pPr>
          </w:p>
        </w:tc>
        <w:tc>
          <w:tcPr>
            <w:tcW w:w="1200" w:type="dxa"/>
            <w:vAlign w:val="bottom"/>
            <w:vMerge w:val="restart"/>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jc w:val="center"/>
              <w:ind w:right="79"/>
              <w:spacing w:after="0" w:line="149"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22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73"/>
        </w:trPr>
        <w:tc>
          <w:tcPr>
            <w:tcW w:w="5780" w:type="dxa"/>
            <w:vAlign w:val="bottom"/>
          </w:tcPr>
          <w:p>
            <w:pPr>
              <w:spacing w:after="0"/>
              <w:rPr>
                <w:sz w:val="15"/>
                <w:szCs w:val="15"/>
                <w:color w:val="auto"/>
              </w:rPr>
            </w:pPr>
          </w:p>
        </w:tc>
        <w:tc>
          <w:tcPr>
            <w:tcW w:w="1200" w:type="dxa"/>
            <w:vAlign w:val="bottom"/>
            <w:tcBorders>
              <w:bottom w:val="single" w:sz="8" w:color="auto"/>
            </w:tcBorders>
            <w:vMerge w:val="continue"/>
          </w:tcPr>
          <w:p>
            <w:pPr>
              <w:spacing w:after="0"/>
              <w:rPr>
                <w:sz w:val="15"/>
                <w:szCs w:val="15"/>
                <w:color w:val="auto"/>
              </w:rPr>
            </w:pPr>
          </w:p>
        </w:tc>
        <w:tc>
          <w:tcPr>
            <w:tcW w:w="240" w:type="dxa"/>
            <w:vAlign w:val="bottom"/>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220" w:type="dxa"/>
            <w:vAlign w:val="bottom"/>
          </w:tcPr>
          <w:p>
            <w:pPr>
              <w:spacing w:after="0"/>
              <w:rPr>
                <w:sz w:val="15"/>
                <w:szCs w:val="15"/>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life (years)</w:t>
            </w:r>
          </w:p>
        </w:tc>
        <w:tc>
          <w:tcPr>
            <w:tcW w:w="2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121"/>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Nonvested, February 1, 2025</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12,180</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4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41,656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15,713</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Vested and delivered</w:t>
            </w:r>
          </w:p>
        </w:tc>
        <w:tc>
          <w:tcPr>
            <w:tcW w:w="14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(4,645)</w:t>
            </w: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2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Forfeited/expired</w:t>
            </w: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(3,403)</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7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Nonvested, January 31, 2026</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19,845</w:t>
            </w:r>
          </w:p>
        </w:tc>
        <w:tc>
          <w:tcPr>
            <w:tcW w:w="2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142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420" w:type="dxa"/>
            <w:vAlign w:val="bottom"/>
            <w:tcBorders>
              <w:bottom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53,383</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4428490</wp:posOffset>
            </wp:positionH>
            <wp:positionV relativeFrom="paragraph">
              <wp:posOffset>-24765</wp:posOffset>
            </wp:positionV>
            <wp:extent cx="6858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-7620</wp:posOffset>
            </wp:positionV>
            <wp:extent cx="6858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As of January 31, 2026, unrecognized compensation expense related to unvested RSUs was $33.2 million, which is expected to be recognized over a weighted average period of approximately 2.0 years.</w:t>
      </w:r>
    </w:p>
    <w:p>
      <w:pPr>
        <w:spacing w:after="0" w:line="162"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RSA activity has not been material and relates to an RSA of Class A common stock granted to an executive in March 2021. For this grant, 50% of the RSA vested on each of the first two anniversaries of the grant date.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Options</w:t>
      </w:r>
    </w:p>
    <w:p>
      <w:pPr>
        <w:spacing w:after="0" w:line="121" w:lineRule="exact"/>
        <w:rPr>
          <w:sz w:val="20"/>
          <w:szCs w:val="20"/>
          <w:color w:val="auto"/>
        </w:rPr>
      </w:pPr>
    </w:p>
    <w:p>
      <w:pPr>
        <w:ind w:right="260" w:firstLine="509"/>
        <w:spacing w:after="0" w:line="266" w:lineRule="auto"/>
        <w:rPr>
          <w:sz w:val="20"/>
          <w:szCs w:val="20"/>
          <w:color w:val="auto"/>
        </w:rPr>
      </w:pPr>
      <w:r>
        <w:rPr>
          <w:rFonts w:ascii="Times New Roman" w:cs="Times New Roman" w:eastAsia="Times New Roman" w:hAnsi="Times New Roman"/>
          <w:sz w:val="18"/>
          <w:szCs w:val="18"/>
          <w:color w:val="auto"/>
        </w:rPr>
        <w:t>The Company provides stock option grants, which are time-vested, as a form of employee compensation. In most cases, 34% of the options generally becomes vested on the anniversary of the grant date, followed by 16.5% of the options in four equal semi-annual installments thereafter. Stock options generally expire 10 years from the grant date.</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Stock option activity under the 2021 Equity Incentive Plan was as follows (in thousands, except per share and contractual life amounts):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vMerge w:val="restart"/>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20" w:type="dxa"/>
            <w:vAlign w:val="bottom"/>
          </w:tcPr>
          <w:p>
            <w:pPr>
              <w:spacing w:after="0"/>
              <w:rPr>
                <w:sz w:val="13"/>
                <w:szCs w:val="13"/>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8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4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38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center"/>
              <w:ind w:right="37"/>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4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subject</w:t>
            </w:r>
          </w:p>
        </w:tc>
        <w:tc>
          <w:tcPr>
            <w:tcW w:w="100" w:type="dxa"/>
            <w:vAlign w:val="bottom"/>
          </w:tcPr>
          <w:p>
            <w:pPr>
              <w:spacing w:after="0"/>
              <w:rPr>
                <w:sz w:val="12"/>
                <w:szCs w:val="12"/>
                <w:color w:val="auto"/>
              </w:rPr>
            </w:pPr>
          </w:p>
        </w:tc>
        <w:tc>
          <w:tcPr>
            <w:tcW w:w="1000" w:type="dxa"/>
            <w:vAlign w:val="bottom"/>
          </w:tcPr>
          <w:p>
            <w:pPr>
              <w:jc w:val="center"/>
              <w:ind w:right="37"/>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w:t>
            </w:r>
          </w:p>
        </w:tc>
        <w:tc>
          <w:tcPr>
            <w:tcW w:w="22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73"/>
        </w:trPr>
        <w:tc>
          <w:tcPr>
            <w:tcW w:w="388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to options</w:t>
            </w:r>
          </w:p>
        </w:tc>
        <w:tc>
          <w:tcPr>
            <w:tcW w:w="2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17"/>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220" w:type="dxa"/>
            <w:vAlign w:val="bottom"/>
          </w:tcPr>
          <w:p>
            <w:pPr>
              <w:spacing w:after="0"/>
              <w:rPr>
                <w:sz w:val="15"/>
                <w:szCs w:val="15"/>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life (years)</w:t>
            </w:r>
          </w:p>
        </w:tc>
        <w:tc>
          <w:tcPr>
            <w:tcW w:w="2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February 1, 2025</w:t>
            </w:r>
          </w:p>
        </w:tc>
        <w:tc>
          <w:tcPr>
            <w:tcW w:w="3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11,685</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6.99</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4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3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3,050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Exercised</w:t>
            </w:r>
          </w:p>
        </w:tc>
        <w:tc>
          <w:tcPr>
            <w:tcW w:w="190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Forfeited/expired</w:t>
            </w:r>
          </w:p>
        </w:tc>
        <w:tc>
          <w:tcPr>
            <w:tcW w:w="190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(1,173)</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11.51</w:t>
            </w: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8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January 31, 2026</w:t>
            </w:r>
          </w:p>
        </w:tc>
        <w:tc>
          <w:tcPr>
            <w:tcW w:w="1900" w:type="dxa"/>
            <w:vAlign w:val="bottom"/>
            <w:tcBorders>
              <w:bottom w:val="single" w:sz="8" w:color="CFF0FC"/>
            </w:tcBorders>
            <w:shd w:val="clear" w:color="auto" w:fill="CFF0FC"/>
          </w:tcPr>
          <w:p>
            <w:pPr>
              <w:spacing w:after="0"/>
              <w:rPr>
                <w:sz w:val="21"/>
                <w:szCs w:val="21"/>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13,562</w:t>
            </w:r>
          </w:p>
        </w:tc>
        <w:tc>
          <w:tcPr>
            <w:tcW w:w="2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142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420" w:type="dxa"/>
            <w:vAlign w:val="bottom"/>
            <w:tcBorders>
              <w:bottom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644</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Exercisable, January 31, 2026</w:t>
            </w:r>
          </w:p>
        </w:tc>
        <w:tc>
          <w:tcPr>
            <w:tcW w:w="3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7,491</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46"/>
        </w:trPr>
        <w:tc>
          <w:tcPr>
            <w:tcW w:w="3880" w:type="dxa"/>
            <w:vAlign w:val="bottom"/>
          </w:tcPr>
          <w:p>
            <w:pPr>
              <w:spacing w:after="0"/>
              <w:rPr>
                <w:sz w:val="24"/>
                <w:szCs w:val="24"/>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3880" w:type="dxa"/>
            <w:vAlign w:val="bottom"/>
            <w:tcBorders>
              <w:bottom w:val="single" w:sz="8" w:color="9A9A9A"/>
            </w:tcBorders>
          </w:tcPr>
          <w:p>
            <w:pPr>
              <w:spacing w:after="0"/>
              <w:rPr>
                <w:sz w:val="24"/>
                <w:szCs w:val="24"/>
                <w:color w:val="auto"/>
              </w:rPr>
            </w:pPr>
          </w:p>
        </w:tc>
        <w:tc>
          <w:tcPr>
            <w:tcW w:w="190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-1207770</wp:posOffset>
            </wp:positionV>
            <wp:extent cx="6858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-1190625</wp:posOffset>
            </wp:positionV>
            <wp:extent cx="6858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1" w:name="page92"/>
    <w:bookmarkEnd w:id="91"/>
    <w:p>
      <w:pPr>
        <w:ind w:firstLine="509"/>
        <w:spacing w:after="0" w:line="282" w:lineRule="auto"/>
        <w:rPr>
          <w:sz w:val="20"/>
          <w:szCs w:val="20"/>
          <w:color w:val="auto"/>
        </w:rPr>
      </w:pPr>
      <w:r>
        <w:rPr>
          <w:rFonts w:ascii="Times New Roman" w:cs="Times New Roman" w:eastAsia="Times New Roman" w:hAnsi="Times New Roman"/>
          <w:sz w:val="18"/>
          <w:szCs w:val="18"/>
          <w:color w:val="auto"/>
        </w:rPr>
        <w:t>No stock option awards were granted in fiscal 2023. The fair value of stock option awards granted in fiscal 2025 and 2024 was estimated at the grant dates using the Black-Scholes option pricing model with the following assumptions: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80" w:type="dxa"/>
            <w:vAlign w:val="bottom"/>
          </w:tcPr>
          <w:p>
            <w:pPr>
              <w:spacing w:after="0"/>
              <w:rPr>
                <w:sz w:val="15"/>
                <w:szCs w:val="15"/>
                <w:color w:val="auto"/>
              </w:rPr>
            </w:pPr>
          </w:p>
        </w:tc>
        <w:tc>
          <w:tcPr>
            <w:tcW w:w="2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220" w:type="dxa"/>
            <w:vAlign w:val="bottom"/>
          </w:tcPr>
          <w:p>
            <w:pPr>
              <w:spacing w:after="0"/>
              <w:rPr>
                <w:sz w:val="15"/>
                <w:szCs w:val="15"/>
                <w:color w:val="auto"/>
              </w:rPr>
            </w:pPr>
          </w:p>
        </w:tc>
        <w:tc>
          <w:tcPr>
            <w:tcW w:w="25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Fiscal year ended</w:t>
            </w:r>
          </w:p>
        </w:tc>
      </w:tr>
      <w:tr>
        <w:trPr>
          <w:trHeight w:val="117"/>
        </w:trPr>
        <w:tc>
          <w:tcPr>
            <w:tcW w:w="5880" w:type="dxa"/>
            <w:vAlign w:val="bottom"/>
          </w:tcPr>
          <w:p>
            <w:pPr>
              <w:spacing w:after="0"/>
              <w:rPr>
                <w:sz w:val="10"/>
                <w:szCs w:val="10"/>
                <w:color w:val="auto"/>
              </w:rPr>
            </w:pPr>
          </w:p>
        </w:tc>
        <w:tc>
          <w:tcPr>
            <w:tcW w:w="256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January 31,</w:t>
            </w:r>
          </w:p>
        </w:tc>
        <w:tc>
          <w:tcPr>
            <w:tcW w:w="220" w:type="dxa"/>
            <w:vAlign w:val="bottom"/>
          </w:tcPr>
          <w:p>
            <w:pPr>
              <w:spacing w:after="0"/>
              <w:rPr>
                <w:sz w:val="10"/>
                <w:szCs w:val="10"/>
                <w:color w:val="auto"/>
              </w:rPr>
            </w:pPr>
          </w:p>
        </w:tc>
        <w:tc>
          <w:tcPr>
            <w:tcW w:w="258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February 1,</w:t>
            </w:r>
          </w:p>
        </w:tc>
      </w:tr>
      <w:tr>
        <w:trPr>
          <w:trHeight w:val="173"/>
        </w:trPr>
        <w:tc>
          <w:tcPr>
            <w:tcW w:w="5880" w:type="dxa"/>
            <w:vAlign w:val="bottom"/>
          </w:tcPr>
          <w:p>
            <w:pPr>
              <w:spacing w:after="0"/>
              <w:rPr>
                <w:sz w:val="15"/>
                <w:szCs w:val="15"/>
                <w:color w:val="auto"/>
              </w:rPr>
            </w:pPr>
          </w:p>
        </w:tc>
        <w:tc>
          <w:tcPr>
            <w:tcW w:w="2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2026</w:t>
            </w:r>
          </w:p>
        </w:tc>
        <w:tc>
          <w:tcPr>
            <w:tcW w:w="2800" w:type="dxa"/>
            <w:vAlign w:val="bottom"/>
            <w:gridSpan w:val="3"/>
          </w:tcPr>
          <w:p>
            <w:pPr>
              <w:jc w:val="right"/>
              <w:ind w:right="1070"/>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42"/>
        </w:trPr>
        <w:tc>
          <w:tcPr>
            <w:tcW w:w="5880" w:type="dxa"/>
            <w:vAlign w:val="bottom"/>
          </w:tcPr>
          <w:p>
            <w:pPr>
              <w:spacing w:after="0"/>
              <w:rPr>
                <w:sz w:val="12"/>
                <w:szCs w:val="12"/>
                <w:color w:val="auto"/>
              </w:rPr>
            </w:pPr>
          </w:p>
        </w:tc>
        <w:tc>
          <w:tcPr>
            <w:tcW w:w="256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(52 weeks)</w:t>
            </w:r>
          </w:p>
        </w:tc>
        <w:tc>
          <w:tcPr>
            <w:tcW w:w="220" w:type="dxa"/>
            <w:vAlign w:val="bottom"/>
          </w:tcPr>
          <w:p>
            <w:pPr>
              <w:spacing w:after="0"/>
              <w:rPr>
                <w:sz w:val="12"/>
                <w:szCs w:val="12"/>
                <w:color w:val="auto"/>
              </w:rPr>
            </w:pPr>
          </w:p>
        </w:tc>
        <w:tc>
          <w:tcPr>
            <w:tcW w:w="2580" w:type="dxa"/>
            <w:vAlign w:val="bottom"/>
            <w:tcBorders>
              <w:top w:val="single" w:sz="8" w:color="auto"/>
            </w:tcBorders>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(52 weeks)</w:t>
            </w:r>
          </w:p>
        </w:tc>
      </w:tr>
      <w:tr>
        <w:trPr>
          <w:trHeight w:val="216"/>
        </w:trPr>
        <w:tc>
          <w:tcPr>
            <w:tcW w:w="5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25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0.0%</w:t>
            </w:r>
          </w:p>
        </w:tc>
        <w:tc>
          <w:tcPr>
            <w:tcW w:w="2800" w:type="dxa"/>
            <w:vAlign w:val="bottom"/>
            <w:gridSpan w:val="3"/>
            <w:shd w:val="clear" w:color="auto" w:fill="CFF0FC"/>
          </w:tcPr>
          <w:p>
            <w:pPr>
              <w:jc w:val="right"/>
              <w:ind w:right="1010"/>
              <w:spacing w:after="0"/>
              <w:rPr>
                <w:sz w:val="20"/>
                <w:szCs w:val="20"/>
                <w:color w:val="auto"/>
              </w:rPr>
            </w:pPr>
            <w:r>
              <w:rPr>
                <w:rFonts w:ascii="Times New Roman" w:cs="Times New Roman" w:eastAsia="Times New Roman" w:hAnsi="Times New Roman"/>
                <w:sz w:val="18"/>
                <w:szCs w:val="18"/>
                <w:color w:val="auto"/>
              </w:rPr>
              <w:t>0.0%</w:t>
            </w:r>
          </w:p>
        </w:tc>
      </w:tr>
      <w:tr>
        <w:trPr>
          <w:trHeight w:val="216"/>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 (1)</w:t>
            </w:r>
          </w:p>
        </w:tc>
        <w:tc>
          <w:tcPr>
            <w:tcW w:w="2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69.3%</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59.1%</w:t>
            </w:r>
          </w:p>
        </w:tc>
        <w:tc>
          <w:tcPr>
            <w:tcW w:w="1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- 66.1%</w:t>
            </w:r>
          </w:p>
        </w:tc>
      </w:tr>
      <w:tr>
        <w:trPr>
          <w:trHeight w:val="216"/>
        </w:trPr>
        <w:tc>
          <w:tcPr>
            <w:tcW w:w="5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Risk-free interest rate (2)</w:t>
            </w:r>
          </w:p>
        </w:tc>
        <w:tc>
          <w:tcPr>
            <w:tcW w:w="25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4.0%</w:t>
            </w:r>
          </w:p>
        </w:tc>
        <w:tc>
          <w:tcPr>
            <w:tcW w:w="1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- 4.5%</w:t>
            </w:r>
          </w:p>
        </w:tc>
      </w:tr>
      <w:tr>
        <w:trPr>
          <w:trHeight w:val="216"/>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 (3)</w:t>
            </w:r>
          </w:p>
        </w:tc>
        <w:tc>
          <w:tcPr>
            <w:tcW w:w="2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5.9 years</w:t>
            </w:r>
          </w:p>
        </w:tc>
        <w:tc>
          <w:tcPr>
            <w:tcW w:w="220" w:type="dxa"/>
            <w:vAlign w:val="bottom"/>
          </w:tcPr>
          <w:p>
            <w:pPr>
              <w:spacing w:after="0"/>
              <w:rPr>
                <w:sz w:val="18"/>
                <w:szCs w:val="18"/>
                <w:color w:val="auto"/>
              </w:rPr>
            </w:pPr>
          </w:p>
        </w:tc>
        <w:tc>
          <w:tcPr>
            <w:tcW w:w="25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5.1 to 7.5 years</w:t>
            </w:r>
          </w:p>
        </w:tc>
      </w:tr>
      <w:tr>
        <w:trPr>
          <w:trHeight w:val="216"/>
        </w:trPr>
        <w:tc>
          <w:tcPr>
            <w:tcW w:w="5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Grant date fair value per share</w:t>
            </w:r>
          </w:p>
        </w:tc>
        <w:tc>
          <w:tcPr>
            <w:tcW w:w="25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$2.46</w:t>
            </w:r>
          </w:p>
        </w:tc>
        <w:tc>
          <w:tcPr>
            <w:tcW w:w="1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$3.58</w:t>
            </w:r>
          </w:p>
        </w:tc>
      </w:tr>
      <w:tr>
        <w:trPr>
          <w:trHeight w:val="234"/>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Estimated fair value per option granted</w:t>
            </w:r>
          </w:p>
        </w:tc>
        <w:tc>
          <w:tcPr>
            <w:tcW w:w="2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$1.59</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$0.72</w:t>
            </w:r>
          </w:p>
        </w:tc>
        <w:tc>
          <w:tcPr>
            <w:tcW w:w="1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$2.20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48260</wp:posOffset>
            </wp:positionV>
            <wp:extent cx="1903095"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87" w:lineRule="exact"/>
        <w:rPr>
          <w:sz w:val="20"/>
          <w:szCs w:val="20"/>
          <w:color w:val="auto"/>
        </w:rPr>
      </w:pPr>
    </w:p>
    <w:p>
      <w:pPr>
        <w:ind w:left="520" w:hanging="512"/>
        <w:spacing w:after="0"/>
        <w:tabs>
          <w:tab w:leader="none" w:pos="5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expected volatility was estimated based on the historical volatility of the Company for a term consistent with the expected term of the stock options.</w:t>
      </w:r>
    </w:p>
    <w:p>
      <w:pPr>
        <w:spacing w:after="0" w:line="41" w:lineRule="exact"/>
        <w:rPr>
          <w:rFonts w:ascii="Times New Roman" w:cs="Times New Roman" w:eastAsia="Times New Roman" w:hAnsi="Times New Roman"/>
          <w:sz w:val="14"/>
          <w:szCs w:val="14"/>
          <w:color w:val="auto"/>
        </w:rPr>
      </w:pPr>
    </w:p>
    <w:p>
      <w:pPr>
        <w:ind w:left="520" w:hanging="512"/>
        <w:spacing w:after="0"/>
        <w:tabs>
          <w:tab w:leader="none" w:pos="5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risk-free interest rates were based on the U.S. Treasury constant maturity interest rate for a term consistent with the expected term of the stock options.</w:t>
      </w:r>
    </w:p>
    <w:p>
      <w:pPr>
        <w:spacing w:after="0" w:line="41" w:lineRule="exact"/>
        <w:rPr>
          <w:rFonts w:ascii="Times New Roman" w:cs="Times New Roman" w:eastAsia="Times New Roman" w:hAnsi="Times New Roman"/>
          <w:sz w:val="14"/>
          <w:szCs w:val="14"/>
          <w:color w:val="auto"/>
        </w:rPr>
      </w:pPr>
    </w:p>
    <w:p>
      <w:pPr>
        <w:ind w:left="520" w:hanging="512"/>
        <w:spacing w:after="0"/>
        <w:tabs>
          <w:tab w:leader="none" w:pos="5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expected term of the stock options represents the estimated period of time until exercise and was calculated using the simplified method.</w:t>
      </w:r>
    </w:p>
    <w:p>
      <w:pPr>
        <w:spacing w:after="0" w:line="275" w:lineRule="exact"/>
        <w:rPr>
          <w:sz w:val="20"/>
          <w:szCs w:val="20"/>
          <w:color w:val="auto"/>
        </w:rPr>
      </w:pPr>
    </w:p>
    <w:p>
      <w:pPr>
        <w:ind w:right="80" w:firstLine="554"/>
        <w:spacing w:after="0" w:line="282" w:lineRule="auto"/>
        <w:rPr>
          <w:sz w:val="20"/>
          <w:szCs w:val="20"/>
          <w:color w:val="auto"/>
        </w:rPr>
      </w:pPr>
      <w:r>
        <w:rPr>
          <w:rFonts w:ascii="Times New Roman" w:cs="Times New Roman" w:eastAsia="Times New Roman" w:hAnsi="Times New Roman"/>
          <w:sz w:val="18"/>
          <w:szCs w:val="18"/>
          <w:color w:val="auto"/>
        </w:rPr>
        <w:t>As of January 31, 2026, unrecognized compensation expense related to unvested options was $8.7 million, which is expected to be recognized over a weighted average period of approximately 1.7 years.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ESPP</w:t>
      </w:r>
    </w:p>
    <w:p>
      <w:pPr>
        <w:spacing w:after="0" w:line="229"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 ESPP allows eligible employees to contribute up to 15% of their base earnings towards purchases of Class A common stock, subject to an annual maximum. The purchase price will be 85% of the lower of (i) the fair market value of the stock on the associated lookback date and (ii) the fair market value of the stock on the last day of the related purchase period. As of January 31, 2026, 2.9 million shares of Class A common stock were available for issuance under the ESPP.</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Earnings (Loss) Per Share</w:t>
      </w:r>
    </w:p>
    <w:p>
      <w:pPr>
        <w:spacing w:after="0" w:line="121" w:lineRule="exact"/>
        <w:rPr>
          <w:sz w:val="20"/>
          <w:szCs w:val="20"/>
          <w:color w:val="auto"/>
        </w:rPr>
      </w:pPr>
    </w:p>
    <w:p>
      <w:pPr>
        <w:ind w:right="300" w:firstLine="509"/>
        <w:spacing w:after="0" w:line="261" w:lineRule="auto"/>
        <w:rPr>
          <w:sz w:val="20"/>
          <w:szCs w:val="20"/>
          <w:color w:val="auto"/>
        </w:rPr>
      </w:pPr>
      <w:r>
        <w:rPr>
          <w:rFonts w:ascii="Times New Roman" w:cs="Times New Roman" w:eastAsia="Times New Roman" w:hAnsi="Times New Roman"/>
          <w:sz w:val="18"/>
          <w:szCs w:val="18"/>
          <w:color w:val="auto"/>
        </w:rPr>
        <w:t>Shares of Class A common stock and Class B-1 common stock participate equally in the earnings and losses of the Company and have identical rights in distribution. Basic net income (loss) per Class A and B-1 common share is based on the weighted-average Class A and B-1 common shares outstanding during the relevant period. Diluted net income (loss) per Class A and B-1 common share is based on the weighted-average Class A and B-1 common shares outstanding during the relevant period adjusted for the effect of potentially dilutive securities.</w:t>
      </w:r>
    </w:p>
    <w:p>
      <w:pPr>
        <w:spacing w:after="0" w:line="180"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Potentially dilutive securities include potential Class A common shares related to outstanding stock options and unvested RSUs, calculated using the treasury stock method. The calculation of diluted shares outstanding excludes options and RSUs where the combination of the exercise price (in the case of options) and the associated unrecognized compensation expense is greater than the average market price of Class A common shares because the inclusion of these securities would be antidilutive.</w:t>
      </w:r>
    </w:p>
    <w:p>
      <w:pPr>
        <w:spacing w:after="0" w:line="193" w:lineRule="exact"/>
        <w:rPr>
          <w:sz w:val="20"/>
          <w:szCs w:val="20"/>
          <w:color w:val="auto"/>
        </w:rPr>
      </w:pPr>
    </w:p>
    <w:p>
      <w:pPr>
        <w:jc w:val="both"/>
        <w:ind w:right="140" w:firstLine="599"/>
        <w:spacing w:after="0" w:line="266" w:lineRule="auto"/>
        <w:rPr>
          <w:sz w:val="20"/>
          <w:szCs w:val="20"/>
          <w:color w:val="auto"/>
        </w:rPr>
      </w:pPr>
      <w:r>
        <w:rPr>
          <w:rFonts w:ascii="Times New Roman" w:cs="Times New Roman" w:eastAsia="Times New Roman" w:hAnsi="Times New Roman"/>
          <w:sz w:val="18"/>
          <w:szCs w:val="18"/>
          <w:color w:val="auto"/>
        </w:rPr>
        <w:t>In fiscal 2025, there were approximately 16.1 million potential shares that were anti-dilutive and excluded from the computation of diluted shares outstanding. In fiscal 2024 and 2023, all outstanding stock options and unvested RSUs were excluded from the calculation of diluted loss per Class A and B-1 common share, as their effect would be antidilutive in a net loss period.</w:t>
      </w:r>
    </w:p>
    <w:p>
      <w:pPr>
        <w:spacing w:after="0" w:line="176" w:lineRule="exact"/>
        <w:rPr>
          <w:sz w:val="20"/>
          <w:szCs w:val="20"/>
          <w:color w:val="auto"/>
        </w:rPr>
      </w:pPr>
    </w:p>
    <w:p>
      <w:pPr>
        <w:ind w:right="300" w:firstLine="509"/>
        <w:spacing w:after="0" w:line="266" w:lineRule="auto"/>
        <w:rPr>
          <w:sz w:val="20"/>
          <w:szCs w:val="20"/>
          <w:color w:val="auto"/>
        </w:rPr>
      </w:pPr>
      <w:r>
        <w:rPr>
          <w:rFonts w:ascii="Times New Roman" w:cs="Times New Roman" w:eastAsia="Times New Roman" w:hAnsi="Times New Roman"/>
          <w:sz w:val="18"/>
          <w:szCs w:val="18"/>
          <w:color w:val="auto"/>
        </w:rPr>
        <w:t>Shares of Class B-2 common stock are not included in the calculation of net income (loss) per share as they only possess voting rights. Unvested RSUs contain forfeitable rights to dividend equivalent units if dividends are paid to holders of Class A and B-1 common stock. Because the dividend equivalent units are forfeitable, unvested RSUs are not considered participating securities.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92" w:name="page93"/>
    <w:bookmarkEnd w:id="92"/>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Income Taxes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Income tax expense (benefit) consisted of the following (in thousands):</w:t>
      </w:r>
    </w:p>
    <w:p>
      <w:pPr>
        <w:spacing w:after="0" w:line="246"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402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4"/>
                <w:szCs w:val="14"/>
                <w:b w:val="1"/>
                <w:bCs w:val="1"/>
                <w:color w:val="auto"/>
              </w:rPr>
              <w:t>Fiscal years ended</w:t>
            </w:r>
          </w:p>
        </w:tc>
        <w:tc>
          <w:tcPr>
            <w:tcW w:w="1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17"/>
        </w:trPr>
        <w:tc>
          <w:tcPr>
            <w:tcW w:w="402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80" w:type="dxa"/>
            <w:vAlign w:val="bottom"/>
            <w:gridSpan w:val="3"/>
          </w:tcPr>
          <w:p>
            <w:pPr>
              <w:jc w:val="center"/>
              <w:ind w:right="420"/>
              <w:spacing w:after="0" w:line="118" w:lineRule="exact"/>
              <w:rPr>
                <w:sz w:val="20"/>
                <w:szCs w:val="20"/>
                <w:color w:val="auto"/>
              </w:rPr>
            </w:pPr>
            <w:r>
              <w:rPr>
                <w:rFonts w:ascii="Times New Roman" w:cs="Times New Roman" w:eastAsia="Times New Roman" w:hAnsi="Times New Roman"/>
                <w:sz w:val="13"/>
                <w:szCs w:val="13"/>
                <w:b w:val="1"/>
                <w:bCs w:val="1"/>
                <w:color w:val="auto"/>
              </w:rPr>
              <w:t>January 31,</w:t>
            </w:r>
          </w:p>
        </w:tc>
        <w:tc>
          <w:tcPr>
            <w:tcW w:w="160" w:type="dxa"/>
            <w:vAlign w:val="bottom"/>
          </w:tcPr>
          <w:p>
            <w:pPr>
              <w:spacing w:after="0"/>
              <w:rPr>
                <w:sz w:val="10"/>
                <w:szCs w:val="10"/>
                <w:color w:val="auto"/>
              </w:rPr>
            </w:pPr>
          </w:p>
        </w:tc>
        <w:tc>
          <w:tcPr>
            <w:tcW w:w="1120" w:type="dxa"/>
            <w:vAlign w:val="bottom"/>
            <w:gridSpan w:val="2"/>
          </w:tcPr>
          <w:p>
            <w:pPr>
              <w:jc w:val="center"/>
              <w:ind w:right="280"/>
              <w:spacing w:after="0" w:line="118" w:lineRule="exact"/>
              <w:rPr>
                <w:sz w:val="20"/>
                <w:szCs w:val="20"/>
                <w:color w:val="auto"/>
              </w:rPr>
            </w:pPr>
            <w:r>
              <w:rPr>
                <w:rFonts w:ascii="Times New Roman" w:cs="Times New Roman" w:eastAsia="Times New Roman" w:hAnsi="Times New Roman"/>
                <w:sz w:val="13"/>
                <w:szCs w:val="13"/>
                <w:b w:val="1"/>
                <w:bCs w:val="1"/>
                <w:color w:val="auto"/>
              </w:rPr>
              <w:t>February 1,</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jc w:val="center"/>
              <w:ind w:right="75"/>
              <w:spacing w:after="0" w:line="118" w:lineRule="exact"/>
              <w:rPr>
                <w:sz w:val="20"/>
                <w:szCs w:val="20"/>
                <w:color w:val="auto"/>
              </w:rPr>
            </w:pPr>
            <w:r>
              <w:rPr>
                <w:rFonts w:ascii="Times New Roman" w:cs="Times New Roman" w:eastAsia="Times New Roman" w:hAnsi="Times New Roman"/>
                <w:sz w:val="13"/>
                <w:szCs w:val="13"/>
                <w:b w:val="1"/>
                <w:bCs w:val="1"/>
                <w:color w:val="auto"/>
              </w:rPr>
              <w:t>February 3,</w:t>
            </w:r>
          </w:p>
        </w:tc>
        <w:tc>
          <w:tcPr>
            <w:tcW w:w="100" w:type="dxa"/>
            <w:vAlign w:val="bottom"/>
          </w:tcPr>
          <w:p>
            <w:pPr>
              <w:spacing w:after="0"/>
              <w:rPr>
                <w:sz w:val="10"/>
                <w:szCs w:val="10"/>
                <w:color w:val="auto"/>
              </w:rPr>
            </w:pPr>
          </w:p>
        </w:tc>
      </w:tr>
      <w:tr>
        <w:trPr>
          <w:trHeight w:val="173"/>
        </w:trPr>
        <w:tc>
          <w:tcPr>
            <w:tcW w:w="402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5"/>
                <w:szCs w:val="15"/>
                <w:color w:val="auto"/>
              </w:rPr>
            </w:pPr>
          </w:p>
        </w:tc>
      </w:tr>
      <w:tr>
        <w:trPr>
          <w:trHeight w:val="142"/>
        </w:trPr>
        <w:tc>
          <w:tcPr>
            <w:tcW w:w="402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jc w:val="center"/>
              <w:ind w:right="95"/>
              <w:spacing w:after="0" w:line="142" w:lineRule="exact"/>
              <w:rPr>
                <w:sz w:val="20"/>
                <w:szCs w:val="20"/>
                <w:color w:val="auto"/>
              </w:rPr>
            </w:pPr>
            <w:r>
              <w:rPr>
                <w:rFonts w:ascii="Times New Roman" w:cs="Times New Roman" w:eastAsia="Times New Roman" w:hAnsi="Times New Roman"/>
                <w:sz w:val="14"/>
                <w:szCs w:val="14"/>
                <w:b w:val="1"/>
                <w:bCs w:val="1"/>
                <w:color w:val="auto"/>
              </w:rPr>
              <w:t>(52 weeks)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jc w:val="center"/>
              <w:ind w:right="95"/>
              <w:spacing w:after="0" w:line="142" w:lineRule="exact"/>
              <w:rPr>
                <w:sz w:val="20"/>
                <w:szCs w:val="20"/>
                <w:color w:val="auto"/>
              </w:rPr>
            </w:pPr>
            <w:r>
              <w:rPr>
                <w:rFonts w:ascii="Times New Roman" w:cs="Times New Roman" w:eastAsia="Times New Roman" w:hAnsi="Times New Roman"/>
                <w:sz w:val="14"/>
                <w:szCs w:val="14"/>
                <w:b w:val="1"/>
                <w:bCs w:val="1"/>
                <w:color w:val="auto"/>
              </w:rPr>
              <w:t>(52 weeks)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jc w:val="center"/>
              <w:ind w:right="75"/>
              <w:spacing w:after="0" w:line="142" w:lineRule="exact"/>
              <w:rPr>
                <w:sz w:val="20"/>
                <w:szCs w:val="20"/>
                <w:color w:val="auto"/>
              </w:rPr>
            </w:pPr>
            <w:r>
              <w:rPr>
                <w:rFonts w:ascii="Times New Roman" w:cs="Times New Roman" w:eastAsia="Times New Roman" w:hAnsi="Times New Roman"/>
                <w:sz w:val="14"/>
                <w:szCs w:val="14"/>
                <w:b w:val="1"/>
                <w:bCs w:val="1"/>
                <w:color w:val="auto"/>
              </w:rPr>
              <w:t>(53 weeks)</w:t>
            </w:r>
          </w:p>
        </w:tc>
        <w:tc>
          <w:tcPr>
            <w:tcW w:w="100" w:type="dxa"/>
            <w:vAlign w:val="bottom"/>
          </w:tcPr>
          <w:p>
            <w:pPr>
              <w:spacing w:after="0"/>
              <w:rPr>
                <w:sz w:val="12"/>
                <w:szCs w:val="12"/>
                <w:color w:val="auto"/>
              </w:rPr>
            </w:pPr>
          </w:p>
        </w:tc>
      </w:tr>
      <w:tr>
        <w:trPr>
          <w:trHeight w:val="216"/>
        </w:trPr>
        <w:tc>
          <w:tcPr>
            <w:tcW w:w="4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w:t>
            </w:r>
          </w:p>
        </w:tc>
        <w:tc>
          <w:tcPr>
            <w:tcW w:w="19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Federal</w:t>
            </w:r>
          </w:p>
        </w:tc>
        <w:tc>
          <w:tcPr>
            <w:tcW w:w="2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(10,762)</w:t>
            </w:r>
          </w:p>
        </w:tc>
        <w:tc>
          <w:tcPr>
            <w:tcW w:w="14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15,971</w:t>
            </w:r>
          </w:p>
        </w:tc>
        <w:tc>
          <w:tcPr>
            <w:tcW w:w="100" w:type="dxa"/>
            <w:vAlign w:val="bottom"/>
          </w:tcPr>
          <w:p>
            <w:pPr>
              <w:spacing w:after="0"/>
              <w:rPr>
                <w:sz w:val="18"/>
                <w:szCs w:val="18"/>
                <w:color w:val="auto"/>
              </w:rPr>
            </w:pP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23,321</w:t>
            </w:r>
          </w:p>
        </w:tc>
        <w:tc>
          <w:tcPr>
            <w:tcW w:w="100" w:type="dxa"/>
            <w:vAlign w:val="bottom"/>
          </w:tcPr>
          <w:p>
            <w:pPr>
              <w:spacing w:after="0"/>
              <w:rPr>
                <w:sz w:val="18"/>
                <w:szCs w:val="18"/>
                <w:color w:val="auto"/>
              </w:rPr>
            </w:pPr>
          </w:p>
        </w:tc>
      </w:tr>
      <w:tr>
        <w:trPr>
          <w:trHeight w:val="216"/>
        </w:trPr>
        <w:tc>
          <w:tcPr>
            <w:tcW w:w="40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State</w:t>
            </w:r>
          </w:p>
        </w:tc>
        <w:tc>
          <w:tcPr>
            <w:tcW w:w="19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(2,341)</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5,204</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2,615</w:t>
            </w:r>
          </w:p>
        </w:tc>
        <w:tc>
          <w:tcPr>
            <w:tcW w:w="100" w:type="dxa"/>
            <w:vAlign w:val="bottom"/>
            <w:shd w:val="clear" w:color="auto" w:fill="CFF0FC"/>
          </w:tcPr>
          <w:p>
            <w:pPr>
              <w:spacing w:after="0"/>
              <w:rPr>
                <w:sz w:val="18"/>
                <w:szCs w:val="18"/>
                <w:color w:val="auto"/>
              </w:rPr>
            </w:pPr>
          </w:p>
        </w:tc>
      </w:tr>
      <w:tr>
        <w:trPr>
          <w:trHeight w:val="216"/>
        </w:trPr>
        <w:tc>
          <w:tcPr>
            <w:tcW w:w="4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Foreign</w:t>
            </w:r>
          </w:p>
        </w:tc>
        <w:tc>
          <w:tcPr>
            <w:tcW w:w="19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2,319</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1,836</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50"/>
        </w:trPr>
        <w:tc>
          <w:tcPr>
            <w:tcW w:w="4020" w:type="dxa"/>
            <w:vAlign w:val="bottom"/>
            <w:shd w:val="clear" w:color="auto" w:fill="CFF0FC"/>
          </w:tcPr>
          <w:p>
            <w:pPr>
              <w:spacing w:after="0"/>
              <w:rPr>
                <w:sz w:val="21"/>
                <w:szCs w:val="21"/>
                <w:color w:val="auto"/>
              </w:rPr>
            </w:pPr>
          </w:p>
        </w:tc>
        <w:tc>
          <w:tcPr>
            <w:tcW w:w="2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(10,784)</w:t>
            </w: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23,011</w:t>
            </w:r>
          </w:p>
        </w:tc>
        <w:tc>
          <w:tcPr>
            <w:tcW w:w="100" w:type="dxa"/>
            <w:vAlign w:val="bottom"/>
            <w:shd w:val="clear" w:color="auto" w:fill="CFF0FC"/>
          </w:tcPr>
          <w:p>
            <w:pPr>
              <w:spacing w:after="0"/>
              <w:rPr>
                <w:sz w:val="21"/>
                <w:szCs w:val="21"/>
                <w:color w:val="auto"/>
              </w:rPr>
            </w:pPr>
          </w:p>
        </w:tc>
        <w:tc>
          <w:tcPr>
            <w:tcW w:w="2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25,936</w:t>
            </w:r>
          </w:p>
        </w:tc>
        <w:tc>
          <w:tcPr>
            <w:tcW w:w="100" w:type="dxa"/>
            <w:vAlign w:val="bottom"/>
            <w:shd w:val="clear" w:color="auto" w:fill="CFF0FC"/>
          </w:tcPr>
          <w:p>
            <w:pPr>
              <w:spacing w:after="0"/>
              <w:rPr>
                <w:sz w:val="21"/>
                <w:szCs w:val="21"/>
                <w:color w:val="auto"/>
              </w:rPr>
            </w:pPr>
          </w:p>
        </w:tc>
      </w:tr>
      <w:tr>
        <w:trPr>
          <w:trHeight w:val="196"/>
        </w:trPr>
        <w:tc>
          <w:tcPr>
            <w:tcW w:w="402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color w:val="auto"/>
              </w:rPr>
              <w:t>Deferred:</w:t>
            </w:r>
          </w:p>
        </w:tc>
        <w:tc>
          <w:tcPr>
            <w:tcW w:w="1920" w:type="dxa"/>
            <w:vAlign w:val="bottom"/>
            <w:tcBorders>
              <w:top w:val="single" w:sz="8" w:color="CFF0FC"/>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16"/>
        </w:trPr>
        <w:tc>
          <w:tcPr>
            <w:tcW w:w="40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Federal</w:t>
            </w:r>
          </w:p>
        </w:tc>
        <w:tc>
          <w:tcPr>
            <w:tcW w:w="2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16,205</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(26,094)</w:t>
            </w:r>
          </w:p>
        </w:tc>
        <w:tc>
          <w:tcPr>
            <w:tcW w:w="2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(41,684)</w:t>
            </w:r>
          </w:p>
        </w:tc>
      </w:tr>
      <w:tr>
        <w:trPr>
          <w:trHeight w:val="216"/>
        </w:trPr>
        <w:tc>
          <w:tcPr>
            <w:tcW w:w="4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State</w:t>
            </w:r>
          </w:p>
        </w:tc>
        <w:tc>
          <w:tcPr>
            <w:tcW w:w="1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(4,398)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(11,865)</w:t>
            </w:r>
          </w:p>
        </w:tc>
      </w:tr>
      <w:tr>
        <w:trPr>
          <w:trHeight w:val="216"/>
        </w:trPr>
        <w:tc>
          <w:tcPr>
            <w:tcW w:w="402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Foreign</w:t>
            </w:r>
          </w:p>
        </w:tc>
        <w:tc>
          <w:tcPr>
            <w:tcW w:w="19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gridSpan w:val="2"/>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40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17,050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(30,492)</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(53,549)</w:t>
            </w:r>
          </w:p>
        </w:tc>
      </w:tr>
      <w:tr>
        <w:trPr>
          <w:trHeight w:val="20"/>
        </w:trPr>
        <w:tc>
          <w:tcPr>
            <w:tcW w:w="40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4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92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6,266</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(7,481)</w:t>
            </w:r>
          </w:p>
        </w:tc>
        <w:tc>
          <w:tcPr>
            <w:tcW w:w="2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(27,613)</w:t>
            </w:r>
          </w:p>
        </w:tc>
      </w:tr>
      <w:tr>
        <w:trPr>
          <w:trHeight w:val="20"/>
        </w:trPr>
        <w:tc>
          <w:tcPr>
            <w:tcW w:w="4020" w:type="dxa"/>
            <w:vAlign w:val="bottom"/>
            <w:tcBorders>
              <w:top w:val="single" w:sz="8" w:color="CFF0FC"/>
            </w:tcBorders>
            <w:shd w:val="clear" w:color="auto" w:fill="CFF0FC"/>
          </w:tcPr>
          <w:p>
            <w:pPr>
              <w:spacing w:after="0" w:line="20" w:lineRule="exact"/>
              <w:rPr>
                <w:sz w:val="1"/>
                <w:szCs w:val="1"/>
                <w:color w:val="auto"/>
              </w:rPr>
            </w:pPr>
          </w:p>
        </w:tc>
        <w:tc>
          <w:tcPr>
            <w:tcW w:w="19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4916805</wp:posOffset>
            </wp:positionH>
            <wp:positionV relativeFrom="paragraph">
              <wp:posOffset>-890905</wp:posOffset>
            </wp:positionV>
            <wp:extent cx="60325"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-873760</wp:posOffset>
            </wp:positionV>
            <wp:extent cx="60325"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-890905</wp:posOffset>
            </wp:positionV>
            <wp:extent cx="5969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-873760</wp:posOffset>
            </wp:positionV>
            <wp:extent cx="5969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-890905</wp:posOffset>
            </wp:positionV>
            <wp:extent cx="60325"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-873760</wp:posOffset>
            </wp:positionV>
            <wp:extent cx="60325"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-316230</wp:posOffset>
            </wp:positionV>
            <wp:extent cx="60325"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-316230</wp:posOffset>
            </wp:positionV>
            <wp:extent cx="5969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-316230</wp:posOffset>
            </wp:positionV>
            <wp:extent cx="60325"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-24765</wp:posOffset>
            </wp:positionV>
            <wp:extent cx="60325"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-7620</wp:posOffset>
            </wp:positionV>
            <wp:extent cx="60325"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-24765</wp:posOffset>
            </wp:positionV>
            <wp:extent cx="5969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-7620</wp:posOffset>
            </wp:positionV>
            <wp:extent cx="5969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Significant components of income before income taxes as used for income tax purposes, were as follows (in thousands):</w:t>
      </w:r>
    </w:p>
    <w:p>
      <w:pPr>
        <w:spacing w:after="0" w:line="246"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426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Fiscal years ended</w:t>
            </w:r>
          </w:p>
        </w:tc>
        <w:tc>
          <w:tcPr>
            <w:tcW w:w="1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17"/>
        </w:trPr>
        <w:tc>
          <w:tcPr>
            <w:tcW w:w="426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40" w:type="dxa"/>
            <w:vAlign w:val="bottom"/>
          </w:tcPr>
          <w:p>
            <w:pPr>
              <w:jc w:val="center"/>
              <w:ind w:right="100"/>
              <w:spacing w:after="0" w:line="118" w:lineRule="exact"/>
              <w:rPr>
                <w:sz w:val="20"/>
                <w:szCs w:val="20"/>
                <w:color w:val="auto"/>
              </w:rPr>
            </w:pPr>
            <w:r>
              <w:rPr>
                <w:rFonts w:ascii="Times New Roman" w:cs="Times New Roman" w:eastAsia="Times New Roman" w:hAnsi="Times New Roman"/>
                <w:sz w:val="13"/>
                <w:szCs w:val="13"/>
                <w:b w:val="1"/>
                <w:bCs w:val="1"/>
                <w:color w:val="auto"/>
              </w:rPr>
              <w:t>January 31,</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20" w:type="dxa"/>
            <w:vAlign w:val="bottom"/>
            <w:gridSpan w:val="2"/>
          </w:tcPr>
          <w:p>
            <w:pPr>
              <w:jc w:val="center"/>
              <w:ind w:right="280"/>
              <w:spacing w:after="0" w:line="118" w:lineRule="exact"/>
              <w:rPr>
                <w:sz w:val="20"/>
                <w:szCs w:val="20"/>
                <w:color w:val="auto"/>
              </w:rPr>
            </w:pPr>
            <w:r>
              <w:rPr>
                <w:rFonts w:ascii="Times New Roman" w:cs="Times New Roman" w:eastAsia="Times New Roman" w:hAnsi="Times New Roman"/>
                <w:sz w:val="13"/>
                <w:szCs w:val="13"/>
                <w:b w:val="1"/>
                <w:bCs w:val="1"/>
                <w:color w:val="auto"/>
              </w:rPr>
              <w:t>February 1,</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jc w:val="center"/>
              <w:ind w:right="80"/>
              <w:spacing w:after="0" w:line="118" w:lineRule="exact"/>
              <w:rPr>
                <w:sz w:val="20"/>
                <w:szCs w:val="20"/>
                <w:color w:val="auto"/>
              </w:rPr>
            </w:pPr>
            <w:r>
              <w:rPr>
                <w:rFonts w:ascii="Times New Roman" w:cs="Times New Roman" w:eastAsia="Times New Roman" w:hAnsi="Times New Roman"/>
                <w:sz w:val="13"/>
                <w:szCs w:val="13"/>
                <w:b w:val="1"/>
                <w:bCs w:val="1"/>
                <w:color w:val="auto"/>
              </w:rPr>
              <w:t>February 3,</w:t>
            </w:r>
          </w:p>
        </w:tc>
        <w:tc>
          <w:tcPr>
            <w:tcW w:w="100" w:type="dxa"/>
            <w:vAlign w:val="bottom"/>
          </w:tcPr>
          <w:p>
            <w:pPr>
              <w:spacing w:after="0"/>
              <w:rPr>
                <w:sz w:val="10"/>
                <w:szCs w:val="10"/>
                <w:color w:val="auto"/>
              </w:rPr>
            </w:pPr>
          </w:p>
        </w:tc>
      </w:tr>
      <w:tr>
        <w:trPr>
          <w:trHeight w:val="173"/>
        </w:trPr>
        <w:tc>
          <w:tcPr>
            <w:tcW w:w="426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5"/>
                <w:szCs w:val="15"/>
                <w:color w:val="auto"/>
              </w:rPr>
            </w:pPr>
          </w:p>
        </w:tc>
      </w:tr>
      <w:tr>
        <w:trPr>
          <w:trHeight w:val="142"/>
        </w:trPr>
        <w:tc>
          <w:tcPr>
            <w:tcW w:w="42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jc w:val="center"/>
              <w:ind w:right="100"/>
              <w:spacing w:after="0" w:line="142" w:lineRule="exact"/>
              <w:rPr>
                <w:sz w:val="20"/>
                <w:szCs w:val="20"/>
                <w:color w:val="auto"/>
              </w:rPr>
            </w:pPr>
            <w:r>
              <w:rPr>
                <w:rFonts w:ascii="Times New Roman" w:cs="Times New Roman" w:eastAsia="Times New Roman" w:hAnsi="Times New Roman"/>
                <w:sz w:val="14"/>
                <w:szCs w:val="14"/>
                <w:b w:val="1"/>
                <w:bCs w:val="1"/>
                <w:color w:val="auto"/>
              </w:rPr>
              <w:t>(52 weeks)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jc w:val="center"/>
              <w:ind w:right="100"/>
              <w:spacing w:after="0" w:line="142" w:lineRule="exact"/>
              <w:rPr>
                <w:sz w:val="20"/>
                <w:szCs w:val="20"/>
                <w:color w:val="auto"/>
              </w:rPr>
            </w:pPr>
            <w:r>
              <w:rPr>
                <w:rFonts w:ascii="Times New Roman" w:cs="Times New Roman" w:eastAsia="Times New Roman" w:hAnsi="Times New Roman"/>
                <w:sz w:val="14"/>
                <w:szCs w:val="14"/>
                <w:b w:val="1"/>
                <w:bCs w:val="1"/>
                <w:color w:val="auto"/>
              </w:rPr>
              <w:t>(52 weeks)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jc w:val="center"/>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(53 weeks)</w:t>
            </w:r>
          </w:p>
        </w:tc>
        <w:tc>
          <w:tcPr>
            <w:tcW w:w="100" w:type="dxa"/>
            <w:vAlign w:val="bottom"/>
          </w:tcPr>
          <w:p>
            <w:pPr>
              <w:spacing w:after="0"/>
              <w:rPr>
                <w:sz w:val="12"/>
                <w:szCs w:val="12"/>
                <w:color w:val="auto"/>
              </w:rPr>
            </w:pPr>
          </w:p>
        </w:tc>
      </w:tr>
      <w:tr>
        <w:trPr>
          <w:trHeight w:val="216"/>
        </w:trPr>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Domestic</w:t>
            </w:r>
          </w:p>
        </w:tc>
        <w:tc>
          <w:tcPr>
            <w:tcW w:w="1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12,570</w:t>
            </w:r>
          </w:p>
        </w:tc>
        <w:tc>
          <w:tcPr>
            <w:tcW w:w="400" w:type="dxa"/>
            <w:vAlign w:val="bottom"/>
            <w:gridSpan w:val="3"/>
            <w:shd w:val="clear" w:color="auto" w:fill="CFF0FC"/>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(110,754)</w:t>
            </w:r>
          </w:p>
        </w:tc>
        <w:tc>
          <w:tcPr>
            <w:tcW w:w="2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(1,296,819)</w:t>
            </w:r>
          </w:p>
        </w:tc>
      </w:tr>
      <w:tr>
        <w:trPr>
          <w:trHeight w:val="216"/>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Foreign</w:t>
            </w:r>
          </w:p>
        </w:tc>
        <w:tc>
          <w:tcPr>
            <w:tcW w:w="1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(11,004)</w:t>
            </w:r>
          </w:p>
        </w:tc>
      </w:tr>
      <w:tr>
        <w:trPr>
          <w:trHeight w:val="20"/>
        </w:trPr>
        <w:tc>
          <w:tcPr>
            <w:tcW w:w="42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42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168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15,332</w:t>
            </w:r>
          </w:p>
        </w:tc>
        <w:tc>
          <w:tcPr>
            <w:tcW w:w="10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(109,297)</w:t>
            </w:r>
          </w:p>
        </w:tc>
        <w:tc>
          <w:tcPr>
            <w:tcW w:w="2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(1,307,823)</w:t>
            </w:r>
          </w:p>
        </w:tc>
      </w:tr>
      <w:tr>
        <w:trPr>
          <w:trHeight w:val="20"/>
        </w:trPr>
        <w:tc>
          <w:tcPr>
            <w:tcW w:w="4260" w:type="dxa"/>
            <w:vAlign w:val="bottom"/>
            <w:tcBorders>
              <w:top w:val="single" w:sz="8" w:color="CFF0FC"/>
            </w:tcBorders>
            <w:shd w:val="clear" w:color="auto" w:fill="CFF0FC"/>
          </w:tcPr>
          <w:p>
            <w:pPr>
              <w:spacing w:after="0" w:line="20" w:lineRule="exact"/>
              <w:rPr>
                <w:sz w:val="1"/>
                <w:szCs w:val="1"/>
                <w:color w:val="auto"/>
              </w:rPr>
            </w:pPr>
          </w:p>
        </w:tc>
        <w:tc>
          <w:tcPr>
            <w:tcW w:w="168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4916805</wp:posOffset>
            </wp:positionH>
            <wp:positionV relativeFrom="paragraph">
              <wp:posOffset>-24765</wp:posOffset>
            </wp:positionV>
            <wp:extent cx="60325"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-7620</wp:posOffset>
            </wp:positionV>
            <wp:extent cx="60325"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-24765</wp:posOffset>
            </wp:positionV>
            <wp:extent cx="59690"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-7620</wp:posOffset>
            </wp:positionV>
            <wp:extent cx="5969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86"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A summary of total income taxes paid, net of refunds, in accordance with the adoption of ASU 2023-09 for the fiscal year 2025 is as follows (in thousands):</w:t>
      </w:r>
    </w:p>
    <w:p>
      <w:pPr>
        <w:spacing w:after="0" w:line="182"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8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Fiscal year ended</w:t>
            </w:r>
          </w:p>
        </w:tc>
      </w:tr>
      <w:tr>
        <w:trPr>
          <w:trHeight w:val="117"/>
        </w:trPr>
        <w:tc>
          <w:tcPr>
            <w:tcW w:w="828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500" w:type="dxa"/>
            <w:vAlign w:val="bottom"/>
            <w:tcBorders>
              <w:top w:val="single" w:sz="8" w:color="auto"/>
            </w:tcBorders>
          </w:tcPr>
          <w:p>
            <w:pPr>
              <w:jc w:val="center"/>
              <w:ind w:right="120"/>
              <w:spacing w:after="0" w:line="118" w:lineRule="exact"/>
              <w:rPr>
                <w:sz w:val="20"/>
                <w:szCs w:val="20"/>
                <w:color w:val="auto"/>
              </w:rPr>
            </w:pPr>
            <w:r>
              <w:rPr>
                <w:rFonts w:ascii="Times New Roman" w:cs="Times New Roman" w:eastAsia="Times New Roman" w:hAnsi="Times New Roman"/>
                <w:sz w:val="13"/>
                <w:szCs w:val="13"/>
                <w:b w:val="1"/>
                <w:bCs w:val="1"/>
                <w:color w:val="auto"/>
              </w:rPr>
              <w:t>January 31,</w:t>
            </w:r>
          </w:p>
        </w:tc>
        <w:tc>
          <w:tcPr>
            <w:tcW w:w="120" w:type="dxa"/>
            <w:vAlign w:val="bottom"/>
          </w:tcPr>
          <w:p>
            <w:pPr>
              <w:spacing w:after="0"/>
              <w:rPr>
                <w:sz w:val="10"/>
                <w:szCs w:val="10"/>
                <w:color w:val="auto"/>
              </w:rPr>
            </w:pPr>
          </w:p>
        </w:tc>
      </w:tr>
      <w:tr>
        <w:trPr>
          <w:trHeight w:val="173"/>
        </w:trPr>
        <w:tc>
          <w:tcPr>
            <w:tcW w:w="82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5"/>
                <w:szCs w:val="15"/>
                <w:color w:val="auto"/>
              </w:rPr>
            </w:pPr>
          </w:p>
        </w:tc>
      </w:tr>
      <w:tr>
        <w:trPr>
          <w:trHeight w:val="142"/>
        </w:trPr>
        <w:tc>
          <w:tcPr>
            <w:tcW w:w="8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00" w:type="dxa"/>
            <w:vAlign w:val="bottom"/>
          </w:tcPr>
          <w:p>
            <w:pPr>
              <w:jc w:val="center"/>
              <w:ind w:right="140"/>
              <w:spacing w:after="0" w:line="142" w:lineRule="exact"/>
              <w:rPr>
                <w:sz w:val="20"/>
                <w:szCs w:val="20"/>
                <w:color w:val="auto"/>
              </w:rPr>
            </w:pPr>
            <w:r>
              <w:rPr>
                <w:rFonts w:ascii="Times New Roman" w:cs="Times New Roman" w:eastAsia="Times New Roman" w:hAnsi="Times New Roman"/>
                <w:sz w:val="14"/>
                <w:szCs w:val="14"/>
                <w:b w:val="1"/>
                <w:bCs w:val="1"/>
                <w:color w:val="auto"/>
              </w:rPr>
              <w:t>(52 weeks)</w:t>
            </w:r>
          </w:p>
        </w:tc>
        <w:tc>
          <w:tcPr>
            <w:tcW w:w="120" w:type="dxa"/>
            <w:vAlign w:val="bottom"/>
          </w:tcPr>
          <w:p>
            <w:pPr>
              <w:spacing w:after="0"/>
              <w:rPr>
                <w:sz w:val="12"/>
                <w:szCs w:val="12"/>
                <w:color w:val="auto"/>
              </w:rPr>
            </w:pPr>
          </w:p>
        </w:tc>
      </w:tr>
      <w:tr>
        <w:trPr>
          <w:trHeight w:val="216"/>
        </w:trPr>
        <w:tc>
          <w:tcPr>
            <w:tcW w:w="8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Federal</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20" w:type="dxa"/>
            <w:vAlign w:val="bottom"/>
            <w:shd w:val="clear" w:color="auto" w:fill="CFF0FC"/>
          </w:tcPr>
          <w:p>
            <w:pPr>
              <w:spacing w:after="0"/>
              <w:rPr>
                <w:sz w:val="18"/>
                <w:szCs w:val="18"/>
                <w:color w:val="auto"/>
              </w:rPr>
            </w:pPr>
          </w:p>
        </w:tc>
      </w:tr>
      <w:tr>
        <w:trPr>
          <w:trHeight w:val="216"/>
        </w:trPr>
        <w:tc>
          <w:tcPr>
            <w:tcW w:w="8280" w:type="dxa"/>
            <w:vAlign w:val="bottom"/>
          </w:tcPr>
          <w:p>
            <w:pPr>
              <w:spacing w:after="0"/>
              <w:rPr>
                <w:sz w:val="20"/>
                <w:szCs w:val="20"/>
                <w:color w:val="auto"/>
              </w:rPr>
            </w:pPr>
            <w:r>
              <w:rPr>
                <w:rFonts w:ascii="Times New Roman" w:cs="Times New Roman" w:eastAsia="Times New Roman" w:hAnsi="Times New Roman"/>
                <w:sz w:val="18"/>
                <w:szCs w:val="18"/>
                <w:color w:val="auto"/>
              </w:rPr>
              <w:t>State and local</w:t>
            </w:r>
          </w:p>
        </w:tc>
        <w:tc>
          <w:tcPr>
            <w:tcW w:w="2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3,318</w:t>
            </w:r>
          </w:p>
        </w:tc>
        <w:tc>
          <w:tcPr>
            <w:tcW w:w="120" w:type="dxa"/>
            <w:vAlign w:val="bottom"/>
          </w:tcPr>
          <w:p>
            <w:pPr>
              <w:spacing w:after="0"/>
              <w:rPr>
                <w:sz w:val="18"/>
                <w:szCs w:val="18"/>
                <w:color w:val="auto"/>
              </w:rPr>
            </w:pPr>
          </w:p>
        </w:tc>
      </w:tr>
      <w:tr>
        <w:trPr>
          <w:trHeight w:val="216"/>
        </w:trPr>
        <w:tc>
          <w:tcPr>
            <w:tcW w:w="82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Foreign</w:t>
            </w:r>
          </w:p>
        </w:tc>
        <w:tc>
          <w:tcPr>
            <w:tcW w:w="200" w:type="dxa"/>
            <w:vAlign w:val="bottom"/>
            <w:tcBorders>
              <w:bottom w:val="single" w:sz="8" w:color="auto"/>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2,319</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8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5,833</w:t>
            </w:r>
          </w:p>
        </w:tc>
        <w:tc>
          <w:tcPr>
            <w:tcW w:w="120" w:type="dxa"/>
            <w:vAlign w:val="bottom"/>
          </w:tcPr>
          <w:p>
            <w:pPr>
              <w:spacing w:after="0"/>
              <w:rPr>
                <w:sz w:val="18"/>
                <w:szCs w:val="18"/>
                <w:color w:val="auto"/>
              </w:rPr>
            </w:pPr>
          </w:p>
        </w:tc>
      </w:tr>
      <w:tr>
        <w:trPr>
          <w:trHeight w:val="20"/>
        </w:trPr>
        <w:tc>
          <w:tcPr>
            <w:tcW w:w="8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6708775</wp:posOffset>
            </wp:positionH>
            <wp:positionV relativeFrom="paragraph">
              <wp:posOffset>-170815</wp:posOffset>
            </wp:positionV>
            <wp:extent cx="68580"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Individual jurisdictions comprising greater than 5% of total income taxes paid, net of refunds, for the fiscal year 2025 include Mexico, Puerto Rico, Texas and Oregon, for $2.1 million, $1.4 million, $0.9 million and $0.7 million, respectively. Cash paid for income taxes was $34.8 million and $32.2 million in fiscal 2024 and fiscal 2023, respectively.</w:t>
      </w:r>
    </w:p>
    <w:p>
      <w:pPr>
        <w:spacing w:after="0" w:line="176"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A reconciliation of income tax expense at the federal statutory rate with the provision for income taxes in accordance with the adoption of ASU 2023-09 is as follows (in thousands):</w:t>
      </w:r>
    </w:p>
    <w:p>
      <w:pPr>
        <w:spacing w:after="0" w:line="200" w:lineRule="exact"/>
        <w:rPr>
          <w:sz w:val="20"/>
          <w:szCs w:val="20"/>
          <w:color w:val="auto"/>
        </w:rPr>
      </w:pPr>
    </w:p>
    <w:p>
      <w:pPr>
        <w:spacing w:after="0" w:line="3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440" w:right="479" w:bottom="1440" w:gutter="0" w:footer="0" w:header="0"/>
        </w:sectPr>
      </w:pPr>
    </w:p>
    <w:bookmarkStart w:id="93" w:name="page94"/>
    <w:bookmarkEnd w:id="93"/>
    <w:tbl>
      <w:tblPr>
        <w:tblLayout w:type="fixed"/>
        <w:tblInd w:w="580" w:type="dxa"/>
        <w:tblCellMar>
          <w:top w:w="0" w:type="dxa"/>
          <w:left w:w="0" w:type="dxa"/>
          <w:bottom w:w="0" w:type="dxa"/>
          <w:right w:w="0" w:type="dxa"/>
        </w:tblCellMar>
      </w:tblPr>
      <w:tr>
        <w:trPr>
          <w:trHeight w:val="173"/>
        </w:trPr>
        <w:tc>
          <w:tcPr>
            <w:tcW w:w="688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3"/>
          </w:tcPr>
          <w:p>
            <w:pPr>
              <w:jc w:val="center"/>
              <w:ind w:left="74"/>
              <w:spacing w:after="0"/>
              <w:rPr>
                <w:sz w:val="20"/>
                <w:szCs w:val="20"/>
                <w:color w:val="auto"/>
              </w:rPr>
            </w:pPr>
            <w:r>
              <w:rPr>
                <w:rFonts w:ascii="Times New Roman" w:cs="Times New Roman" w:eastAsia="Times New Roman" w:hAnsi="Times New Roman"/>
                <w:sz w:val="14"/>
                <w:szCs w:val="14"/>
                <w:b w:val="1"/>
                <w:bCs w:val="1"/>
                <w:color w:val="auto"/>
              </w:rPr>
              <w:t>Fiscal years ended</w:t>
            </w:r>
          </w:p>
        </w:tc>
        <w:tc>
          <w:tcPr>
            <w:tcW w:w="68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r>
      <w:tr>
        <w:trPr>
          <w:trHeight w:val="142"/>
        </w:trPr>
        <w:tc>
          <w:tcPr>
            <w:tcW w:w="6880" w:type="dxa"/>
            <w:vAlign w:val="bottom"/>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860" w:type="dxa"/>
            <w:vAlign w:val="bottom"/>
            <w:tcBorders>
              <w:bottom w:val="single" w:sz="8" w:color="auto"/>
            </w:tcBorders>
            <w:gridSpan w:val="3"/>
          </w:tcPr>
          <w:p>
            <w:pPr>
              <w:jc w:val="center"/>
              <w:ind w:left="74"/>
              <w:spacing w:after="0" w:line="142" w:lineRule="exact"/>
              <w:rPr>
                <w:sz w:val="20"/>
                <w:szCs w:val="20"/>
                <w:color w:val="auto"/>
              </w:rPr>
            </w:pPr>
            <w:r>
              <w:rPr>
                <w:rFonts w:ascii="Times New Roman" w:cs="Times New Roman" w:eastAsia="Times New Roman" w:hAnsi="Times New Roman"/>
                <w:sz w:val="14"/>
                <w:szCs w:val="14"/>
                <w:b w:val="1"/>
                <w:bCs w:val="1"/>
                <w:color w:val="auto"/>
              </w:rPr>
              <w:t>January 31, 2026</w:t>
            </w:r>
          </w:p>
        </w:tc>
        <w:tc>
          <w:tcPr>
            <w:tcW w:w="68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r>
      <w:tr>
        <w:trPr>
          <w:trHeight w:val="142"/>
        </w:trPr>
        <w:tc>
          <w:tcPr>
            <w:tcW w:w="68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60" w:type="dxa"/>
            <w:vAlign w:val="bottom"/>
            <w:gridSpan w:val="3"/>
          </w:tcPr>
          <w:p>
            <w:pPr>
              <w:jc w:val="center"/>
              <w:ind w:left="94"/>
              <w:spacing w:after="0" w:line="142" w:lineRule="exact"/>
              <w:rPr>
                <w:sz w:val="20"/>
                <w:szCs w:val="20"/>
                <w:color w:val="auto"/>
              </w:rPr>
            </w:pPr>
            <w:r>
              <w:rPr>
                <w:rFonts w:ascii="Times New Roman" w:cs="Times New Roman" w:eastAsia="Times New Roman" w:hAnsi="Times New Roman"/>
                <w:sz w:val="14"/>
                <w:szCs w:val="14"/>
                <w:b w:val="1"/>
                <w:bCs w:val="1"/>
                <w:color w:val="auto"/>
              </w:rPr>
              <w:t>(52 weeks)</w:t>
            </w: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216"/>
        </w:trPr>
        <w:tc>
          <w:tcPr>
            <w:tcW w:w="6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Statutory federal income tax rate</w:t>
            </w:r>
          </w:p>
        </w:tc>
        <w:tc>
          <w:tcPr>
            <w:tcW w:w="50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3,220</w:t>
            </w: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21.0%</w:t>
            </w:r>
          </w:p>
        </w:tc>
      </w:tr>
      <w:tr>
        <w:trPr>
          <w:trHeight w:val="216"/>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Effect of:</w:t>
            </w:r>
          </w:p>
        </w:tc>
        <w:tc>
          <w:tcPr>
            <w:tcW w:w="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68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State and local income taxes (1)</w:t>
            </w:r>
          </w:p>
        </w:tc>
        <w:tc>
          <w:tcPr>
            <w:tcW w:w="5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(2,601)</w:t>
            </w:r>
          </w:p>
        </w:tc>
        <w:tc>
          <w:tcPr>
            <w:tcW w:w="76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(17.0)</w:t>
            </w:r>
          </w:p>
        </w:tc>
      </w:tr>
      <w:tr>
        <w:trPr>
          <w:trHeight w:val="216"/>
        </w:trPr>
        <w:tc>
          <w:tcPr>
            <w:tcW w:w="6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Foreign tax effects</w:t>
            </w:r>
          </w:p>
        </w:tc>
        <w:tc>
          <w:tcPr>
            <w:tcW w:w="5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1,352</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80" w:type="dxa"/>
            <w:vAlign w:val="bottom"/>
          </w:tcPr>
          <w:p>
            <w:pPr>
              <w:spacing w:after="0"/>
              <w:rPr>
                <w:sz w:val="18"/>
                <w:szCs w:val="18"/>
                <w:color w:val="auto"/>
              </w:rPr>
            </w:pPr>
          </w:p>
        </w:tc>
      </w:tr>
      <w:tr>
        <w:trPr>
          <w:trHeight w:val="216"/>
        </w:trPr>
        <w:tc>
          <w:tcPr>
            <w:tcW w:w="68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Effect of cross border tax law</w:t>
            </w:r>
          </w:p>
        </w:tc>
        <w:tc>
          <w:tcPr>
            <w:tcW w:w="50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80" w:type="dxa"/>
            <w:vAlign w:val="bottom"/>
            <w:shd w:val="clear" w:color="auto" w:fill="CFF0FC"/>
          </w:tcPr>
          <w:p>
            <w:pPr>
              <w:spacing w:after="0"/>
              <w:rPr>
                <w:sz w:val="18"/>
                <w:szCs w:val="18"/>
                <w:color w:val="auto"/>
              </w:rPr>
            </w:pPr>
          </w:p>
        </w:tc>
      </w:tr>
      <w:tr>
        <w:trPr>
          <w:trHeight w:val="216"/>
        </w:trPr>
        <w:tc>
          <w:tcPr>
            <w:tcW w:w="6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Tax credits</w:t>
            </w:r>
          </w:p>
        </w:tc>
        <w:tc>
          <w:tcPr>
            <w:tcW w:w="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68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Work opportunity tax credits</w:t>
            </w:r>
          </w:p>
        </w:tc>
        <w:tc>
          <w:tcPr>
            <w:tcW w:w="5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(1,600)</w:t>
            </w:r>
          </w:p>
        </w:tc>
        <w:tc>
          <w:tcPr>
            <w:tcW w:w="76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(10.4)</w:t>
            </w:r>
          </w:p>
        </w:tc>
      </w:tr>
      <w:tr>
        <w:trPr>
          <w:trHeight w:val="216"/>
        </w:trPr>
        <w:tc>
          <w:tcPr>
            <w:tcW w:w="68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RTP R&amp;D credits</w:t>
            </w:r>
          </w:p>
        </w:tc>
        <w:tc>
          <w:tcPr>
            <w:tcW w:w="5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1,624</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80" w:type="dxa"/>
            <w:vAlign w:val="bottom"/>
          </w:tcPr>
          <w:p>
            <w:pPr>
              <w:spacing w:after="0"/>
              <w:rPr>
                <w:sz w:val="18"/>
                <w:szCs w:val="18"/>
                <w:color w:val="auto"/>
              </w:rPr>
            </w:pPr>
          </w:p>
        </w:tc>
      </w:tr>
      <w:tr>
        <w:trPr>
          <w:trHeight w:val="216"/>
        </w:trPr>
        <w:tc>
          <w:tcPr>
            <w:tcW w:w="6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Nontaxable or nondeductible items:</w:t>
            </w:r>
          </w:p>
        </w:tc>
        <w:tc>
          <w:tcPr>
            <w:tcW w:w="5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16"/>
        </w:trPr>
        <w:tc>
          <w:tcPr>
            <w:tcW w:w="6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Dividends received deduction</w:t>
            </w:r>
          </w:p>
        </w:tc>
        <w:tc>
          <w:tcPr>
            <w:tcW w:w="5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(3,834)</w:t>
            </w:r>
          </w:p>
        </w:tc>
        <w:tc>
          <w:tcPr>
            <w:tcW w:w="76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(25.0)</w:t>
            </w:r>
          </w:p>
        </w:tc>
      </w:tr>
      <w:tr>
        <w:trPr>
          <w:trHeight w:val="216"/>
        </w:trPr>
        <w:tc>
          <w:tcPr>
            <w:tcW w:w="68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Employee share-based payments</w:t>
            </w:r>
          </w:p>
        </w:tc>
        <w:tc>
          <w:tcPr>
            <w:tcW w:w="50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5,252</w:t>
            </w: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180" w:type="dxa"/>
            <w:vAlign w:val="bottom"/>
            <w:shd w:val="clear" w:color="auto" w:fill="CFF0FC"/>
          </w:tcPr>
          <w:p>
            <w:pPr>
              <w:spacing w:after="0"/>
              <w:rPr>
                <w:sz w:val="18"/>
                <w:szCs w:val="18"/>
                <w:color w:val="auto"/>
              </w:rPr>
            </w:pPr>
          </w:p>
        </w:tc>
      </w:tr>
      <w:tr>
        <w:trPr>
          <w:trHeight w:val="216"/>
        </w:trPr>
        <w:tc>
          <w:tcPr>
            <w:tcW w:w="6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5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80" w:type="dxa"/>
            <w:vAlign w:val="bottom"/>
          </w:tcPr>
          <w:p>
            <w:pPr>
              <w:spacing w:after="0"/>
              <w:rPr>
                <w:sz w:val="18"/>
                <w:szCs w:val="18"/>
                <w:color w:val="auto"/>
              </w:rPr>
            </w:pPr>
          </w:p>
        </w:tc>
      </w:tr>
      <w:tr>
        <w:trPr>
          <w:trHeight w:val="216"/>
        </w:trPr>
        <w:tc>
          <w:tcPr>
            <w:tcW w:w="68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Changes in unrecognized tax benefits</w:t>
            </w:r>
          </w:p>
        </w:tc>
        <w:tc>
          <w:tcPr>
            <w:tcW w:w="50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2,272</w:t>
            </w:r>
          </w:p>
        </w:tc>
        <w:tc>
          <w:tcPr>
            <w:tcW w:w="200" w:type="dxa"/>
            <w:vAlign w:val="bottom"/>
            <w:tcBorders>
              <w:bottom w:val="single" w:sz="8" w:color="CFF0FC"/>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80" w:type="dxa"/>
            <w:vAlign w:val="bottom"/>
            <w:tcBorders>
              <w:bottom w:val="single" w:sz="8" w:color="CFF0FC"/>
            </w:tcBorders>
            <w:shd w:val="clear" w:color="auto" w:fill="CFF0FC"/>
          </w:tcPr>
          <w:p>
            <w:pPr>
              <w:spacing w:after="0"/>
              <w:rPr>
                <w:sz w:val="18"/>
                <w:szCs w:val="18"/>
                <w:color w:val="auto"/>
              </w:rPr>
            </w:pPr>
          </w:p>
        </w:tc>
      </w:tr>
      <w:tr>
        <w:trPr>
          <w:trHeight w:val="210"/>
        </w:trPr>
        <w:tc>
          <w:tcPr>
            <w:tcW w:w="6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Reported effective tax rate</w:t>
            </w: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6,266</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40.9%</w:t>
            </w:r>
          </w:p>
        </w:tc>
      </w:tr>
      <w:tr>
        <w:trPr>
          <w:trHeight w:val="20"/>
        </w:trPr>
        <w:tc>
          <w:tcPr>
            <w:tcW w:w="68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5628640</wp:posOffset>
            </wp:positionH>
            <wp:positionV relativeFrom="paragraph">
              <wp:posOffset>-170815</wp:posOffset>
            </wp:positionV>
            <wp:extent cx="60325"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6665595</wp:posOffset>
            </wp:positionH>
            <wp:positionV relativeFrom="paragraph">
              <wp:posOffset>-170815</wp:posOffset>
            </wp:positionV>
            <wp:extent cx="111760"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pacing w:after="0" w:line="65" w:lineRule="exact"/>
        <w:rPr>
          <w:sz w:val="20"/>
          <w:szCs w:val="20"/>
          <w:color w:val="auto"/>
        </w:rPr>
      </w:pPr>
    </w:p>
    <w:p>
      <w:pPr>
        <w:ind w:left="1020" w:hanging="503"/>
        <w:spacing w:after="0"/>
        <w:tabs>
          <w:tab w:leader="none" w:pos="10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State taxes in California made up the majority (greater than 50%) of the tax effect in this category.</w:t>
      </w:r>
    </w:p>
    <w:p>
      <w:pPr>
        <w:spacing w:after="0" w:line="3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 reconciliation of income tax benefit at the federal statutory rate for years prior to the adoption of ASU 2023-09 is as follows (in thousands):</w:t>
      </w:r>
    </w:p>
    <w:p>
      <w:pPr>
        <w:spacing w:after="0" w:line="246" w:lineRule="exact"/>
        <w:rPr>
          <w:sz w:val="20"/>
          <w:szCs w:val="20"/>
          <w:color w:val="auto"/>
        </w:rPr>
      </w:pPr>
    </w:p>
    <w:p>
      <w:pPr>
        <w:ind w:left="7520"/>
        <w:spacing w:after="0"/>
        <w:rPr>
          <w:sz w:val="20"/>
          <w:szCs w:val="20"/>
          <w:color w:val="auto"/>
        </w:rPr>
      </w:pPr>
      <w:r>
        <w:rPr>
          <w:rFonts w:ascii="Times New Roman" w:cs="Times New Roman" w:eastAsia="Times New Roman" w:hAnsi="Times New Roman"/>
          <w:sz w:val="14"/>
          <w:szCs w:val="14"/>
          <w:b w:val="1"/>
          <w:bCs w:val="1"/>
          <w:color w:val="auto"/>
        </w:rPr>
        <w:t>Fiscal years ended</w:t>
      </w:r>
    </w:p>
    <w:p>
      <w:pPr>
        <w:spacing w:after="0" w:line="12" w:lineRule="exact"/>
        <w:rPr>
          <w:sz w:val="20"/>
          <w:szCs w:val="20"/>
          <w:color w:val="auto"/>
        </w:rPr>
      </w:pPr>
    </w:p>
    <w:tbl>
      <w:tblPr>
        <w:tblLayout w:type="fixed"/>
        <w:tblInd w:w="580" w:type="dxa"/>
        <w:tblCellMar>
          <w:top w:w="0" w:type="dxa"/>
          <w:left w:w="0" w:type="dxa"/>
          <w:bottom w:w="0" w:type="dxa"/>
          <w:right w:w="0" w:type="dxa"/>
        </w:tblCellMar>
      </w:tblPr>
      <w:tr>
        <w:trPr>
          <w:trHeight w:val="142"/>
        </w:trPr>
        <w:tc>
          <w:tcPr>
            <w:tcW w:w="512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1480" w:type="dxa"/>
            <w:vAlign w:val="bottom"/>
            <w:tcBorders>
              <w:top w:val="single" w:sz="8" w:color="auto"/>
              <w:bottom w:val="single" w:sz="8" w:color="auto"/>
            </w:tcBorders>
            <w:gridSpan w:val="3"/>
          </w:tcPr>
          <w:p>
            <w:pPr>
              <w:jc w:val="center"/>
              <w:ind w:left="133"/>
              <w:spacing w:after="0" w:line="142" w:lineRule="exact"/>
              <w:rPr>
                <w:sz w:val="20"/>
                <w:szCs w:val="20"/>
                <w:color w:val="auto"/>
              </w:rPr>
            </w:pPr>
            <w:r>
              <w:rPr>
                <w:rFonts w:ascii="Times New Roman" w:cs="Times New Roman" w:eastAsia="Times New Roman" w:hAnsi="Times New Roman"/>
                <w:sz w:val="14"/>
                <w:szCs w:val="14"/>
                <w:b w:val="1"/>
                <w:bCs w:val="1"/>
                <w:color w:val="auto"/>
              </w:rPr>
              <w:t>February 1, 2025</w:t>
            </w:r>
          </w:p>
        </w:tc>
        <w:tc>
          <w:tcPr>
            <w:tcW w:w="500" w:type="dxa"/>
            <w:vAlign w:val="bottom"/>
            <w:tcBorders>
              <w:top w:val="single" w:sz="8" w:color="auto"/>
              <w:bottom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1540" w:type="dxa"/>
            <w:vAlign w:val="bottom"/>
            <w:tcBorders>
              <w:top w:val="single" w:sz="8" w:color="auto"/>
              <w:bottom w:val="single" w:sz="8" w:color="auto"/>
            </w:tcBorders>
            <w:gridSpan w:val="3"/>
          </w:tcPr>
          <w:p>
            <w:pPr>
              <w:jc w:val="center"/>
              <w:ind w:left="173"/>
              <w:spacing w:after="0" w:line="142" w:lineRule="exact"/>
              <w:rPr>
                <w:sz w:val="20"/>
                <w:szCs w:val="20"/>
                <w:color w:val="auto"/>
              </w:rPr>
            </w:pPr>
            <w:r>
              <w:rPr>
                <w:rFonts w:ascii="Times New Roman" w:cs="Times New Roman" w:eastAsia="Times New Roman" w:hAnsi="Times New Roman"/>
                <w:sz w:val="14"/>
                <w:szCs w:val="14"/>
                <w:b w:val="1"/>
                <w:bCs w:val="1"/>
                <w:color w:val="auto"/>
              </w:rPr>
              <w:t>February 3, 2024</w:t>
            </w:r>
          </w:p>
        </w:tc>
        <w:tc>
          <w:tcPr>
            <w:tcW w:w="500" w:type="dxa"/>
            <w:vAlign w:val="bottom"/>
            <w:tcBorders>
              <w:top w:val="single" w:sz="8" w:color="auto"/>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r>
      <w:tr>
        <w:trPr>
          <w:trHeight w:val="142"/>
        </w:trPr>
        <w:tc>
          <w:tcPr>
            <w:tcW w:w="5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80" w:type="dxa"/>
            <w:vAlign w:val="bottom"/>
            <w:gridSpan w:val="3"/>
          </w:tcPr>
          <w:p>
            <w:pPr>
              <w:jc w:val="center"/>
              <w:ind w:left="153"/>
              <w:spacing w:after="0" w:line="142" w:lineRule="exact"/>
              <w:rPr>
                <w:sz w:val="20"/>
                <w:szCs w:val="20"/>
                <w:color w:val="auto"/>
              </w:rPr>
            </w:pPr>
            <w:r>
              <w:rPr>
                <w:rFonts w:ascii="Times New Roman" w:cs="Times New Roman" w:eastAsia="Times New Roman" w:hAnsi="Times New Roman"/>
                <w:sz w:val="14"/>
                <w:szCs w:val="14"/>
                <w:b w:val="1"/>
                <w:bCs w:val="1"/>
                <w:color w:val="auto"/>
              </w:rPr>
              <w:t>(52 weeks)</w:t>
            </w: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40" w:type="dxa"/>
            <w:vAlign w:val="bottom"/>
            <w:gridSpan w:val="3"/>
          </w:tcPr>
          <w:p>
            <w:pPr>
              <w:jc w:val="center"/>
              <w:ind w:left="173"/>
              <w:spacing w:after="0" w:line="142" w:lineRule="exact"/>
              <w:rPr>
                <w:sz w:val="20"/>
                <w:szCs w:val="20"/>
                <w:color w:val="auto"/>
              </w:rPr>
            </w:pPr>
            <w:r>
              <w:rPr>
                <w:rFonts w:ascii="Times New Roman" w:cs="Times New Roman" w:eastAsia="Times New Roman" w:hAnsi="Times New Roman"/>
                <w:sz w:val="14"/>
                <w:szCs w:val="14"/>
                <w:b w:val="1"/>
                <w:bCs w:val="1"/>
                <w:color w:val="auto"/>
              </w:rPr>
              <w:t>(53 weeks)</w:t>
            </w: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216"/>
        </w:trPr>
        <w:tc>
          <w:tcPr>
            <w:tcW w:w="53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benefit at federal statutory rate</w:t>
            </w:r>
          </w:p>
        </w:tc>
        <w:tc>
          <w:tcPr>
            <w:tcW w:w="9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(23,258)</w:t>
            </w:r>
          </w:p>
        </w:tc>
        <w:tc>
          <w:tcPr>
            <w:tcW w:w="56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21.0%</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(274,642)</w:t>
            </w:r>
          </w:p>
        </w:tc>
        <w:tc>
          <w:tcPr>
            <w:tcW w:w="56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21.0%</w:t>
            </w:r>
          </w:p>
        </w:tc>
      </w:tr>
      <w:tr>
        <w:trPr>
          <w:trHeight w:val="216"/>
        </w:trPr>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Non-deductible expenses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1,524</w:t>
            </w: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(1.4)</w:t>
            </w:r>
          </w:p>
        </w:tc>
        <w:tc>
          <w:tcPr>
            <w:tcW w:w="22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(26)</w:t>
            </w:r>
          </w:p>
        </w:tc>
        <w:tc>
          <w:tcPr>
            <w:tcW w:w="5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80" w:type="dxa"/>
            <w:vAlign w:val="bottom"/>
          </w:tcPr>
          <w:p>
            <w:pPr>
              <w:spacing w:after="0"/>
              <w:rPr>
                <w:sz w:val="18"/>
                <w:szCs w:val="18"/>
                <w:color w:val="auto"/>
              </w:rPr>
            </w:pPr>
          </w:p>
        </w:tc>
      </w:tr>
      <w:tr>
        <w:trPr>
          <w:trHeight w:val="216"/>
        </w:trPr>
        <w:tc>
          <w:tcPr>
            <w:tcW w:w="53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Impairment (1)</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(0.1)</w:t>
            </w: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242,819</w:t>
            </w:r>
          </w:p>
        </w:tc>
        <w:tc>
          <w:tcPr>
            <w:tcW w:w="2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(18.6)</w:t>
            </w:r>
          </w:p>
        </w:tc>
      </w:tr>
      <w:tr>
        <w:trPr>
          <w:trHeight w:val="216"/>
        </w:trPr>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Equity compensation</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13,982</w:t>
            </w: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(12.6)</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16,493</w:t>
            </w: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53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State taxes, net of federal tax benefit</w:t>
            </w:r>
          </w:p>
        </w:tc>
        <w:tc>
          <w:tcPr>
            <w:tcW w:w="9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(1,880)</w:t>
            </w:r>
          </w:p>
        </w:tc>
        <w:tc>
          <w:tcPr>
            <w:tcW w:w="56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(11,228)</w:t>
            </w:r>
          </w:p>
        </w:tc>
        <w:tc>
          <w:tcPr>
            <w:tcW w:w="56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80" w:type="dxa"/>
            <w:vAlign w:val="bottom"/>
            <w:shd w:val="clear" w:color="auto" w:fill="CFF0FC"/>
          </w:tcPr>
          <w:p>
            <w:pPr>
              <w:spacing w:after="0"/>
              <w:rPr>
                <w:sz w:val="18"/>
                <w:szCs w:val="18"/>
                <w:color w:val="auto"/>
              </w:rPr>
            </w:pPr>
          </w:p>
        </w:tc>
      </w:tr>
      <w:tr>
        <w:trPr>
          <w:trHeight w:val="216"/>
        </w:trPr>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Foreign tax</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1,836</w:t>
            </w: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(1.6)</w:t>
            </w:r>
          </w:p>
        </w:tc>
        <w:tc>
          <w:tcPr>
            <w:tcW w:w="220" w:type="dxa"/>
            <w:vAlign w:val="bottom"/>
          </w:tcPr>
          <w:p>
            <w:pPr>
              <w:spacing w:after="0"/>
              <w:rPr>
                <w:sz w:val="18"/>
                <w:szCs w:val="18"/>
                <w:color w:val="auto"/>
              </w:rPr>
            </w:pPr>
          </w:p>
        </w:tc>
        <w:tc>
          <w:tcPr>
            <w:tcW w:w="1540" w:type="dxa"/>
            <w:vAlign w:val="bottom"/>
            <w:gridSpan w:val="3"/>
          </w:tcPr>
          <w:p>
            <w:pPr>
              <w:jc w:val="right"/>
              <w:ind w:right="7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3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Tax credits</w:t>
            </w:r>
          </w:p>
        </w:tc>
        <w:tc>
          <w:tcPr>
            <w:tcW w:w="9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(3,800)</w:t>
            </w:r>
          </w:p>
        </w:tc>
        <w:tc>
          <w:tcPr>
            <w:tcW w:w="56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(3,800)</w:t>
            </w:r>
          </w:p>
        </w:tc>
        <w:tc>
          <w:tcPr>
            <w:tcW w:w="56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80" w:type="dxa"/>
            <w:vAlign w:val="bottom"/>
            <w:shd w:val="clear" w:color="auto" w:fill="CFF0FC"/>
          </w:tcPr>
          <w:p>
            <w:pPr>
              <w:spacing w:after="0"/>
              <w:rPr>
                <w:sz w:val="18"/>
                <w:szCs w:val="18"/>
                <w:color w:val="auto"/>
              </w:rPr>
            </w:pPr>
          </w:p>
        </w:tc>
      </w:tr>
      <w:tr>
        <w:trPr>
          <w:trHeight w:val="216"/>
        </w:trPr>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Uncertain tax positions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1,808</w:t>
            </w: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(1.6)</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1,829</w:t>
            </w: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(0.1)</w:t>
            </w:r>
          </w:p>
        </w:tc>
      </w:tr>
      <w:tr>
        <w:trPr>
          <w:trHeight w:val="216"/>
        </w:trPr>
        <w:tc>
          <w:tcPr>
            <w:tcW w:w="5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net</w:t>
            </w:r>
          </w:p>
        </w:tc>
        <w:tc>
          <w:tcPr>
            <w:tcW w:w="26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2,261</w:t>
            </w:r>
          </w:p>
        </w:tc>
        <w:tc>
          <w:tcPr>
            <w:tcW w:w="1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(2.0)</w:t>
            </w: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942</w:t>
            </w:r>
          </w:p>
        </w:tc>
        <w:tc>
          <w:tcPr>
            <w:tcW w:w="2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(0.1)</w:t>
            </w:r>
          </w:p>
        </w:tc>
      </w:tr>
      <w:tr>
        <w:trPr>
          <w:trHeight w:val="20"/>
        </w:trPr>
        <w:tc>
          <w:tcPr>
            <w:tcW w:w="51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r>
      <w:tr>
        <w:trPr>
          <w:trHeight w:val="210"/>
        </w:trPr>
        <w:tc>
          <w:tcPr>
            <w:tcW w:w="5380" w:type="dxa"/>
            <w:vAlign w:val="bottom"/>
            <w:gridSpan w:val="2"/>
          </w:tcPr>
          <w:p>
            <w:pPr>
              <w:ind w:left="5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(7,481)</w:t>
            </w:r>
          </w:p>
        </w:tc>
        <w:tc>
          <w:tcPr>
            <w:tcW w:w="56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6.8%</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(27,613)</w:t>
            </w:r>
          </w:p>
        </w:tc>
        <w:tc>
          <w:tcPr>
            <w:tcW w:w="56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w:t>
            </w:r>
          </w:p>
        </w:tc>
      </w:tr>
      <w:tr>
        <w:trPr>
          <w:trHeight w:val="20"/>
        </w:trPr>
        <w:tc>
          <w:tcPr>
            <w:tcW w:w="5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4248150</wp:posOffset>
            </wp:positionH>
            <wp:positionV relativeFrom="paragraph">
              <wp:posOffset>-170815</wp:posOffset>
            </wp:positionV>
            <wp:extent cx="60325"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-170815</wp:posOffset>
            </wp:positionV>
            <wp:extent cx="111125"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-170815</wp:posOffset>
            </wp:positionV>
            <wp:extent cx="60325"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6665595</wp:posOffset>
            </wp:positionH>
            <wp:positionV relativeFrom="paragraph">
              <wp:posOffset>-170815</wp:posOffset>
            </wp:positionV>
            <wp:extent cx="111760"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pacing w:after="0" w:line="65" w:lineRule="exact"/>
        <w:rPr>
          <w:sz w:val="20"/>
          <w:szCs w:val="20"/>
          <w:color w:val="auto"/>
        </w:rPr>
      </w:pPr>
    </w:p>
    <w:p>
      <w:pPr>
        <w:ind w:left="1020" w:hanging="503"/>
        <w:spacing w:after="0"/>
        <w:tabs>
          <w:tab w:leader="none" w:pos="102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Impairment represents adjustments for the non-deductible component of goodwill impairment.</w:t>
      </w:r>
    </w:p>
    <w:p>
      <w:pPr>
        <w:spacing w:after="0" w:line="316" w:lineRule="exact"/>
        <w:rPr>
          <w:sz w:val="20"/>
          <w:szCs w:val="20"/>
          <w:color w:val="auto"/>
        </w:rPr>
      </w:pPr>
    </w:p>
    <w:p>
      <w:pPr>
        <w:ind w:firstLine="515"/>
        <w:spacing w:after="0" w:line="266" w:lineRule="auto"/>
        <w:rPr>
          <w:sz w:val="20"/>
          <w:szCs w:val="20"/>
          <w:color w:val="auto"/>
        </w:rPr>
      </w:pPr>
      <w:r>
        <w:rPr>
          <w:rFonts w:ascii="Times New Roman" w:cs="Times New Roman" w:eastAsia="Times New Roman" w:hAnsi="Times New Roman"/>
          <w:sz w:val="18"/>
          <w:szCs w:val="18"/>
          <w:color w:val="auto"/>
        </w:rPr>
        <w:t>The effective tax rate is driven by income earned in various taxing jurisdictions, including U.S. states, and the statutory tax rates imposed by those jurisdictions, as well as permanent differences including nondeductible equity compensation, goodwill impairment charges, dividends received, and tax credits.</w:t>
      </w:r>
    </w:p>
    <w:p>
      <w:pPr>
        <w:spacing w:after="0" w:line="39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411" w:right="519" w:bottom="1440" w:gutter="0" w:footer="0" w:header="0"/>
        </w:sectPr>
      </w:pPr>
    </w:p>
    <w:bookmarkStart w:id="94" w:name="page95"/>
    <w:bookmarkEnd w:id="94"/>
    <w:p>
      <w:pPr>
        <w:spacing w:after="0" w:line="1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Significant components of the Company’s deferred tax assets and liabilities were as follows (in thousands):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6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January 31,</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2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February 1,</w:t>
            </w:r>
          </w:p>
        </w:tc>
      </w:tr>
      <w:tr>
        <w:trPr>
          <w:trHeight w:val="173"/>
        </w:trPr>
        <w:tc>
          <w:tcPr>
            <w:tcW w:w="77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r>
      <w:tr>
        <w:trPr>
          <w:trHeight w:val="210"/>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2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Inventory</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20,605</w:t>
            </w:r>
          </w:p>
        </w:tc>
        <w:tc>
          <w:tcPr>
            <w:tcW w:w="160" w:type="dxa"/>
            <w:vAlign w:val="bottom"/>
          </w:tcPr>
          <w:p>
            <w:pPr>
              <w:spacing w:after="0"/>
              <w:rPr>
                <w:sz w:val="18"/>
                <w:szCs w:val="18"/>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26,215</w:t>
            </w: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Accrued employee benefits</w:t>
            </w:r>
          </w:p>
        </w:tc>
        <w:tc>
          <w:tcPr>
            <w:tcW w:w="26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33,984</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34,917</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operating losses, state tax credit carryforwards</w:t>
            </w: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11,829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11,156</w:t>
            </w:r>
          </w:p>
        </w:tc>
        <w:tc>
          <w:tcPr>
            <w:tcW w:w="100" w:type="dxa"/>
            <w:vAlign w:val="bottom"/>
          </w:tcPr>
          <w:p>
            <w:pPr>
              <w:spacing w:after="0"/>
              <w:rPr>
                <w:sz w:val="18"/>
                <w:szCs w:val="18"/>
                <w:color w:val="auto"/>
              </w:rPr>
            </w:pPr>
          </w:p>
        </w:tc>
      </w:tr>
      <w:tr>
        <w:trPr>
          <w:trHeight w:val="198"/>
        </w:trPr>
        <w:tc>
          <w:tcPr>
            <w:tcW w:w="7740" w:type="dxa"/>
            <w:vAlign w:val="bottom"/>
            <w:shd w:val="clear" w:color="auto" w:fill="CFF0FC"/>
          </w:tcPr>
          <w:p>
            <w:pPr>
              <w:ind w:left="140"/>
              <w:spacing w:after="0" w:line="198" w:lineRule="exact"/>
              <w:rPr>
                <w:sz w:val="20"/>
                <w:szCs w:val="20"/>
                <w:color w:val="auto"/>
              </w:rPr>
            </w:pPr>
            <w:r>
              <w:rPr>
                <w:rFonts w:ascii="Times New Roman" w:cs="Times New Roman" w:eastAsia="Times New Roman" w:hAnsi="Times New Roman"/>
                <w:sz w:val="18"/>
                <w:szCs w:val="18"/>
                <w:color w:val="auto"/>
              </w:rPr>
              <w:t>Interest expense limitation carry-forward under</w:t>
            </w:r>
          </w:p>
        </w:tc>
        <w:tc>
          <w:tcPr>
            <w:tcW w:w="26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4"/>
        </w:trPr>
        <w:tc>
          <w:tcPr>
            <w:tcW w:w="77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IRC §163(j)</w:t>
            </w:r>
          </w:p>
        </w:tc>
        <w:tc>
          <w:tcPr>
            <w:tcW w:w="26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61,185</w:t>
            </w: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71,098</w:t>
            </w:r>
          </w:p>
        </w:tc>
        <w:tc>
          <w:tcPr>
            <w:tcW w:w="100" w:type="dxa"/>
            <w:vAlign w:val="bottom"/>
            <w:shd w:val="clear" w:color="auto" w:fill="CFF0FC"/>
          </w:tcPr>
          <w:p>
            <w:pPr>
              <w:spacing w:after="0"/>
              <w:rPr>
                <w:sz w:val="20"/>
                <w:szCs w:val="20"/>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Capitalized research and experimental costs</w:t>
            </w: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12,038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25,397</w:t>
            </w: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Lease-related items</w:t>
            </w:r>
          </w:p>
        </w:tc>
        <w:tc>
          <w:tcPr>
            <w:tcW w:w="26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351,296</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346,120</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7,580</w:t>
            </w:r>
          </w:p>
        </w:tc>
        <w:tc>
          <w:tcPr>
            <w:tcW w:w="100" w:type="dxa"/>
            <w:vAlign w:val="bottom"/>
          </w:tcPr>
          <w:p>
            <w:pPr>
              <w:spacing w:after="0"/>
              <w:rPr>
                <w:sz w:val="18"/>
                <w:szCs w:val="18"/>
                <w:color w:val="auto"/>
              </w:rPr>
            </w:pPr>
          </w:p>
        </w:tc>
      </w:tr>
      <w:tr>
        <w:trPr>
          <w:trHeight w:val="210"/>
        </w:trPr>
        <w:tc>
          <w:tcPr>
            <w:tcW w:w="7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deferred tax assets</w:t>
            </w:r>
          </w:p>
        </w:tc>
        <w:tc>
          <w:tcPr>
            <w:tcW w:w="26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494,728</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522,483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Valuation allowance</w:t>
            </w:r>
          </w:p>
        </w:tc>
        <w:tc>
          <w:tcPr>
            <w:tcW w:w="26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(1,904)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(1,920)</w:t>
            </w:r>
          </w:p>
        </w:tc>
      </w:tr>
      <w:tr>
        <w:trPr>
          <w:trHeight w:val="209"/>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deferred tax assets</w:t>
            </w:r>
          </w:p>
        </w:tc>
        <w:tc>
          <w:tcPr>
            <w:tcW w:w="260" w:type="dxa"/>
            <w:vAlign w:val="bottom"/>
            <w:tcBorders>
              <w:top w:val="single" w:sz="8" w:color="auto"/>
            </w:tcBorders>
            <w:shd w:val="clear" w:color="auto" w:fill="CFF0FC"/>
          </w:tcPr>
          <w:p>
            <w:pPr>
              <w:spacing w:after="0"/>
              <w:rPr>
                <w:sz w:val="18"/>
                <w:szCs w:val="18"/>
                <w:color w:val="auto"/>
              </w:rPr>
            </w:pPr>
          </w:p>
        </w:tc>
        <w:tc>
          <w:tcPr>
            <w:tcW w:w="13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492,824</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13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520,563</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Fixed assets</w:t>
            </w:r>
          </w:p>
        </w:tc>
        <w:tc>
          <w:tcPr>
            <w:tcW w:w="26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(101,707)</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(113,955)</w:t>
            </w: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Intangible assets</w:t>
            </w:r>
          </w:p>
        </w:tc>
        <w:tc>
          <w:tcPr>
            <w:tcW w:w="26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(257,613)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(253,749)</w:t>
            </w: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Debt restructuring</w:t>
            </w:r>
          </w:p>
        </w:tc>
        <w:tc>
          <w:tcPr>
            <w:tcW w:w="26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(1,089)</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(1,238)</w:t>
            </w: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Lease-related items</w:t>
            </w:r>
          </w:p>
        </w:tc>
        <w:tc>
          <w:tcPr>
            <w:tcW w:w="26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(332,421)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(336,050)</w:t>
            </w: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Investments in joint ventures</w:t>
            </w:r>
          </w:p>
        </w:tc>
        <w:tc>
          <w:tcPr>
            <w:tcW w:w="26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(34,020)</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(31,308)</w:t>
            </w: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(885)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(1,975)</w:t>
            </w:r>
          </w:p>
        </w:tc>
      </w:tr>
      <w:tr>
        <w:trPr>
          <w:trHeight w:val="20"/>
        </w:trPr>
        <w:tc>
          <w:tcPr>
            <w:tcW w:w="77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26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(727,735)</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(738,275)</w:t>
            </w:r>
          </w:p>
        </w:tc>
      </w:tr>
      <w:tr>
        <w:trPr>
          <w:trHeight w:val="20"/>
        </w:trPr>
        <w:tc>
          <w:tcPr>
            <w:tcW w:w="77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774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(234,911)</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(217,712)</w:t>
            </w:r>
          </w:p>
        </w:tc>
      </w:tr>
      <w:tr>
        <w:trPr>
          <w:trHeight w:val="20"/>
        </w:trPr>
        <w:tc>
          <w:tcPr>
            <w:tcW w:w="77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-1567815</wp:posOffset>
            </wp:positionV>
            <wp:extent cx="6858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-1567815</wp:posOffset>
            </wp:positionV>
            <wp:extent cx="6858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-170815</wp:posOffset>
            </wp:positionV>
            <wp:extent cx="6858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45" w:lineRule="exact"/>
        <w:rPr>
          <w:sz w:val="20"/>
          <w:szCs w:val="20"/>
          <w:color w:val="auto"/>
        </w:rPr>
      </w:pPr>
    </w:p>
    <w:p>
      <w:pPr>
        <w:jc w:val="both"/>
        <w:ind w:right="20" w:firstLine="509"/>
        <w:spacing w:after="0" w:line="261" w:lineRule="auto"/>
        <w:rPr>
          <w:sz w:val="20"/>
          <w:szCs w:val="20"/>
          <w:color w:val="auto"/>
        </w:rPr>
      </w:pPr>
      <w:r>
        <w:rPr>
          <w:rFonts w:ascii="Times New Roman" w:cs="Times New Roman" w:eastAsia="Times New Roman" w:hAnsi="Times New Roman"/>
          <w:sz w:val="18"/>
          <w:szCs w:val="18"/>
          <w:color w:val="auto"/>
        </w:rPr>
        <w:t>In assessing the realizability of deferred tax assets, the Company considers whether it is more likely than not that some portion or all the deferred tax assets will not be realized. With the exception to certain state net operating losses discussed below, management believes that it is more likely than not that the Company will realize the benefits of these deductible differences. This is based upon future reversals of existing taxable temporary differences over the periods in which the deferred tax assets are deductible.</w:t>
      </w:r>
    </w:p>
    <w:p>
      <w:pPr>
        <w:spacing w:after="0" w:line="180" w:lineRule="exact"/>
        <w:rPr>
          <w:sz w:val="20"/>
          <w:szCs w:val="20"/>
          <w:color w:val="auto"/>
        </w:rPr>
      </w:pPr>
    </w:p>
    <w:p>
      <w:pPr>
        <w:jc w:val="both"/>
        <w:ind w:right="180" w:firstLine="509"/>
        <w:spacing w:after="0" w:line="258" w:lineRule="auto"/>
        <w:rPr>
          <w:sz w:val="20"/>
          <w:szCs w:val="20"/>
          <w:color w:val="auto"/>
        </w:rPr>
      </w:pPr>
      <w:r>
        <w:rPr>
          <w:rFonts w:ascii="Times New Roman" w:cs="Times New Roman" w:eastAsia="Times New Roman" w:hAnsi="Times New Roman"/>
          <w:sz w:val="18"/>
          <w:szCs w:val="18"/>
          <w:color w:val="auto"/>
        </w:rPr>
        <w:t>As of January 31, 2026, the Company has recorded a deferred tax asset of $5.7 million reflecting the benefit of $101.4 million in state income tax net operating loss carryforwards, which will begin to expire in fiscal 2026. The Company believes that it is more likely than not that a portion of the state net operating loss carryforward will not be realized and recorded a valuation allowance of $1.9 million on the deferred tax asset related to these state net operating loss carryforwards as of January 31, 2026. If or when recognized, the tax benefits related to any reversal of the valuation allowance on deferred tax assets is accounted for as a reduction of income tax expense.</w:t>
      </w:r>
    </w:p>
    <w:p>
      <w:pPr>
        <w:spacing w:after="0" w:line="183"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The Company has recorded a net deferred tax asset of $6.1 million reflecting the gross benefit of state income tax credits totaling $0.3 million and $7.4 million in Georgia and California, respectively. The Georgia credits will begin to expire in 2026. The California credits have an unlimited carryforward period.</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Company's interest expense carryforward of $189.3 million has an unlimited carryforward period.</w:t>
      </w:r>
    </w:p>
    <w:p>
      <w:pPr>
        <w:spacing w:after="0" w:line="225" w:lineRule="exact"/>
        <w:rPr>
          <w:sz w:val="20"/>
          <w:szCs w:val="20"/>
          <w:color w:val="auto"/>
        </w:rPr>
      </w:pPr>
    </w:p>
    <w:p>
      <w:pPr>
        <w:jc w:val="both"/>
        <w:ind w:right="140" w:firstLine="509"/>
        <w:spacing w:after="0" w:line="266" w:lineRule="auto"/>
        <w:rPr>
          <w:sz w:val="20"/>
          <w:szCs w:val="20"/>
          <w:color w:val="auto"/>
        </w:rPr>
      </w:pPr>
      <w:r>
        <w:rPr>
          <w:rFonts w:ascii="Times New Roman" w:cs="Times New Roman" w:eastAsia="Times New Roman" w:hAnsi="Times New Roman"/>
          <w:sz w:val="18"/>
          <w:szCs w:val="18"/>
          <w:color w:val="auto"/>
        </w:rPr>
        <w:t>Reserves are established when positions are “more likely than not” to not be sustained if challenged. Reserves are adjusted at each reporting period to reflect the impact of audit settlements, expiration of statutes of limitation, developments in the tax law and ongoing discussions with the tax authorities. Accrued interest and penalties associated with uncertain tax positions are recognized as part of the income tax provision.</w:t>
      </w:r>
    </w:p>
    <w:p>
      <w:pPr>
        <w:spacing w:after="0" w:line="176" w:lineRule="exact"/>
        <w:rPr>
          <w:sz w:val="20"/>
          <w:szCs w:val="20"/>
          <w:color w:val="auto"/>
        </w:rPr>
      </w:pPr>
    </w:p>
    <w:p>
      <w:pPr>
        <w:ind w:right="340" w:firstLine="509"/>
        <w:spacing w:after="0" w:line="282" w:lineRule="auto"/>
        <w:rPr>
          <w:sz w:val="20"/>
          <w:szCs w:val="20"/>
          <w:color w:val="auto"/>
        </w:rPr>
      </w:pPr>
      <w:r>
        <w:rPr>
          <w:rFonts w:ascii="Times New Roman" w:cs="Times New Roman" w:eastAsia="Times New Roman" w:hAnsi="Times New Roman"/>
          <w:sz w:val="18"/>
          <w:szCs w:val="18"/>
          <w:color w:val="auto"/>
        </w:rPr>
        <w:t>The Company has approximately $19.7 million of unrecognized tax benefits as of January 31, 2026, of which $4.2 million, if recognized, would impact the effective tax rate and $15.5 million would result in an adjustment to the net deferred tax liability.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5" w:name="page96"/>
    <w:bookmarkEnd w:id="95"/>
    <w:p>
      <w:pPr>
        <w:spacing w:after="0" w:line="1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reconciliation of the beginning and ending amount of unrecognized tax benefits, is as follows (in thousands):</w:t>
      </w:r>
    </w:p>
    <w:p>
      <w:pPr>
        <w:spacing w:after="0" w:line="206" w:lineRule="exact"/>
        <w:rPr>
          <w:sz w:val="20"/>
          <w:szCs w:val="20"/>
          <w:color w:val="auto"/>
        </w:rPr>
      </w:pPr>
    </w:p>
    <w:tbl>
      <w:tblPr>
        <w:tblLayout w:type="fixed"/>
        <w:tblInd w:w="52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60" w:type="dxa"/>
            <w:vAlign w:val="bottom"/>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January 31,</w:t>
            </w:r>
          </w:p>
        </w:tc>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February 1,</w:t>
            </w:r>
          </w:p>
        </w:tc>
      </w:tr>
      <w:tr>
        <w:trPr>
          <w:trHeight w:val="173"/>
        </w:trPr>
        <w:tc>
          <w:tcPr>
            <w:tcW w:w="20" w:type="dxa"/>
            <w:vAlign w:val="bottom"/>
          </w:tcPr>
          <w:p>
            <w:pPr>
              <w:spacing w:after="0"/>
              <w:rPr>
                <w:sz w:val="15"/>
                <w:szCs w:val="15"/>
                <w:color w:val="auto"/>
              </w:rPr>
            </w:pPr>
          </w:p>
        </w:tc>
        <w:tc>
          <w:tcPr>
            <w:tcW w:w="6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2026</w:t>
            </w:r>
          </w:p>
        </w:tc>
        <w:tc>
          <w:tcPr>
            <w:tcW w:w="4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r>
      <w:tr>
        <w:trPr>
          <w:trHeight w:val="209"/>
        </w:trPr>
        <w:tc>
          <w:tcPr>
            <w:tcW w:w="20" w:type="dxa"/>
            <w:vAlign w:val="bottom"/>
          </w:tcPr>
          <w:p>
            <w:pPr>
              <w:spacing w:after="0"/>
              <w:rPr>
                <w:sz w:val="18"/>
                <w:szCs w:val="18"/>
                <w:color w:val="auto"/>
              </w:rPr>
            </w:pPr>
          </w:p>
        </w:tc>
        <w:tc>
          <w:tcPr>
            <w:tcW w:w="6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2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16,421</w:t>
            </w:r>
          </w:p>
        </w:tc>
        <w:tc>
          <w:tcPr>
            <w:tcW w:w="7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16,421</w:t>
            </w:r>
          </w:p>
        </w:tc>
        <w:tc>
          <w:tcPr>
            <w:tcW w:w="10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Additions for tax positions taken in prior years</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3,305</w:t>
            </w: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638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Decreases related to lapse of statute limitation</w:t>
            </w:r>
          </w:p>
        </w:tc>
        <w:tc>
          <w:tcPr>
            <w:tcW w:w="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19,726</w:t>
            </w: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16,421</w:t>
            </w:r>
          </w:p>
        </w:tc>
        <w:tc>
          <w:tcPr>
            <w:tcW w:w="1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5422900</wp:posOffset>
            </wp:positionH>
            <wp:positionV relativeFrom="paragraph">
              <wp:posOffset>-170815</wp:posOffset>
            </wp:positionV>
            <wp:extent cx="60325"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6751320</wp:posOffset>
            </wp:positionH>
            <wp:positionV relativeFrom="paragraph">
              <wp:posOffset>-170815</wp:posOffset>
            </wp:positionV>
            <wp:extent cx="68580"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8"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The Company has approximately $9.2 million accrued for interest and penalties as of January 31, 2026 in the consolidated balance sheets and recorded $2.5 million in interest during fiscal 2025 in the consolidated statements of operations. The Company recognizes interest and penalties related to unrecognized tax benefits as a component of income tax expense. The Company does not anticipate that unrecognized tax benefits will significantly increase or decrease over the next 12 months.</w:t>
      </w:r>
    </w:p>
    <w:p>
      <w:pPr>
        <w:spacing w:after="0" w:line="180"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The Company is no longer subject to examination for U.S. federal income tax for periods prior to fiscal 2019. The Company is no longer subject to examination by state tax authorities for tax periods prior to fiscal 2020. The Company has no material foreign operations.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Accumulated Other Comprehensive (Loss) Income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Changes in the balances of each component included in AOCI are presented below (net of tax, in thousands):</w:t>
      </w:r>
    </w:p>
    <w:p>
      <w:pPr>
        <w:spacing w:after="0" w:line="233" w:lineRule="exact"/>
        <w:rPr>
          <w:sz w:val="20"/>
          <w:szCs w:val="20"/>
          <w:color w:val="auto"/>
        </w:rPr>
      </w:pPr>
    </w:p>
    <w:tbl>
      <w:tblPr>
        <w:tblLayout w:type="fixed"/>
        <w:tblInd w:w="590" w:type="dxa"/>
        <w:tblCellMar>
          <w:top w:w="0" w:type="dxa"/>
          <w:left w:w="0" w:type="dxa"/>
          <w:bottom w:w="0" w:type="dxa"/>
          <w:right w:w="0" w:type="dxa"/>
        </w:tblCellMar>
      </w:tblPr>
      <w:tr>
        <w:trPr>
          <w:trHeight w:val="161"/>
        </w:trPr>
        <w:tc>
          <w:tcPr>
            <w:tcW w:w="4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0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Foreign</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0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vMerge w:val="restart"/>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Derivatives</w:t>
            </w:r>
          </w:p>
        </w:tc>
        <w:tc>
          <w:tcPr>
            <w:tcW w:w="16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0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translation</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40" w:type="dxa"/>
            <w:vAlign w:val="bottom"/>
            <w:vMerge w:val="restart"/>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center"/>
              <w:ind w:right="194"/>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700" w:type="dxa"/>
            <w:vAlign w:val="bottom"/>
            <w:tcBorders>
              <w:left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January 28, 2023</w:t>
            </w: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(2,054)</w:t>
            </w:r>
          </w:p>
        </w:tc>
        <w:tc>
          <w:tcPr>
            <w:tcW w:w="36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(2,044)</w:t>
            </w:r>
          </w:p>
        </w:tc>
        <w:tc>
          <w:tcPr>
            <w:tcW w:w="4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(4,098)</w:t>
            </w:r>
          </w:p>
        </w:tc>
        <w:tc>
          <w:tcPr>
            <w:tcW w:w="0" w:type="dxa"/>
            <w:vAlign w:val="bottom"/>
          </w:tcPr>
          <w:p>
            <w:pPr>
              <w:spacing w:after="0"/>
              <w:rPr>
                <w:sz w:val="1"/>
                <w:szCs w:val="1"/>
                <w:color w:val="auto"/>
              </w:rPr>
            </w:pPr>
          </w:p>
        </w:tc>
      </w:tr>
      <w:tr>
        <w:trPr>
          <w:trHeight w:val="191"/>
        </w:trPr>
        <w:tc>
          <w:tcPr>
            <w:tcW w:w="4520" w:type="dxa"/>
            <w:vAlign w:val="bottom"/>
            <w:tcBorders>
              <w:top w:val="single" w:sz="8" w:color="CCECFF"/>
              <w:left w:val="single" w:sz="8" w:color="CCECFF"/>
              <w:right w:val="single" w:sz="8" w:color="CCECFF"/>
            </w:tcBorders>
          </w:tcPr>
          <w:p>
            <w:pPr>
              <w:spacing w:after="0" w:line="191" w:lineRule="exact"/>
              <w:rPr>
                <w:sz w:val="20"/>
                <w:szCs w:val="20"/>
                <w:color w:val="auto"/>
              </w:rPr>
            </w:pPr>
            <w:r>
              <w:rPr>
                <w:rFonts w:ascii="Times New Roman" w:cs="Times New Roman" w:eastAsia="Times New Roman" w:hAnsi="Times New Roman"/>
                <w:sz w:val="18"/>
                <w:szCs w:val="18"/>
                <w:color w:val="auto"/>
              </w:rPr>
              <w:t>Other comprehensive income</w:t>
            </w:r>
          </w:p>
        </w:tc>
        <w:tc>
          <w:tcPr>
            <w:tcW w:w="180" w:type="dxa"/>
            <w:vAlign w:val="bottom"/>
            <w:tcBorders>
              <w:top w:val="single" w:sz="8" w:color="CFF0FC"/>
            </w:tcBorders>
          </w:tcPr>
          <w:p>
            <w:pPr>
              <w:spacing w:after="0"/>
              <w:rPr>
                <w:sz w:val="16"/>
                <w:szCs w:val="16"/>
                <w:color w:val="auto"/>
              </w:rPr>
            </w:pPr>
          </w:p>
        </w:tc>
        <w:tc>
          <w:tcPr>
            <w:tcW w:w="260" w:type="dxa"/>
            <w:vAlign w:val="bottom"/>
            <w:tcBorders>
              <w:top w:val="single" w:sz="8" w:color="CFF0FC"/>
            </w:tcBorders>
          </w:tcPr>
          <w:p>
            <w:pPr>
              <w:spacing w:after="0"/>
              <w:rPr>
                <w:sz w:val="16"/>
                <w:szCs w:val="16"/>
                <w:color w:val="auto"/>
              </w:rPr>
            </w:pPr>
          </w:p>
        </w:tc>
        <w:tc>
          <w:tcPr>
            <w:tcW w:w="1320" w:type="dxa"/>
            <w:vAlign w:val="bottom"/>
            <w:tcBorders>
              <w:top w:val="single" w:sz="8" w:color="CFF0FC"/>
            </w:tcBorders>
          </w:tcPr>
          <w:p>
            <w:pPr>
              <w:spacing w:after="0"/>
              <w:rPr>
                <w:sz w:val="16"/>
                <w:szCs w:val="16"/>
                <w:color w:val="auto"/>
              </w:rPr>
            </w:pPr>
          </w:p>
        </w:tc>
        <w:tc>
          <w:tcPr>
            <w:tcW w:w="160" w:type="dxa"/>
            <w:vAlign w:val="bottom"/>
            <w:tcBorders>
              <w:top w:val="single" w:sz="8" w:color="CFF0FC"/>
            </w:tcBorders>
          </w:tcPr>
          <w:p>
            <w:pPr>
              <w:spacing w:after="0"/>
              <w:rPr>
                <w:sz w:val="16"/>
                <w:szCs w:val="16"/>
                <w:color w:val="auto"/>
              </w:rPr>
            </w:pPr>
          </w:p>
        </w:tc>
        <w:tc>
          <w:tcPr>
            <w:tcW w:w="100" w:type="dxa"/>
            <w:vAlign w:val="bottom"/>
            <w:tcBorders>
              <w:top w:val="single" w:sz="8" w:color="CFF0FC"/>
            </w:tcBorders>
          </w:tcPr>
          <w:p>
            <w:pPr>
              <w:spacing w:after="0"/>
              <w:rPr>
                <w:sz w:val="16"/>
                <w:szCs w:val="16"/>
                <w:color w:val="auto"/>
              </w:rPr>
            </w:pPr>
          </w:p>
        </w:tc>
        <w:tc>
          <w:tcPr>
            <w:tcW w:w="260" w:type="dxa"/>
            <w:vAlign w:val="bottom"/>
            <w:tcBorders>
              <w:top w:val="single" w:sz="8" w:color="CFF0FC"/>
            </w:tcBorders>
          </w:tcPr>
          <w:p>
            <w:pPr>
              <w:spacing w:after="0"/>
              <w:rPr>
                <w:sz w:val="16"/>
                <w:szCs w:val="16"/>
                <w:color w:val="auto"/>
              </w:rPr>
            </w:pPr>
          </w:p>
        </w:tc>
        <w:tc>
          <w:tcPr>
            <w:tcW w:w="1340" w:type="dxa"/>
            <w:vAlign w:val="bottom"/>
            <w:tcBorders>
              <w:top w:val="single" w:sz="8" w:color="CFF0FC"/>
            </w:tcBorders>
          </w:tcPr>
          <w:p>
            <w:pPr>
              <w:spacing w:after="0"/>
              <w:rPr>
                <w:sz w:val="16"/>
                <w:szCs w:val="16"/>
                <w:color w:val="auto"/>
              </w:rPr>
            </w:pPr>
          </w:p>
        </w:tc>
        <w:tc>
          <w:tcPr>
            <w:tcW w:w="160" w:type="dxa"/>
            <w:vAlign w:val="bottom"/>
            <w:tcBorders>
              <w:top w:val="single" w:sz="8" w:color="CFF0FC"/>
            </w:tcBorders>
          </w:tcPr>
          <w:p>
            <w:pPr>
              <w:spacing w:after="0"/>
              <w:rPr>
                <w:sz w:val="16"/>
                <w:szCs w:val="16"/>
                <w:color w:val="auto"/>
              </w:rPr>
            </w:pPr>
          </w:p>
        </w:tc>
        <w:tc>
          <w:tcPr>
            <w:tcW w:w="100" w:type="dxa"/>
            <w:vAlign w:val="bottom"/>
            <w:tcBorders>
              <w:top w:val="single" w:sz="8" w:color="CFF0FC"/>
            </w:tcBorders>
          </w:tcPr>
          <w:p>
            <w:pPr>
              <w:spacing w:after="0"/>
              <w:rPr>
                <w:sz w:val="16"/>
                <w:szCs w:val="16"/>
                <w:color w:val="auto"/>
              </w:rPr>
            </w:pPr>
          </w:p>
        </w:tc>
        <w:tc>
          <w:tcPr>
            <w:tcW w:w="360" w:type="dxa"/>
            <w:vAlign w:val="bottom"/>
            <w:tcBorders>
              <w:top w:val="single" w:sz="8" w:color="CFF0FC"/>
            </w:tcBorders>
          </w:tcPr>
          <w:p>
            <w:pPr>
              <w:spacing w:after="0"/>
              <w:rPr>
                <w:sz w:val="16"/>
                <w:szCs w:val="16"/>
                <w:color w:val="auto"/>
              </w:rPr>
            </w:pPr>
          </w:p>
        </w:tc>
        <w:tc>
          <w:tcPr>
            <w:tcW w:w="1240" w:type="dxa"/>
            <w:vAlign w:val="bottom"/>
            <w:tcBorders>
              <w:top w:val="single" w:sz="8" w:color="CFF0FC"/>
            </w:tcBorders>
          </w:tcPr>
          <w:p>
            <w:pPr>
              <w:spacing w:after="0"/>
              <w:rPr>
                <w:sz w:val="16"/>
                <w:szCs w:val="16"/>
                <w:color w:val="auto"/>
              </w:rPr>
            </w:pPr>
          </w:p>
        </w:tc>
        <w:tc>
          <w:tcPr>
            <w:tcW w:w="100" w:type="dxa"/>
            <w:vAlign w:val="bottom"/>
            <w:tcBorders>
              <w:top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520" w:type="dxa"/>
            <w:vAlign w:val="bottom"/>
            <w:tcBorders>
              <w:left w:val="single" w:sz="8" w:color="CCECFF"/>
              <w:right w:val="single" w:sz="8" w:color="CCECFF"/>
            </w:tcBorders>
          </w:tcPr>
          <w:p>
            <w:pPr>
              <w:ind w:left="140"/>
              <w:spacing w:after="0"/>
              <w:rPr>
                <w:sz w:val="20"/>
                <w:szCs w:val="20"/>
                <w:color w:val="auto"/>
              </w:rPr>
            </w:pPr>
            <w:r>
              <w:rPr>
                <w:rFonts w:ascii="Times New Roman" w:cs="Times New Roman" w:eastAsia="Times New Roman" w:hAnsi="Times New Roman"/>
                <w:sz w:val="18"/>
                <w:szCs w:val="18"/>
                <w:color w:val="auto"/>
              </w:rPr>
              <w:t>before reclassifications</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5,534</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520" w:type="dxa"/>
            <w:vAlign w:val="bottom"/>
            <w:tcBorders>
              <w:left w:val="single" w:sz="8" w:color="CCECFF"/>
              <w:right w:val="single" w:sz="8" w:color="CCECFF"/>
            </w:tcBorders>
            <w:shd w:val="clear" w:color="auto" w:fill="CCECFF"/>
          </w:tcPr>
          <w:p>
            <w:pPr>
              <w:spacing w:after="0"/>
              <w:rPr>
                <w:sz w:val="20"/>
                <w:szCs w:val="20"/>
                <w:color w:val="auto"/>
              </w:rPr>
            </w:pPr>
            <w:r>
              <w:rPr>
                <w:rFonts w:ascii="Times New Roman" w:cs="Times New Roman" w:eastAsia="Times New Roman" w:hAnsi="Times New Roman"/>
                <w:sz w:val="18"/>
                <w:szCs w:val="18"/>
                <w:color w:val="auto"/>
              </w:rPr>
              <w:t>Amounts reclassified from AOCI</w:t>
            </w:r>
          </w:p>
        </w:tc>
        <w:tc>
          <w:tcPr>
            <w:tcW w:w="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(367)</w:t>
            </w: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(367)</w:t>
            </w:r>
          </w:p>
        </w:tc>
        <w:tc>
          <w:tcPr>
            <w:tcW w:w="0" w:type="dxa"/>
            <w:vAlign w:val="bottom"/>
          </w:tcPr>
          <w:p>
            <w:pPr>
              <w:spacing w:after="0"/>
              <w:rPr>
                <w:sz w:val="1"/>
                <w:szCs w:val="1"/>
                <w:color w:val="auto"/>
              </w:rPr>
            </w:pPr>
          </w:p>
        </w:tc>
      </w:tr>
      <w:tr>
        <w:trPr>
          <w:trHeight w:val="210"/>
        </w:trPr>
        <w:tc>
          <w:tcPr>
            <w:tcW w:w="4520" w:type="dxa"/>
            <w:vAlign w:val="bottom"/>
            <w:tcBorders>
              <w:top w:val="single" w:sz="8" w:color="CCECFF"/>
            </w:tcBorders>
          </w:tcPr>
          <w:p>
            <w:pPr>
              <w:ind w:left="8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80" w:type="dxa"/>
            <w:vAlign w:val="bottom"/>
            <w:tcBorders>
              <w:top w:val="single" w:sz="8" w:color="CFF0FC"/>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16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5,534</w:t>
            </w:r>
          </w:p>
        </w:tc>
        <w:tc>
          <w:tcPr>
            <w:tcW w:w="16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5,919</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700" w:type="dxa"/>
            <w:vAlign w:val="bottom"/>
            <w:tcBorders>
              <w:left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February 3, 2024</w:t>
            </w: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(1,669)</w:t>
            </w:r>
          </w:p>
        </w:tc>
        <w:tc>
          <w:tcPr>
            <w:tcW w:w="36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3,490</w:t>
            </w:r>
          </w:p>
        </w:tc>
        <w:tc>
          <w:tcPr>
            <w:tcW w:w="160" w:type="dxa"/>
            <w:vAlign w:val="bottom"/>
            <w:shd w:val="clear" w:color="auto" w:fill="CFF0FC"/>
          </w:tcPr>
          <w:p>
            <w:pPr>
              <w:spacing w:after="0"/>
              <w:rPr>
                <w:sz w:val="18"/>
                <w:szCs w:val="18"/>
                <w:color w:val="auto"/>
              </w:rPr>
            </w:pPr>
          </w:p>
        </w:tc>
        <w:tc>
          <w:tcPr>
            <w:tcW w:w="4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7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Other comprehensive income (loss)</w:t>
            </w: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7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before reclassifications</w:t>
            </w:r>
          </w:p>
        </w:tc>
        <w:tc>
          <w:tcPr>
            <w:tcW w:w="2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4,303</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(21,836)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(17,533)</w:t>
            </w:r>
          </w:p>
        </w:tc>
        <w:tc>
          <w:tcPr>
            <w:tcW w:w="0" w:type="dxa"/>
            <w:vAlign w:val="bottom"/>
          </w:tcPr>
          <w:p>
            <w:pPr>
              <w:spacing w:after="0"/>
              <w:rPr>
                <w:sz w:val="1"/>
                <w:szCs w:val="1"/>
                <w:color w:val="auto"/>
              </w:rPr>
            </w:pPr>
          </w:p>
        </w:tc>
      </w:tr>
      <w:tr>
        <w:trPr>
          <w:trHeight w:val="230"/>
        </w:trPr>
        <w:tc>
          <w:tcPr>
            <w:tcW w:w="4520" w:type="dxa"/>
            <w:vAlign w:val="bottom"/>
            <w:tcBorders>
              <w:left w:val="single" w:sz="8" w:color="CCECFF"/>
              <w:right w:val="single" w:sz="8" w:color="CCECFF"/>
            </w:tcBorders>
            <w:shd w:val="clear" w:color="auto" w:fill="CCECFF"/>
          </w:tcPr>
          <w:p>
            <w:pPr>
              <w:spacing w:after="0"/>
              <w:rPr>
                <w:sz w:val="20"/>
                <w:szCs w:val="20"/>
                <w:color w:val="auto"/>
              </w:rPr>
            </w:pPr>
            <w:r>
              <w:rPr>
                <w:rFonts w:ascii="Times New Roman" w:cs="Times New Roman" w:eastAsia="Times New Roman" w:hAnsi="Times New Roman"/>
                <w:sz w:val="18"/>
                <w:szCs w:val="18"/>
                <w:color w:val="auto"/>
              </w:rPr>
              <w:t>Amounts reclassified from AOCI</w:t>
            </w: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(2,371)</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(2,371)</w:t>
            </w:r>
          </w:p>
        </w:tc>
        <w:tc>
          <w:tcPr>
            <w:tcW w:w="0" w:type="dxa"/>
            <w:vAlign w:val="bottom"/>
          </w:tcPr>
          <w:p>
            <w:pPr>
              <w:spacing w:after="0"/>
              <w:rPr>
                <w:sz w:val="1"/>
                <w:szCs w:val="1"/>
                <w:color w:val="auto"/>
              </w:rPr>
            </w:pPr>
          </w:p>
        </w:tc>
      </w:tr>
      <w:tr>
        <w:trPr>
          <w:trHeight w:val="20"/>
        </w:trPr>
        <w:tc>
          <w:tcPr>
            <w:tcW w:w="4520" w:type="dxa"/>
            <w:vAlign w:val="bottom"/>
            <w:tcBorders>
              <w:left w:val="single" w:sz="8" w:color="CCECFF"/>
              <w:right w:val="single" w:sz="8" w:color="CCECFF"/>
            </w:tcBorders>
            <w:shd w:val="clear" w:color="auto" w:fill="CCECFF"/>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(21,836)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(19,904)</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700" w:type="dxa"/>
            <w:vAlign w:val="bottom"/>
            <w:tcBorders>
              <w:left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February 1, 2025</w:t>
            </w: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(18,346)</w:t>
            </w:r>
          </w:p>
        </w:tc>
        <w:tc>
          <w:tcPr>
            <w:tcW w:w="4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(18,083)</w:t>
            </w:r>
          </w:p>
        </w:tc>
        <w:tc>
          <w:tcPr>
            <w:tcW w:w="0" w:type="dxa"/>
            <w:vAlign w:val="bottom"/>
          </w:tcPr>
          <w:p>
            <w:pPr>
              <w:spacing w:after="0"/>
              <w:rPr>
                <w:sz w:val="1"/>
                <w:szCs w:val="1"/>
                <w:color w:val="auto"/>
              </w:rPr>
            </w:pPr>
          </w:p>
        </w:tc>
      </w:tr>
      <w:tr>
        <w:trPr>
          <w:trHeight w:val="198"/>
        </w:trPr>
        <w:tc>
          <w:tcPr>
            <w:tcW w:w="47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Other comprehensive (loss) income</w:t>
            </w: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7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before reclassifications</w:t>
            </w:r>
          </w:p>
        </w:tc>
        <w:tc>
          <w:tcPr>
            <w:tcW w:w="260" w:type="dxa"/>
            <w:vAlign w:val="bottom"/>
          </w:tcPr>
          <w:p>
            <w:pPr>
              <w:spacing w:after="0"/>
              <w:rPr>
                <w:sz w:val="20"/>
                <w:szCs w:val="20"/>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10,699</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10,112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520" w:type="dxa"/>
            <w:vAlign w:val="bottom"/>
            <w:tcBorders>
              <w:left w:val="single" w:sz="8" w:color="CCECFF"/>
              <w:right w:val="single" w:sz="8" w:color="CCECFF"/>
            </w:tcBorders>
            <w:shd w:val="clear" w:color="auto" w:fill="CCECFF"/>
          </w:tcPr>
          <w:p>
            <w:pPr>
              <w:spacing w:after="0"/>
              <w:rPr>
                <w:sz w:val="20"/>
                <w:szCs w:val="20"/>
                <w:color w:val="auto"/>
              </w:rPr>
            </w:pPr>
            <w:r>
              <w:rPr>
                <w:rFonts w:ascii="Times New Roman" w:cs="Times New Roman" w:eastAsia="Times New Roman" w:hAnsi="Times New Roman"/>
                <w:sz w:val="18"/>
                <w:szCs w:val="18"/>
                <w:color w:val="auto"/>
              </w:rPr>
              <w:t>Amounts reclassified from AOCI</w:t>
            </w:r>
          </w:p>
        </w:tc>
        <w:tc>
          <w:tcPr>
            <w:tcW w:w="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(418)</w:t>
            </w: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(418)</w:t>
            </w:r>
          </w:p>
        </w:tc>
        <w:tc>
          <w:tcPr>
            <w:tcW w:w="0" w:type="dxa"/>
            <w:vAlign w:val="bottom"/>
          </w:tcPr>
          <w:p>
            <w:pPr>
              <w:spacing w:after="0"/>
              <w:rPr>
                <w:sz w:val="1"/>
                <w:szCs w:val="1"/>
                <w:color w:val="auto"/>
              </w:rPr>
            </w:pPr>
          </w:p>
        </w:tc>
      </w:tr>
      <w:tr>
        <w:trPr>
          <w:trHeight w:val="20"/>
        </w:trPr>
        <w:tc>
          <w:tcPr>
            <w:tcW w:w="4520" w:type="dxa"/>
            <w:vAlign w:val="bottom"/>
            <w:tcBorders>
              <w:left w:val="single" w:sz="8" w:color="CCECFF"/>
              <w:right w:val="single" w:sz="8" w:color="CCECFF"/>
            </w:tcBorders>
            <w:shd w:val="clear" w:color="auto" w:fill="CCECFF"/>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10,699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700" w:type="dxa"/>
            <w:vAlign w:val="bottom"/>
            <w:tcBorders>
              <w:left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January 31, 2026</w:t>
            </w: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(742)</w:t>
            </w:r>
          </w:p>
        </w:tc>
        <w:tc>
          <w:tcPr>
            <w:tcW w:w="36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(7,647)</w:t>
            </w:r>
          </w:p>
        </w:tc>
        <w:tc>
          <w:tcPr>
            <w:tcW w:w="4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(8,389)</w:t>
            </w:r>
          </w:p>
        </w:tc>
        <w:tc>
          <w:tcPr>
            <w:tcW w:w="0" w:type="dxa"/>
            <w:vAlign w:val="bottom"/>
          </w:tcPr>
          <w:p>
            <w:pPr>
              <w:spacing w:after="0"/>
              <w:rPr>
                <w:sz w:val="1"/>
                <w:szCs w:val="1"/>
                <w:color w:val="auto"/>
              </w:rPr>
            </w:pPr>
          </w:p>
        </w:tc>
      </w:tr>
      <w:tr>
        <w:trPr>
          <w:trHeight w:val="20"/>
        </w:trPr>
        <w:tc>
          <w:tcPr>
            <w:tcW w:w="4520" w:type="dxa"/>
            <w:vAlign w:val="bottom"/>
            <w:tcBorders>
              <w:top w:val="single" w:sz="8" w:color="CFF0FC"/>
              <w:left w:val="single" w:sz="8" w:color="CFF0FC"/>
              <w:right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3236595</wp:posOffset>
            </wp:positionH>
            <wp:positionV relativeFrom="paragraph">
              <wp:posOffset>-2150745</wp:posOffset>
            </wp:positionV>
            <wp:extent cx="111125"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-1731010</wp:posOffset>
            </wp:positionV>
            <wp:extent cx="59690"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-1731010</wp:posOffset>
            </wp:positionV>
            <wp:extent cx="59690"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-1731010</wp:posOffset>
            </wp:positionV>
            <wp:extent cx="60325"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3236595</wp:posOffset>
            </wp:positionH>
            <wp:positionV relativeFrom="paragraph">
              <wp:posOffset>-1019175</wp:posOffset>
            </wp:positionV>
            <wp:extent cx="111125"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-1019175</wp:posOffset>
            </wp:positionV>
            <wp:extent cx="5969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-1019175</wp:posOffset>
            </wp:positionV>
            <wp:extent cx="5969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-1019175</wp:posOffset>
            </wp:positionV>
            <wp:extent cx="60325"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-316865</wp:posOffset>
            </wp:positionV>
            <wp:extent cx="59690"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-316865</wp:posOffset>
            </wp:positionV>
            <wp:extent cx="59690"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-316865</wp:posOffset>
            </wp:positionV>
            <wp:extent cx="60325"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-24765</wp:posOffset>
            </wp:positionV>
            <wp:extent cx="59690"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-7620</wp:posOffset>
            </wp:positionV>
            <wp:extent cx="59690"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-24765</wp:posOffset>
            </wp:positionV>
            <wp:extent cx="59690"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-7620</wp:posOffset>
            </wp:positionV>
            <wp:extent cx="59690"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Commitments and Contingencies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Baseball Stadium Naming Rights Commitment</w:t>
      </w:r>
    </w:p>
    <w:p>
      <w:pPr>
        <w:spacing w:after="0" w:line="121" w:lineRule="exact"/>
        <w:rPr>
          <w:sz w:val="20"/>
          <w:szCs w:val="20"/>
          <w:color w:val="auto"/>
        </w:rPr>
      </w:pPr>
    </w:p>
    <w:p>
      <w:pPr>
        <w:ind w:firstLine="509"/>
        <w:spacing w:after="0" w:line="281" w:lineRule="auto"/>
        <w:rPr>
          <w:sz w:val="20"/>
          <w:szCs w:val="20"/>
          <w:color w:val="auto"/>
        </w:rPr>
      </w:pPr>
      <w:r>
        <w:rPr>
          <w:rFonts w:ascii="Times New Roman" w:cs="Times New Roman" w:eastAsia="Times New Roman" w:hAnsi="Times New Roman"/>
          <w:sz w:val="18"/>
          <w:szCs w:val="18"/>
          <w:color w:val="auto"/>
        </w:rPr>
        <w:t>In March 2003, the Company entered into an agreement with San Diego Ballpark Funding LLC and Padres L.P. to name the San Diego Padres’ new stadium Petco Park. The naming rights include signage, advertising and other promotional benefits. Pursuant to the agreement, the Company pays an annual contract fee. Fees for fiscal 2025, 2024, and 2023 were $5.1 million, $5.0 million, and $4.6 million, respectively. These fees are included in selling, general and administrative expenses in the consolidated statements of operations and will be adjusted by the</w:t>
      </w:r>
    </w:p>
    <w:p>
      <w:pPr>
        <w:spacing w:after="0" w:line="38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96" w:name="page97"/>
    <w:bookmarkEnd w:id="96"/>
    <w:p>
      <w:pPr>
        <w:spacing w:after="0" w:line="86" w:lineRule="exact"/>
        <w:rPr>
          <w:sz w:val="20"/>
          <w:szCs w:val="20"/>
          <w:color w:val="auto"/>
        </w:rPr>
      </w:pPr>
    </w:p>
    <w:p>
      <w:pPr>
        <w:ind w:right="1840"/>
        <w:spacing w:after="0" w:line="399" w:lineRule="auto"/>
        <w:rPr>
          <w:sz w:val="20"/>
          <w:szCs w:val="20"/>
          <w:color w:val="auto"/>
        </w:rPr>
      </w:pPr>
      <w:r>
        <w:rPr>
          <w:rFonts w:ascii="Times New Roman" w:cs="Times New Roman" w:eastAsia="Times New Roman" w:hAnsi="Times New Roman"/>
          <w:sz w:val="18"/>
          <w:szCs w:val="18"/>
          <w:color w:val="auto"/>
        </w:rPr>
        <w:t xml:space="preserve">maximum annual change related to the San Diego consumer price index per year through the 2030 Major League Baseball season. </w:t>
      </w:r>
      <w:r>
        <w:rPr>
          <w:rFonts w:ascii="Times New Roman" w:cs="Times New Roman" w:eastAsia="Times New Roman" w:hAnsi="Times New Roman"/>
          <w:sz w:val="18"/>
          <w:szCs w:val="18"/>
          <w:b w:val="1"/>
          <w:bCs w:val="1"/>
          <w:i w:val="1"/>
          <w:iCs w:val="1"/>
          <w:color w:val="auto"/>
        </w:rPr>
        <w:t>Litigation</w:t>
      </w: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The Company is involved in legal proceedings and is subject to other claims and litigation arising in the ordinary course of its business. The Company has made accruals with respect to certain of these matters, where appropriate, which are reflected in the Company’s consolidated financial statements but are not, individually or in the aggregate, considered material. For other matters, the Company has not made accruals because management has not yet determined that a loss is probable or because the amount of loss cannot be reasonably estimated. While the ultimate outcome of the matters cannot be determined, the Company currently does not expect that these matters will have a material adverse effect on its consolidated financial statements. The outcome of any litigation is inherently uncertain, however, and if decided adversely to the Company, or if the Company determines that settlement of particular litigation is appropriate, the Company may be subject to liability that could have a material adverse effect on its consolidated financial statements.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Reportable Segment</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represents segment information for the Company’s single operating segment, for the periods presented (in thousands):</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7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Fiscal years ended</w:t>
            </w:r>
          </w:p>
        </w:tc>
        <w:tc>
          <w:tcPr>
            <w:tcW w:w="1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7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940" w:type="dxa"/>
            <w:vAlign w:val="bottom"/>
            <w:gridSpan w:val="2"/>
          </w:tcPr>
          <w:p>
            <w:pPr>
              <w:jc w:val="center"/>
              <w:ind w:right="700"/>
              <w:spacing w:after="0" w:line="118" w:lineRule="exact"/>
              <w:rPr>
                <w:sz w:val="20"/>
                <w:szCs w:val="20"/>
                <w:color w:val="auto"/>
              </w:rPr>
            </w:pPr>
            <w:r>
              <w:rPr>
                <w:rFonts w:ascii="Times New Roman" w:cs="Times New Roman" w:eastAsia="Times New Roman" w:hAnsi="Times New Roman"/>
                <w:sz w:val="13"/>
                <w:szCs w:val="13"/>
                <w:b w:val="1"/>
                <w:bCs w:val="1"/>
                <w:color w:val="auto"/>
              </w:rPr>
              <w:t>January 31,</w:t>
            </w:r>
          </w:p>
        </w:tc>
        <w:tc>
          <w:tcPr>
            <w:tcW w:w="220" w:type="dxa"/>
            <w:vAlign w:val="bottom"/>
          </w:tcPr>
          <w:p>
            <w:pPr>
              <w:spacing w:after="0"/>
              <w:rPr>
                <w:sz w:val="10"/>
                <w:szCs w:val="10"/>
                <w:color w:val="auto"/>
              </w:rPr>
            </w:pPr>
          </w:p>
        </w:tc>
        <w:tc>
          <w:tcPr>
            <w:tcW w:w="1880" w:type="dxa"/>
            <w:vAlign w:val="bottom"/>
            <w:gridSpan w:val="2"/>
          </w:tcPr>
          <w:p>
            <w:pPr>
              <w:jc w:val="center"/>
              <w:ind w:right="420"/>
              <w:spacing w:after="0" w:line="118" w:lineRule="exact"/>
              <w:rPr>
                <w:sz w:val="20"/>
                <w:szCs w:val="20"/>
                <w:color w:val="auto"/>
              </w:rPr>
            </w:pPr>
            <w:r>
              <w:rPr>
                <w:rFonts w:ascii="Times New Roman" w:cs="Times New Roman" w:eastAsia="Times New Roman" w:hAnsi="Times New Roman"/>
                <w:sz w:val="13"/>
                <w:szCs w:val="13"/>
                <w:b w:val="1"/>
                <w:bCs w:val="1"/>
                <w:color w:val="auto"/>
              </w:rPr>
              <w:t>February 1,</w:t>
            </w: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580" w:type="dxa"/>
            <w:vAlign w:val="bottom"/>
          </w:tcPr>
          <w:p>
            <w:pPr>
              <w:jc w:val="center"/>
              <w:ind w:right="254"/>
              <w:spacing w:after="0" w:line="118" w:lineRule="exact"/>
              <w:rPr>
                <w:sz w:val="20"/>
                <w:szCs w:val="20"/>
                <w:color w:val="auto"/>
              </w:rPr>
            </w:pPr>
            <w:r>
              <w:rPr>
                <w:rFonts w:ascii="Times New Roman" w:cs="Times New Roman" w:eastAsia="Times New Roman" w:hAnsi="Times New Roman"/>
                <w:sz w:val="13"/>
                <w:szCs w:val="13"/>
                <w:b w:val="1"/>
                <w:bCs w:val="1"/>
                <w:color w:val="auto"/>
              </w:rPr>
              <w:t>February 3,</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7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jc w:val="center"/>
              <w:ind w:right="254"/>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3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jc w:val="center"/>
              <w:ind w:right="27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580" w:type="dxa"/>
            <w:vAlign w:val="bottom"/>
          </w:tcPr>
          <w:p>
            <w:pPr>
              <w:jc w:val="center"/>
              <w:ind w:right="254"/>
              <w:spacing w:after="0" w:line="142" w:lineRule="exact"/>
              <w:rPr>
                <w:sz w:val="20"/>
                <w:szCs w:val="20"/>
                <w:color w:val="auto"/>
              </w:rPr>
            </w:pPr>
            <w:r>
              <w:rPr>
                <w:rFonts w:ascii="Times New Roman" w:cs="Times New Roman" w:eastAsia="Times New Roman" w:hAnsi="Times New Roman"/>
                <w:sz w:val="14"/>
                <w:szCs w:val="14"/>
                <w:b w:val="1"/>
                <w:bCs w:val="1"/>
                <w:color w:val="auto"/>
              </w:rPr>
              <w:t>(52 weeks)</w:t>
            </w: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80" w:type="dxa"/>
            <w:vAlign w:val="bottom"/>
          </w:tcPr>
          <w:p>
            <w:pPr>
              <w:jc w:val="center"/>
              <w:ind w:right="155"/>
              <w:spacing w:after="0" w:line="142" w:lineRule="exact"/>
              <w:rPr>
                <w:sz w:val="20"/>
                <w:szCs w:val="20"/>
                <w:color w:val="auto"/>
              </w:rPr>
            </w:pPr>
            <w:r>
              <w:rPr>
                <w:rFonts w:ascii="Times New Roman" w:cs="Times New Roman" w:eastAsia="Times New Roman" w:hAnsi="Times New Roman"/>
                <w:sz w:val="14"/>
                <w:szCs w:val="14"/>
                <w:b w:val="1"/>
                <w:bCs w:val="1"/>
                <w:color w:val="auto"/>
              </w:rPr>
              <w:t>(52 weeks)</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580" w:type="dxa"/>
            <w:vAlign w:val="bottom"/>
          </w:tcPr>
          <w:p>
            <w:pPr>
              <w:jc w:val="center"/>
              <w:ind w:right="254"/>
              <w:spacing w:after="0" w:line="142" w:lineRule="exact"/>
              <w:rPr>
                <w:sz w:val="20"/>
                <w:szCs w:val="20"/>
                <w:color w:val="auto"/>
              </w:rPr>
            </w:pPr>
            <w:r>
              <w:rPr>
                <w:rFonts w:ascii="Times New Roman" w:cs="Times New Roman" w:eastAsia="Times New Roman" w:hAnsi="Times New Roman"/>
                <w:sz w:val="14"/>
                <w:szCs w:val="14"/>
                <w:b w:val="1"/>
                <w:bCs w:val="1"/>
                <w:color w:val="auto"/>
              </w:rPr>
              <w:t>(53 weeks)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340" w:type="dxa"/>
            <w:vAlign w:val="bottom"/>
            <w:shd w:val="clear" w:color="auto" w:fill="CFF0FC"/>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5,961,467</w:t>
            </w:r>
          </w:p>
        </w:tc>
        <w:tc>
          <w:tcPr>
            <w:tcW w:w="36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6,116,462</w:t>
            </w:r>
          </w:p>
        </w:tc>
        <w:tc>
          <w:tcPr>
            <w:tcW w:w="200" w:type="dxa"/>
            <w:vAlign w:val="bottom"/>
            <w:shd w:val="clear" w:color="auto" w:fill="CFF0FC"/>
          </w:tcPr>
          <w:p>
            <w:pPr>
              <w:spacing w:after="0"/>
              <w:rPr>
                <w:sz w:val="18"/>
                <w:szCs w:val="18"/>
                <w:color w:val="auto"/>
              </w:rPr>
            </w:pPr>
          </w:p>
        </w:tc>
        <w:tc>
          <w:tcPr>
            <w:tcW w:w="4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6,255,284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Add (deduct):</w:t>
            </w:r>
          </w:p>
        </w:tc>
        <w:tc>
          <w:tcPr>
            <w:tcW w:w="3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Cost of sales</w:t>
            </w:r>
          </w:p>
        </w:tc>
        <w:tc>
          <w:tcPr>
            <w:tcW w:w="340" w:type="dxa"/>
            <w:vAlign w:val="bottom"/>
            <w:shd w:val="clear" w:color="auto" w:fill="CFF0FC"/>
          </w:tcPr>
          <w:p>
            <w:pPr>
              <w:spacing w:after="0"/>
              <w:rPr>
                <w:sz w:val="18"/>
                <w:szCs w:val="18"/>
                <w:color w:val="auto"/>
              </w:rPr>
            </w:pPr>
          </w:p>
        </w:tc>
        <w:tc>
          <w:tcPr>
            <w:tcW w:w="19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(3,656,395)</w:t>
            </w:r>
          </w:p>
        </w:tc>
        <w:tc>
          <w:tcPr>
            <w:tcW w:w="220" w:type="dxa"/>
            <w:vAlign w:val="bottom"/>
            <w:shd w:val="clear" w:color="auto" w:fill="CFF0FC"/>
          </w:tcPr>
          <w:p>
            <w:pPr>
              <w:spacing w:after="0"/>
              <w:rPr>
                <w:sz w:val="18"/>
                <w:szCs w:val="18"/>
                <w:color w:val="auto"/>
              </w:rPr>
            </w:pPr>
          </w:p>
        </w:tc>
        <w:tc>
          <w:tcPr>
            <w:tcW w:w="18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(3,792,060)</w:t>
            </w: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(3,901,449)</w:t>
            </w:r>
          </w:p>
        </w:tc>
        <w:tc>
          <w:tcPr>
            <w:tcW w:w="0" w:type="dxa"/>
            <w:vAlign w:val="bottom"/>
          </w:tcPr>
          <w:p>
            <w:pPr>
              <w:spacing w:after="0"/>
              <w:rPr>
                <w:sz w:val="1"/>
                <w:szCs w:val="1"/>
                <w:color w:val="auto"/>
              </w:rPr>
            </w:pPr>
          </w:p>
        </w:tc>
      </w:tr>
      <w:tr>
        <w:trPr>
          <w:trHeight w:val="198"/>
        </w:trPr>
        <w:tc>
          <w:tcPr>
            <w:tcW w:w="4720" w:type="dxa"/>
            <w:vAlign w:val="bottom"/>
          </w:tcPr>
          <w:p>
            <w:pPr>
              <w:ind w:left="100"/>
              <w:spacing w:after="0" w:line="198" w:lineRule="exact"/>
              <w:rPr>
                <w:sz w:val="20"/>
                <w:szCs w:val="20"/>
                <w:color w:val="auto"/>
              </w:rPr>
            </w:pPr>
            <w:r>
              <w:rPr>
                <w:rFonts w:ascii="Times New Roman" w:cs="Times New Roman" w:eastAsia="Times New Roman" w:hAnsi="Times New Roman"/>
                <w:sz w:val="18"/>
                <w:szCs w:val="18"/>
                <w:color w:val="auto"/>
              </w:rPr>
              <w:t>Advertising and marketing</w:t>
            </w:r>
          </w:p>
        </w:tc>
        <w:tc>
          <w:tcPr>
            <w:tcW w:w="3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expenses</w:t>
            </w:r>
          </w:p>
        </w:tc>
        <w:tc>
          <w:tcPr>
            <w:tcW w:w="340" w:type="dxa"/>
            <w:vAlign w:val="bottom"/>
          </w:tcPr>
          <w:p>
            <w:pPr>
              <w:spacing w:after="0"/>
              <w:rPr>
                <w:sz w:val="20"/>
                <w:szCs w:val="20"/>
                <w:color w:val="auto"/>
              </w:rPr>
            </w:pPr>
          </w:p>
        </w:tc>
        <w:tc>
          <w:tcPr>
            <w:tcW w:w="19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(157,766)</w:t>
            </w:r>
          </w:p>
        </w:tc>
        <w:tc>
          <w:tcPr>
            <w:tcW w:w="220" w:type="dxa"/>
            <w:vAlign w:val="bottom"/>
          </w:tcPr>
          <w:p>
            <w:pPr>
              <w:spacing w:after="0"/>
              <w:rPr>
                <w:sz w:val="20"/>
                <w:szCs w:val="20"/>
                <w:color w:val="auto"/>
              </w:rPr>
            </w:pPr>
          </w:p>
        </w:tc>
        <w:tc>
          <w:tcPr>
            <w:tcW w:w="1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(156,086)</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(194,429)</w:t>
            </w:r>
          </w:p>
        </w:tc>
        <w:tc>
          <w:tcPr>
            <w:tcW w:w="0" w:type="dxa"/>
            <w:vAlign w:val="bottom"/>
          </w:tcPr>
          <w:p>
            <w:pPr>
              <w:spacing w:after="0"/>
              <w:rPr>
                <w:sz w:val="1"/>
                <w:szCs w:val="1"/>
                <w:color w:val="auto"/>
              </w:rPr>
            </w:pPr>
          </w:p>
        </w:tc>
      </w:tr>
      <w:tr>
        <w:trPr>
          <w:trHeight w:val="198"/>
        </w:trPr>
        <w:tc>
          <w:tcPr>
            <w:tcW w:w="4720" w:type="dxa"/>
            <w:vAlign w:val="bottom"/>
            <w:shd w:val="clear" w:color="auto" w:fill="CFF0FC"/>
          </w:tcPr>
          <w:p>
            <w:pPr>
              <w:ind w:left="100"/>
              <w:spacing w:after="0" w:line="198" w:lineRule="exact"/>
              <w:rPr>
                <w:sz w:val="20"/>
                <w:szCs w:val="20"/>
                <w:color w:val="auto"/>
              </w:rPr>
            </w:pPr>
            <w:r>
              <w:rPr>
                <w:rFonts w:ascii="Times New Roman" w:cs="Times New Roman" w:eastAsia="Times New Roman" w:hAnsi="Times New Roman"/>
                <w:sz w:val="18"/>
                <w:szCs w:val="18"/>
                <w:color w:val="auto"/>
              </w:rPr>
              <w:t>Equity-based compensation - general and</w:t>
            </w:r>
          </w:p>
        </w:tc>
        <w:tc>
          <w:tcPr>
            <w:tcW w:w="340" w:type="dxa"/>
            <w:vAlign w:val="bottom"/>
            <w:shd w:val="clear" w:color="auto" w:fill="CFF0FC"/>
          </w:tcPr>
          <w:p>
            <w:pPr>
              <w:spacing w:after="0"/>
              <w:rPr>
                <w:sz w:val="17"/>
                <w:szCs w:val="17"/>
                <w:color w:val="auto"/>
              </w:rPr>
            </w:pPr>
          </w:p>
        </w:tc>
        <w:tc>
          <w:tcPr>
            <w:tcW w:w="15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5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7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administrative</w:t>
            </w:r>
          </w:p>
        </w:tc>
        <w:tc>
          <w:tcPr>
            <w:tcW w:w="340" w:type="dxa"/>
            <w:vAlign w:val="bottom"/>
            <w:shd w:val="clear" w:color="auto" w:fill="CFF0FC"/>
          </w:tcPr>
          <w:p>
            <w:pPr>
              <w:spacing w:after="0"/>
              <w:rPr>
                <w:sz w:val="20"/>
                <w:szCs w:val="20"/>
                <w:color w:val="auto"/>
              </w:rPr>
            </w:pPr>
          </w:p>
        </w:tc>
        <w:tc>
          <w:tcPr>
            <w:tcW w:w="19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(32,188)</w:t>
            </w:r>
          </w:p>
        </w:tc>
        <w:tc>
          <w:tcPr>
            <w:tcW w:w="220" w:type="dxa"/>
            <w:vAlign w:val="bottom"/>
            <w:shd w:val="clear" w:color="auto" w:fill="CFF0FC"/>
          </w:tcPr>
          <w:p>
            <w:pPr>
              <w:spacing w:after="0"/>
              <w:rPr>
                <w:sz w:val="20"/>
                <w:szCs w:val="20"/>
                <w:color w:val="auto"/>
              </w:rPr>
            </w:pPr>
          </w:p>
        </w:tc>
        <w:tc>
          <w:tcPr>
            <w:tcW w:w="18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(50,212)</w:t>
            </w:r>
          </w:p>
        </w:tc>
        <w:tc>
          <w:tcPr>
            <w:tcW w:w="12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6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(81,859)</w:t>
            </w:r>
          </w:p>
        </w:tc>
        <w:tc>
          <w:tcPr>
            <w:tcW w:w="0" w:type="dxa"/>
            <w:vAlign w:val="bottom"/>
          </w:tcPr>
          <w:p>
            <w:pPr>
              <w:spacing w:after="0"/>
              <w:rPr>
                <w:sz w:val="1"/>
                <w:szCs w:val="1"/>
                <w:color w:val="auto"/>
              </w:rPr>
            </w:pPr>
          </w:p>
        </w:tc>
      </w:tr>
      <w:tr>
        <w:trPr>
          <w:trHeight w:val="198"/>
        </w:trPr>
        <w:tc>
          <w:tcPr>
            <w:tcW w:w="4720" w:type="dxa"/>
            <w:vAlign w:val="bottom"/>
          </w:tcPr>
          <w:p>
            <w:pPr>
              <w:ind w:left="100"/>
              <w:spacing w:after="0" w:line="198" w:lineRule="exact"/>
              <w:rPr>
                <w:sz w:val="20"/>
                <w:szCs w:val="20"/>
                <w:color w:val="auto"/>
              </w:rPr>
            </w:pPr>
            <w:r>
              <w:rPr>
                <w:rFonts w:ascii="Times New Roman" w:cs="Times New Roman" w:eastAsia="Times New Roman" w:hAnsi="Times New Roman"/>
                <w:sz w:val="18"/>
                <w:szCs w:val="18"/>
                <w:color w:val="auto"/>
              </w:rPr>
              <w:t>Other general and</w:t>
            </w:r>
          </w:p>
        </w:tc>
        <w:tc>
          <w:tcPr>
            <w:tcW w:w="3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administrative expenses (1)</w:t>
            </w:r>
          </w:p>
        </w:tc>
        <w:tc>
          <w:tcPr>
            <w:tcW w:w="340" w:type="dxa"/>
            <w:vAlign w:val="bottom"/>
          </w:tcPr>
          <w:p>
            <w:pPr>
              <w:spacing w:after="0"/>
              <w:rPr>
                <w:sz w:val="20"/>
                <w:szCs w:val="20"/>
                <w:color w:val="auto"/>
              </w:rPr>
            </w:pPr>
          </w:p>
        </w:tc>
        <w:tc>
          <w:tcPr>
            <w:tcW w:w="19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(1,994,685)</w:t>
            </w:r>
          </w:p>
        </w:tc>
        <w:tc>
          <w:tcPr>
            <w:tcW w:w="220" w:type="dxa"/>
            <w:vAlign w:val="bottom"/>
          </w:tcPr>
          <w:p>
            <w:pPr>
              <w:spacing w:after="0"/>
              <w:rPr>
                <w:sz w:val="20"/>
                <w:szCs w:val="20"/>
                <w:color w:val="auto"/>
              </w:rPr>
            </w:pPr>
          </w:p>
        </w:tc>
        <w:tc>
          <w:tcPr>
            <w:tcW w:w="1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(2,111,053)</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(2,035,337)</w:t>
            </w:r>
          </w:p>
        </w:tc>
        <w:tc>
          <w:tcPr>
            <w:tcW w:w="0" w:type="dxa"/>
            <w:vAlign w:val="bottom"/>
          </w:tcPr>
          <w:p>
            <w:pPr>
              <w:spacing w:after="0"/>
              <w:rPr>
                <w:sz w:val="1"/>
                <w:szCs w:val="1"/>
                <w:color w:val="auto"/>
              </w:rPr>
            </w:pPr>
          </w:p>
        </w:tc>
      </w:tr>
      <w:tr>
        <w:trPr>
          <w:trHeight w:val="216"/>
        </w:trPr>
        <w:tc>
          <w:tcPr>
            <w:tcW w:w="47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Goodwill impairment</w:t>
            </w:r>
          </w:p>
        </w:tc>
        <w:tc>
          <w:tcPr>
            <w:tcW w:w="340" w:type="dxa"/>
            <w:vAlign w:val="bottom"/>
            <w:shd w:val="clear" w:color="auto" w:fill="CFF0FC"/>
          </w:tcPr>
          <w:p>
            <w:pPr>
              <w:spacing w:after="0"/>
              <w:rPr>
                <w:sz w:val="18"/>
                <w:szCs w:val="18"/>
                <w:color w:val="auto"/>
              </w:rPr>
            </w:pPr>
          </w:p>
        </w:tc>
        <w:tc>
          <w:tcPr>
            <w:tcW w:w="194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8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(1,222,524)</w:t>
            </w:r>
          </w:p>
        </w:tc>
        <w:tc>
          <w:tcPr>
            <w:tcW w:w="0" w:type="dxa"/>
            <w:vAlign w:val="bottom"/>
          </w:tcPr>
          <w:p>
            <w:pPr>
              <w:spacing w:after="0"/>
              <w:rPr>
                <w:sz w:val="1"/>
                <w:szCs w:val="1"/>
                <w:color w:val="auto"/>
              </w:rPr>
            </w:pPr>
          </w:p>
        </w:tc>
      </w:tr>
      <w:tr>
        <w:trPr>
          <w:trHeight w:val="216"/>
        </w:trPr>
        <w:tc>
          <w:tcPr>
            <w:tcW w:w="4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Interest income</w:t>
            </w:r>
          </w:p>
        </w:tc>
        <w:tc>
          <w:tcPr>
            <w:tcW w:w="3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6,305</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shd w:val="clear" w:color="auto" w:fill="CFF0FC"/>
          </w:tcPr>
          <w:p>
            <w:pPr>
              <w:spacing w:after="0"/>
              <w:rPr>
                <w:sz w:val="18"/>
                <w:szCs w:val="18"/>
                <w:color w:val="auto"/>
              </w:rPr>
            </w:pPr>
          </w:p>
        </w:tc>
        <w:tc>
          <w:tcPr>
            <w:tcW w:w="19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(131,199)</w:t>
            </w:r>
          </w:p>
        </w:tc>
        <w:tc>
          <w:tcPr>
            <w:tcW w:w="220" w:type="dxa"/>
            <w:vAlign w:val="bottom"/>
            <w:shd w:val="clear" w:color="auto" w:fill="CFF0FC"/>
          </w:tcPr>
          <w:p>
            <w:pPr>
              <w:spacing w:after="0"/>
              <w:rPr>
                <w:sz w:val="18"/>
                <w:szCs w:val="18"/>
                <w:color w:val="auto"/>
              </w:rPr>
            </w:pPr>
          </w:p>
        </w:tc>
        <w:tc>
          <w:tcPr>
            <w:tcW w:w="18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(143,531)</w:t>
            </w: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(150,909)</w:t>
            </w:r>
          </w:p>
        </w:tc>
        <w:tc>
          <w:tcPr>
            <w:tcW w:w="0" w:type="dxa"/>
            <w:vAlign w:val="bottom"/>
          </w:tcPr>
          <w:p>
            <w:pPr>
              <w:spacing w:after="0"/>
              <w:rPr>
                <w:sz w:val="1"/>
                <w:szCs w:val="1"/>
                <w:color w:val="auto"/>
              </w:rPr>
            </w:pPr>
          </w:p>
        </w:tc>
      </w:tr>
      <w:tr>
        <w:trPr>
          <w:trHeight w:val="198"/>
        </w:trPr>
        <w:tc>
          <w:tcPr>
            <w:tcW w:w="4720" w:type="dxa"/>
            <w:vAlign w:val="bottom"/>
          </w:tcPr>
          <w:p>
            <w:pPr>
              <w:ind w:left="100"/>
              <w:spacing w:after="0" w:line="198" w:lineRule="exact"/>
              <w:rPr>
                <w:sz w:val="20"/>
                <w:szCs w:val="20"/>
                <w:color w:val="auto"/>
              </w:rPr>
            </w:pPr>
            <w:r>
              <w:rPr>
                <w:rFonts w:ascii="Times New Roman" w:cs="Times New Roman" w:eastAsia="Times New Roman" w:hAnsi="Times New Roman"/>
                <w:sz w:val="18"/>
                <w:szCs w:val="18"/>
                <w:color w:val="auto"/>
              </w:rPr>
              <w:t>Loss on partial</w:t>
            </w:r>
          </w:p>
        </w:tc>
        <w:tc>
          <w:tcPr>
            <w:tcW w:w="3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extinguishment of debt</w:t>
            </w:r>
          </w:p>
        </w:tc>
        <w:tc>
          <w:tcPr>
            <w:tcW w:w="340" w:type="dxa"/>
            <w:vAlign w:val="bottom"/>
          </w:tcPr>
          <w:p>
            <w:pPr>
              <w:spacing w:after="0"/>
              <w:rPr>
                <w:sz w:val="20"/>
                <w:szCs w:val="20"/>
                <w:color w:val="auto"/>
              </w:rPr>
            </w:pPr>
          </w:p>
        </w:tc>
        <w:tc>
          <w:tcPr>
            <w:tcW w:w="19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(565)</w:t>
            </w:r>
          </w:p>
        </w:tc>
        <w:tc>
          <w:tcPr>
            <w:tcW w:w="220" w:type="dxa"/>
            <w:vAlign w:val="bottom"/>
          </w:tcPr>
          <w:p>
            <w:pPr>
              <w:spacing w:after="0"/>
              <w:rPr>
                <w:sz w:val="20"/>
                <w:szCs w:val="20"/>
                <w:color w:val="auto"/>
              </w:rPr>
            </w:pPr>
          </w:p>
        </w:tc>
        <w:tc>
          <w:tcPr>
            <w:tcW w:w="1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(920)</w:t>
            </w:r>
          </w:p>
        </w:tc>
        <w:tc>
          <w:tcPr>
            <w:tcW w:w="0" w:type="dxa"/>
            <w:vAlign w:val="bottom"/>
          </w:tcPr>
          <w:p>
            <w:pPr>
              <w:spacing w:after="0"/>
              <w:rPr>
                <w:sz w:val="1"/>
                <w:szCs w:val="1"/>
                <w:color w:val="auto"/>
              </w:rPr>
            </w:pPr>
          </w:p>
        </w:tc>
      </w:tr>
      <w:tr>
        <w:trPr>
          <w:trHeight w:val="216"/>
        </w:trPr>
        <w:tc>
          <w:tcPr>
            <w:tcW w:w="47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Other non-operating income</w:t>
            </w:r>
          </w:p>
        </w:tc>
        <w:tc>
          <w:tcPr>
            <w:tcW w:w="340" w:type="dxa"/>
            <w:vAlign w:val="bottom"/>
            <w:shd w:val="clear" w:color="auto" w:fill="CFF0FC"/>
          </w:tcPr>
          <w:p>
            <w:pPr>
              <w:spacing w:after="0"/>
              <w:rPr>
                <w:sz w:val="18"/>
                <w:szCs w:val="18"/>
                <w:color w:val="auto"/>
              </w:rPr>
            </w:pPr>
          </w:p>
        </w:tc>
        <w:tc>
          <w:tcPr>
            <w:tcW w:w="194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4,800</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4,727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340" w:type="dxa"/>
            <w:vAlign w:val="bottom"/>
          </w:tcPr>
          <w:p>
            <w:pPr>
              <w:spacing w:after="0"/>
              <w:rPr>
                <w:sz w:val="18"/>
                <w:szCs w:val="18"/>
                <w:color w:val="auto"/>
              </w:rPr>
            </w:pPr>
          </w:p>
        </w:tc>
        <w:tc>
          <w:tcPr>
            <w:tcW w:w="19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(6,266)</w:t>
            </w:r>
          </w:p>
        </w:tc>
        <w:tc>
          <w:tcPr>
            <w:tcW w:w="2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720" w:type="dxa"/>
            <w:vAlign w:val="bottom"/>
            <w:shd w:val="clear" w:color="auto" w:fill="CFF0FC"/>
          </w:tcPr>
          <w:p>
            <w:pPr>
              <w:ind w:left="100"/>
              <w:spacing w:after="0" w:line="198" w:lineRule="exact"/>
              <w:rPr>
                <w:sz w:val="20"/>
                <w:szCs w:val="20"/>
                <w:color w:val="auto"/>
              </w:rPr>
            </w:pPr>
            <w:r>
              <w:rPr>
                <w:rFonts w:ascii="Times New Roman" w:cs="Times New Roman" w:eastAsia="Times New Roman" w:hAnsi="Times New Roman"/>
                <w:sz w:val="18"/>
                <w:szCs w:val="18"/>
                <w:color w:val="auto"/>
              </w:rPr>
              <w:t>Income from equity method</w:t>
            </w:r>
          </w:p>
        </w:tc>
        <w:tc>
          <w:tcPr>
            <w:tcW w:w="340" w:type="dxa"/>
            <w:vAlign w:val="bottom"/>
            <w:shd w:val="clear" w:color="auto" w:fill="CFF0FC"/>
          </w:tcPr>
          <w:p>
            <w:pPr>
              <w:spacing w:after="0"/>
              <w:rPr>
                <w:sz w:val="17"/>
                <w:szCs w:val="17"/>
                <w:color w:val="auto"/>
              </w:rPr>
            </w:pPr>
          </w:p>
        </w:tc>
        <w:tc>
          <w:tcPr>
            <w:tcW w:w="15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20,358</w:t>
            </w:r>
          </w:p>
        </w:tc>
        <w:tc>
          <w:tcPr>
            <w:tcW w:w="3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18,669</w:t>
            </w: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5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16,188</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472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investees</w:t>
            </w:r>
          </w:p>
        </w:tc>
        <w:tc>
          <w:tcPr>
            <w:tcW w:w="340" w:type="dxa"/>
            <w:vAlign w:val="bottom"/>
            <w:tcBorders>
              <w:bottom w:val="single" w:sz="8" w:color="auto"/>
            </w:tcBorders>
            <w:shd w:val="clear" w:color="auto" w:fill="CFF0FC"/>
          </w:tcPr>
          <w:p>
            <w:pPr>
              <w:spacing w:after="0"/>
              <w:rPr>
                <w:sz w:val="19"/>
                <w:szCs w:val="19"/>
                <w:color w:val="auto"/>
              </w:rPr>
            </w:pPr>
          </w:p>
        </w:tc>
        <w:tc>
          <w:tcPr>
            <w:tcW w:w="1580" w:type="dxa"/>
            <w:vAlign w:val="bottom"/>
            <w:tcBorders>
              <w:bottom w:val="single" w:sz="8" w:color="auto"/>
            </w:tcBorders>
            <w:vMerge w:val="continue"/>
            <w:shd w:val="clear" w:color="auto" w:fill="CFF0FC"/>
          </w:tcPr>
          <w:p>
            <w:pPr>
              <w:spacing w:after="0"/>
              <w:rPr>
                <w:sz w:val="19"/>
                <w:szCs w:val="19"/>
                <w:color w:val="auto"/>
              </w:rPr>
            </w:pPr>
          </w:p>
        </w:tc>
        <w:tc>
          <w:tcPr>
            <w:tcW w:w="3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680" w:type="dxa"/>
            <w:vAlign w:val="bottom"/>
            <w:tcBorders>
              <w:bottom w:val="single" w:sz="8" w:color="auto"/>
            </w:tcBorders>
            <w:vMerge w:val="continue"/>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580" w:type="dxa"/>
            <w:vAlign w:val="bottom"/>
            <w:tcBorders>
              <w:bottom w:val="single" w:sz="8" w:color="auto"/>
            </w:tcBorders>
            <w:vMerge w:val="continue"/>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Consolidated net income (loss)</w:t>
            </w: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9,066</w:t>
            </w:r>
          </w:p>
        </w:tc>
        <w:tc>
          <w:tcPr>
            <w:tcW w:w="36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(101,816)</w:t>
            </w: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(1,280,210)</w:t>
            </w: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-170815</wp:posOffset>
            </wp:positionV>
            <wp:extent cx="76835"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-170815</wp:posOffset>
            </wp:positionV>
            <wp:extent cx="68580"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6" w:lineRule="exact"/>
        <w:rPr>
          <w:sz w:val="20"/>
          <w:szCs w:val="20"/>
          <w:color w:val="auto"/>
        </w:rPr>
      </w:pPr>
    </w:p>
    <w:p>
      <w:pPr>
        <w:ind w:left="1020" w:right="140" w:hanging="503"/>
        <w:spacing w:after="0" w:line="281" w:lineRule="auto"/>
        <w:tabs>
          <w:tab w:leader="none" w:pos="102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general &amp; administrative expenses include pet care center expenses, support center labor and occupancy costs, legal, accounting, information technology, and consulting costs, and depreciation and amortization.</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7" w:name="page98"/>
    <w:bookmarkEnd w:id="97"/>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1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Management’s Evaluation of Disclosure Controls and Procedures</w:t>
      </w:r>
    </w:p>
    <w:p>
      <w:pPr>
        <w:spacing w:after="0" w:line="229"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We maintain disclosure controls and procedures that are designed to ensure that information required to be disclosed in the reports that we file or submit under the Exchange Act,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timely decisions regarding required financial disclosure.</w:t>
      </w:r>
    </w:p>
    <w:p>
      <w:pPr>
        <w:spacing w:after="0" w:line="180"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As of the end of the period covered by this Annual Report on Form 10-K, our management, under the supervision and with the participation of our principal executive officer and principal financial officer, evaluated the effectiveness of our disclosure controls and procedures pursuant to Exchange Act Rules 13a-15(e) and 15d-15(e). Based upon this evaluation, our principal executive officer and principal financial officer concluded that our disclosure controls and procedures were effective at a reasonable assurance level as of January 31, 2026.</w:t>
      </w:r>
    </w:p>
    <w:p>
      <w:pPr>
        <w:spacing w:after="0" w:line="17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Management’s Annual Report on Internal Control Over Financial Reporting</w:t>
      </w:r>
    </w:p>
    <w:p>
      <w:pPr>
        <w:spacing w:after="0" w:line="229"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Management is responsible for establishing and maintaining adequate internal control over financial reporting, as defined in Rule 13a-15(f) of the Exchange Act. Management has assessed the effectiveness of our internal control over financial reporting as of January 31, 2026 based on criteria established in Internal Control — Integrated Framework (2013) issued by the Committee of Sponsoring Organizations of the Treadway Commission. As a result of this assessment, management concluded that, as of January 31, 2026, we maintained effective internal control over financial reporting.</w:t>
      </w:r>
    </w:p>
    <w:p>
      <w:pPr>
        <w:spacing w:after="0" w:line="180"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The effectiveness of our internal control over financial reporting as of January 31, 2026 has been audited by Ernst &amp; Young LLP, an independent registered public accounting firm, as stated in their report that appears under Part II, Item 8 of this Annual Report on Form 10-K.</w:t>
      </w:r>
    </w:p>
    <w:p>
      <w:pPr>
        <w:spacing w:after="0" w:line="15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There was no change in our internal control over financial reporting that occurred during the quarter ended January 31, 2026, which has materially affected, or is reasonably likely to materially affect, our internal control over financial reporting.</w:t>
      </w:r>
    </w:p>
    <w:p>
      <w:pPr>
        <w:spacing w:after="0" w:line="15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Limitations on the Effectiveness of Controls</w:t>
      </w:r>
    </w:p>
    <w:p>
      <w:pPr>
        <w:spacing w:after="0" w:line="229"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Our disclosure controls and procedures and internal control over financial reporting are designed to provide reasonable assurance of achieving their objectives as specified above. Management does not expect, however, that our disclosure controls and procedures will prevent or detect all error and fraud. Any control system, no matter how well designed and operated, is based on certain assumptions and can provide only reasonable, not absolute, assurance that its objectives will be met. Further, no evaluation of controls can provide absolute assurance that misstatements due to error or fraud will not occur or that all control issues and instances of fraud, if any, within the Company have been detected.</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29"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On November 28, 2025, our Chief Financial Officer, Sabrina Simmons, adopted a Rule 10b5-1 trading arrangement providing for the potential sale of up to 957,398 shares of Class A common stock through November 2026, subject to specified price conditions.</w:t>
      </w:r>
    </w:p>
    <w:p>
      <w:pPr>
        <w:spacing w:after="0" w:line="37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98" w:name="page99"/>
    <w:bookmarkEnd w:id="98"/>
    <w:p>
      <w:pPr>
        <w:spacing w:after="0" w:line="194"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No other director or executive officer adopted, modified, or terminated any Rule 10b5-1 or non-Rule 10b5-1 trading arrangements (as such terms are defined in Item 408 of Regulation S-K) during the quarter ended January 31, 2026.</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12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9" w:name="page100"/>
    <w:bookmarkEnd w:id="99"/>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21" w:lineRule="exact"/>
        <w:rPr>
          <w:sz w:val="20"/>
          <w:szCs w:val="20"/>
          <w:color w:val="auto"/>
        </w:rPr>
      </w:pPr>
    </w:p>
    <w:p>
      <w:pPr>
        <w:ind w:firstLine="576"/>
        <w:spacing w:after="0" w:line="266" w:lineRule="auto"/>
        <w:rPr>
          <w:sz w:val="20"/>
          <w:szCs w:val="20"/>
          <w:color w:val="auto"/>
        </w:rPr>
      </w:pPr>
      <w:r>
        <w:rPr>
          <w:rFonts w:ascii="Times New Roman" w:cs="Times New Roman" w:eastAsia="Times New Roman" w:hAnsi="Times New Roman"/>
          <w:sz w:val="18"/>
          <w:szCs w:val="18"/>
          <w:color w:val="auto"/>
        </w:rPr>
        <w:t>Information responsive to this Item is incorporated herein by reference to our definitive proxy statement with respect to our 2026 annual meeting of stockholders to be filed with the SEC within 120 days after the end of our fiscal year covered by this Annual Report on Form 10-K (the “2026 Proxy Statement”).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Information responsive to this Item is incorporated herein by reference to the 2026 Proxy Statement.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2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Information responsive to this Item is incorporated herein by reference to the 2026 Proxy Statement.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r>
        <w:rPr>
          <w:rFonts w:ascii="Times New Roman" w:cs="Times New Roman" w:eastAsia="Times New Roman" w:hAnsi="Times New Roman"/>
          <w:sz w:val="18"/>
          <w:szCs w:val="18"/>
          <w:color w:val="auto"/>
        </w:rPr>
        <w:t>.</w:t>
      </w:r>
    </w:p>
    <w:p>
      <w:pPr>
        <w:spacing w:after="0" w:line="33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Information responsive to this Item is incorporated herein by reference to the 2026 Proxy Statement.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22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Information responsive to this Item is incorporated herein by reference to the 2026 Proxy Statement.</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100" w:name="page101"/>
    <w:bookmarkEnd w:id="100"/>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Financial Statement Schedules.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Financial Statements</w:t>
      </w:r>
    </w:p>
    <w:p>
      <w:pPr>
        <w:spacing w:after="0" w:line="121"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As part of this Annual Report on Form 10-K, the consolidated financial statements are listed in the accompanying index to financial statements on page 62.</w:t>
      </w:r>
    </w:p>
    <w:p>
      <w:pPr>
        <w:spacing w:after="0" w:line="266" w:lineRule="exact"/>
        <w:rPr>
          <w:sz w:val="20"/>
          <w:szCs w:val="20"/>
          <w:color w:val="auto"/>
        </w:rPr>
      </w:pPr>
    </w:p>
    <w:p>
      <w:pPr>
        <w:ind w:left="520" w:right="8700" w:hanging="512"/>
        <w:spacing w:after="0" w:line="412" w:lineRule="auto"/>
        <w:tabs>
          <w:tab w:leader="none" w:pos="191"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Financial Statement Schedules </w:t>
      </w:r>
      <w:r>
        <w:rPr>
          <w:rFonts w:ascii="Times New Roman" w:cs="Times New Roman" w:eastAsia="Times New Roman" w:hAnsi="Times New Roman"/>
          <w:sz w:val="18"/>
          <w:szCs w:val="18"/>
          <w:color w:val="auto"/>
        </w:rPr>
        <w:t>Not applicable.</w:t>
      </w:r>
    </w:p>
    <w:p>
      <w:pPr>
        <w:spacing w:after="0" w:line="153" w:lineRule="exact"/>
        <w:rPr>
          <w:rFonts w:ascii="Times New Roman" w:cs="Times New Roman" w:eastAsia="Times New Roman" w:hAnsi="Times New Roman"/>
          <w:sz w:val="18"/>
          <w:szCs w:val="18"/>
          <w:b w:val="1"/>
          <w:bCs w:val="1"/>
          <w:color w:val="auto"/>
        </w:rPr>
      </w:pPr>
    </w:p>
    <w:p>
      <w:pPr>
        <w:ind w:left="180" w:hanging="172"/>
        <w:spacing w:after="0"/>
        <w:tabs>
          <w:tab w:leader="none" w:pos="18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Exhibit Index</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is a list of exhibits filed as part of this Annual Report on Form 10-K or are incorporated herein by reference:</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60" w:type="dxa"/>
            <w:vAlign w:val="bottom"/>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060" w:type="dxa"/>
            <w:vAlign w:val="bottom"/>
          </w:tcPr>
          <w:p>
            <w:pPr>
              <w:spacing w:after="0"/>
              <w:rPr>
                <w:sz w:val="13"/>
                <w:szCs w:val="13"/>
                <w:color w:val="auto"/>
              </w:rPr>
            </w:pPr>
          </w:p>
        </w:tc>
        <w:tc>
          <w:tcPr>
            <w:tcW w:w="5820" w:type="dxa"/>
            <w:vAlign w:val="bottom"/>
            <w:gridSpan w:val="18"/>
            <w:vMerge w:val="restart"/>
          </w:tcPr>
          <w:p>
            <w:pPr>
              <w:ind w:left="5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136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4060" w:type="dxa"/>
            <w:vAlign w:val="bottom"/>
            <w:tcBorders>
              <w:bottom w:val="single" w:sz="8" w:color="auto"/>
            </w:tcBorders>
          </w:tcPr>
          <w:p>
            <w:pPr>
              <w:spacing w:after="0"/>
              <w:rPr>
                <w:sz w:val="15"/>
                <w:szCs w:val="15"/>
                <w:color w:val="auto"/>
              </w:rPr>
            </w:pPr>
          </w:p>
        </w:tc>
        <w:tc>
          <w:tcPr>
            <w:tcW w:w="5820" w:type="dxa"/>
            <w:vAlign w:val="bottom"/>
            <w:tcBorders>
              <w:bottom w:val="single" w:sz="8" w:color="auto"/>
            </w:tcBorders>
            <w:gridSpan w:val="18"/>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85"/>
        </w:trPr>
        <w:tc>
          <w:tcPr>
            <w:tcW w:w="1360" w:type="dxa"/>
            <w:vAlign w:val="bottom"/>
          </w:tcPr>
          <w:p>
            <w:pPr>
              <w:jc w:val="right"/>
              <w:ind w:right="853"/>
              <w:spacing w:after="0"/>
              <w:rPr>
                <w:sz w:val="20"/>
                <w:szCs w:val="20"/>
                <w:color w:val="auto"/>
              </w:rPr>
            </w:pPr>
            <w:r>
              <w:rPr>
                <w:rFonts w:ascii="Times New Roman" w:cs="Times New Roman" w:eastAsia="Times New Roman" w:hAnsi="Times New Roman"/>
                <w:sz w:val="18"/>
                <w:szCs w:val="18"/>
                <w:color w:val="auto"/>
              </w:rPr>
              <w:t>3.1</w:t>
            </w:r>
          </w:p>
        </w:tc>
        <w:tc>
          <w:tcPr>
            <w:tcW w:w="9740" w:type="dxa"/>
            <w:vAlign w:val="bottom"/>
            <w:tcBorders>
              <w:bottom w:val="single" w:sz="8" w:color="0000EE"/>
            </w:tcBorders>
            <w:gridSpan w:val="17"/>
          </w:tcPr>
          <w:p>
            <w:pPr>
              <w:spacing w:after="0"/>
              <w:rPr>
                <w:rFonts w:ascii="Times New Roman" w:cs="Times New Roman" w:eastAsia="Times New Roman" w:hAnsi="Times New Roman"/>
                <w:sz w:val="18"/>
                <w:szCs w:val="18"/>
                <w:color w:val="0000FF"/>
              </w:rPr>
            </w:pPr>
            <w:hyperlink r:id="rId379">
              <w:r>
                <w:rPr>
                  <w:rFonts w:ascii="Times New Roman" w:cs="Times New Roman" w:eastAsia="Times New Roman" w:hAnsi="Times New Roman"/>
                  <w:sz w:val="18"/>
                  <w:szCs w:val="18"/>
                  <w:color w:val="0000FF"/>
                </w:rPr>
                <w:t>Second Amended and Restated Certificate of Incorporation of Petco Health and Wellness Company, Inc. (incorporated by reference to</w:t>
              </w:r>
            </w:hyperlink>
          </w:p>
        </w:tc>
        <w:tc>
          <w:tcPr>
            <w:tcW w:w="14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9880" w:type="dxa"/>
            <w:vAlign w:val="bottom"/>
            <w:gridSpan w:val="19"/>
          </w:tcPr>
          <w:p>
            <w:pPr>
              <w:spacing w:after="0" w:line="196" w:lineRule="exact"/>
              <w:rPr>
                <w:rFonts w:ascii="Times New Roman" w:cs="Times New Roman" w:eastAsia="Times New Roman" w:hAnsi="Times New Roman"/>
                <w:sz w:val="18"/>
                <w:szCs w:val="18"/>
                <w:color w:val="0000FF"/>
              </w:rPr>
            </w:pPr>
            <w:hyperlink r:id="rId379">
              <w:r>
                <w:rPr>
                  <w:rFonts w:ascii="Times New Roman" w:cs="Times New Roman" w:eastAsia="Times New Roman" w:hAnsi="Times New Roman"/>
                  <w:sz w:val="18"/>
                  <w:szCs w:val="18"/>
                  <w:color w:val="0000FF"/>
                </w:rPr>
                <w:t>Exhibit 3.1 of the Company’s Current Report on Form 8-K, filed on January 19, 2021)</w:t>
              </w:r>
            </w:hyperlink>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40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4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360" w:type="dxa"/>
            <w:vAlign w:val="bottom"/>
          </w:tcPr>
          <w:p>
            <w:pPr>
              <w:jc w:val="right"/>
              <w:ind w:right="853"/>
              <w:spacing w:after="0"/>
              <w:rPr>
                <w:sz w:val="20"/>
                <w:szCs w:val="20"/>
                <w:color w:val="auto"/>
              </w:rPr>
            </w:pPr>
            <w:r>
              <w:rPr>
                <w:rFonts w:ascii="Times New Roman" w:cs="Times New Roman" w:eastAsia="Times New Roman" w:hAnsi="Times New Roman"/>
                <w:sz w:val="18"/>
                <w:szCs w:val="18"/>
                <w:color w:val="auto"/>
              </w:rPr>
              <w:t>3.2</w:t>
            </w:r>
          </w:p>
        </w:tc>
        <w:tc>
          <w:tcPr>
            <w:tcW w:w="9660" w:type="dxa"/>
            <w:vAlign w:val="bottom"/>
            <w:tcBorders>
              <w:bottom w:val="single" w:sz="8" w:color="0000EE"/>
            </w:tcBorders>
            <w:gridSpan w:val="16"/>
          </w:tcPr>
          <w:p>
            <w:pPr>
              <w:spacing w:after="0"/>
              <w:rPr>
                <w:rFonts w:ascii="Times New Roman" w:cs="Times New Roman" w:eastAsia="Times New Roman" w:hAnsi="Times New Roman"/>
                <w:sz w:val="18"/>
                <w:szCs w:val="18"/>
                <w:color w:val="0000FF"/>
              </w:rPr>
            </w:pPr>
            <w:hyperlink r:id="rId380">
              <w:r>
                <w:rPr>
                  <w:rFonts w:ascii="Times New Roman" w:cs="Times New Roman" w:eastAsia="Times New Roman" w:hAnsi="Times New Roman"/>
                  <w:sz w:val="18"/>
                  <w:szCs w:val="18"/>
                  <w:color w:val="0000FF"/>
                </w:rPr>
                <w:t>Certificate of Amendment to the Second Amended and Restated Certificate of Incorporation of Petco Health and Wellness Company,</w:t>
              </w:r>
            </w:hyperlink>
          </w:p>
        </w:tc>
        <w:tc>
          <w:tcPr>
            <w:tcW w:w="22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844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FF"/>
                <w:w w:val="99"/>
              </w:rPr>
            </w:pPr>
            <w:hyperlink r:id="rId380">
              <w:r>
                <w:rPr>
                  <w:rFonts w:ascii="Times New Roman" w:cs="Times New Roman" w:eastAsia="Times New Roman" w:hAnsi="Times New Roman"/>
                  <w:sz w:val="18"/>
                  <w:szCs w:val="18"/>
                  <w:color w:val="0000FF"/>
                  <w:w w:val="99"/>
                </w:rPr>
                <w:t>Inc. (incorporated by reference to Exhibit 3.1 of the Company's Current Report on Form 8-K, filed on June 23, 2023)</w:t>
              </w:r>
            </w:hyperlink>
          </w:p>
        </w:tc>
        <w:tc>
          <w:tcPr>
            <w:tcW w:w="144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317"/>
        </w:trPr>
        <w:tc>
          <w:tcPr>
            <w:tcW w:w="1360" w:type="dxa"/>
            <w:vAlign w:val="bottom"/>
          </w:tcPr>
          <w:p>
            <w:pPr>
              <w:jc w:val="right"/>
              <w:ind w:right="853"/>
              <w:spacing w:after="0"/>
              <w:rPr>
                <w:sz w:val="20"/>
                <w:szCs w:val="20"/>
                <w:color w:val="auto"/>
              </w:rPr>
            </w:pPr>
            <w:r>
              <w:rPr>
                <w:rFonts w:ascii="Times New Roman" w:cs="Times New Roman" w:eastAsia="Times New Roman" w:hAnsi="Times New Roman"/>
                <w:sz w:val="18"/>
                <w:szCs w:val="18"/>
                <w:color w:val="auto"/>
              </w:rPr>
              <w:t>3.3</w:t>
            </w:r>
          </w:p>
        </w:tc>
        <w:tc>
          <w:tcPr>
            <w:tcW w:w="9460" w:type="dxa"/>
            <w:vAlign w:val="bottom"/>
            <w:tcBorders>
              <w:bottom w:val="single" w:sz="8" w:color="0000EE"/>
            </w:tcBorders>
            <w:gridSpan w:val="11"/>
          </w:tcPr>
          <w:p>
            <w:pPr>
              <w:spacing w:after="0"/>
              <w:rPr>
                <w:rFonts w:ascii="Times New Roman" w:cs="Times New Roman" w:eastAsia="Times New Roman" w:hAnsi="Times New Roman"/>
                <w:sz w:val="18"/>
                <w:szCs w:val="18"/>
                <w:color w:val="0000FF"/>
              </w:rPr>
            </w:pPr>
            <w:hyperlink r:id="rId381">
              <w:r>
                <w:rPr>
                  <w:rFonts w:ascii="Times New Roman" w:cs="Times New Roman" w:eastAsia="Times New Roman" w:hAnsi="Times New Roman"/>
                  <w:sz w:val="18"/>
                  <w:szCs w:val="18"/>
                  <w:color w:val="0000FF"/>
                </w:rPr>
                <w:t>Third Amended and Restated Bylaws of Petco Health and Wellness Company, Inc. (incorporated by reference to Exhibit 3.1 of the</w:t>
              </w:r>
            </w:hyperlink>
          </w:p>
        </w:tc>
        <w:tc>
          <w:tcPr>
            <w:tcW w:w="42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9880" w:type="dxa"/>
            <w:vAlign w:val="bottom"/>
            <w:gridSpan w:val="19"/>
          </w:tcPr>
          <w:p>
            <w:pPr>
              <w:spacing w:after="0" w:line="196" w:lineRule="exact"/>
              <w:rPr>
                <w:rFonts w:ascii="Times New Roman" w:cs="Times New Roman" w:eastAsia="Times New Roman" w:hAnsi="Times New Roman"/>
                <w:sz w:val="18"/>
                <w:szCs w:val="18"/>
                <w:color w:val="0000FF"/>
              </w:rPr>
            </w:pPr>
            <w:hyperlink r:id="rId381">
              <w:r>
                <w:rPr>
                  <w:rFonts w:ascii="Times New Roman" w:cs="Times New Roman" w:eastAsia="Times New Roman" w:hAnsi="Times New Roman"/>
                  <w:sz w:val="18"/>
                  <w:szCs w:val="18"/>
                  <w:color w:val="0000FF"/>
                </w:rPr>
                <w:t>Company’s Quarterly Report on Form 10-Q for the quarter ended November 1, 2025)</w:t>
              </w:r>
            </w:hyperlink>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40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4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360" w:type="dxa"/>
            <w:vAlign w:val="bottom"/>
          </w:tcPr>
          <w:p>
            <w:pPr>
              <w:jc w:val="right"/>
              <w:ind w:right="853"/>
              <w:spacing w:after="0"/>
              <w:rPr>
                <w:sz w:val="20"/>
                <w:szCs w:val="20"/>
                <w:color w:val="auto"/>
              </w:rPr>
            </w:pPr>
            <w:r>
              <w:rPr>
                <w:rFonts w:ascii="Times New Roman" w:cs="Times New Roman" w:eastAsia="Times New Roman" w:hAnsi="Times New Roman"/>
                <w:sz w:val="18"/>
                <w:szCs w:val="18"/>
                <w:color w:val="auto"/>
              </w:rPr>
              <w:t>4.1</w:t>
            </w:r>
          </w:p>
        </w:tc>
        <w:tc>
          <w:tcPr>
            <w:tcW w:w="9620" w:type="dxa"/>
            <w:vAlign w:val="bottom"/>
            <w:tcBorders>
              <w:bottom w:val="single" w:sz="8" w:color="0000EE"/>
            </w:tcBorders>
            <w:gridSpan w:val="15"/>
          </w:tcPr>
          <w:p>
            <w:pPr>
              <w:spacing w:after="0"/>
              <w:rPr>
                <w:rFonts w:ascii="Times New Roman" w:cs="Times New Roman" w:eastAsia="Times New Roman" w:hAnsi="Times New Roman"/>
                <w:sz w:val="18"/>
                <w:szCs w:val="18"/>
                <w:color w:val="0000FF"/>
              </w:rPr>
            </w:pPr>
            <w:hyperlink r:id="rId382">
              <w:r>
                <w:rPr>
                  <w:rFonts w:ascii="Times New Roman" w:cs="Times New Roman" w:eastAsia="Times New Roman" w:hAnsi="Times New Roman"/>
                  <w:sz w:val="18"/>
                  <w:szCs w:val="18"/>
                  <w:color w:val="0000FF"/>
                </w:rPr>
                <w:t>Registration Rights Agreement, dated as of January 19, 2021, by and between Petco Health and Wellness Company, Inc. and Scooby</w:t>
              </w:r>
            </w:hyperlink>
          </w:p>
        </w:tc>
        <w:tc>
          <w:tcPr>
            <w:tcW w:w="26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954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FF"/>
                <w:w w:val="99"/>
              </w:rPr>
            </w:pPr>
            <w:hyperlink r:id="rId382">
              <w:r>
                <w:rPr>
                  <w:rFonts w:ascii="Times New Roman" w:cs="Times New Roman" w:eastAsia="Times New Roman" w:hAnsi="Times New Roman"/>
                  <w:sz w:val="18"/>
                  <w:szCs w:val="18"/>
                  <w:color w:val="0000FF"/>
                  <w:w w:val="99"/>
                </w:rPr>
                <w:t>Aggregator, LP (incorporated by reference to Exhibit 4.1 of the Company’s Current Report on Form 8-K, filed on January 19, 2021)</w:t>
              </w:r>
            </w:hyperlink>
          </w:p>
        </w:tc>
        <w:tc>
          <w:tcPr>
            <w:tcW w:w="34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360" w:type="dxa"/>
            <w:vAlign w:val="bottom"/>
          </w:tcPr>
          <w:p>
            <w:pPr>
              <w:jc w:val="right"/>
              <w:ind w:right="853"/>
              <w:spacing w:after="0"/>
              <w:rPr>
                <w:sz w:val="20"/>
                <w:szCs w:val="20"/>
                <w:color w:val="auto"/>
              </w:rPr>
            </w:pPr>
            <w:r>
              <w:rPr>
                <w:rFonts w:ascii="Times New Roman" w:cs="Times New Roman" w:eastAsia="Times New Roman" w:hAnsi="Times New Roman"/>
                <w:sz w:val="18"/>
                <w:szCs w:val="18"/>
                <w:color w:val="auto"/>
              </w:rPr>
              <w:t>4.2</w:t>
            </w:r>
          </w:p>
        </w:tc>
        <w:tc>
          <w:tcPr>
            <w:tcW w:w="9240" w:type="dxa"/>
            <w:vAlign w:val="bottom"/>
            <w:tcBorders>
              <w:bottom w:val="single" w:sz="8" w:color="0000EE"/>
            </w:tcBorders>
            <w:gridSpan w:val="9"/>
          </w:tcPr>
          <w:p>
            <w:pPr>
              <w:spacing w:after="0"/>
              <w:rPr>
                <w:rFonts w:ascii="Times New Roman" w:cs="Times New Roman" w:eastAsia="Times New Roman" w:hAnsi="Times New Roman"/>
                <w:sz w:val="18"/>
                <w:szCs w:val="18"/>
                <w:color w:val="0000FF"/>
              </w:rPr>
            </w:pPr>
            <w:hyperlink r:id="rId383">
              <w:r>
                <w:rPr>
                  <w:rFonts w:ascii="Times New Roman" w:cs="Times New Roman" w:eastAsia="Times New Roman" w:hAnsi="Times New Roman"/>
                  <w:sz w:val="18"/>
                  <w:szCs w:val="18"/>
                  <w:color w:val="0000FF"/>
                </w:rPr>
                <w:t>Stockholder’s Agreement, dated as of January 19, 2021, by and between Petco Health and Wellness Company, Inc. and Scooby</w:t>
              </w:r>
            </w:hyperlink>
          </w:p>
        </w:tc>
        <w:tc>
          <w:tcPr>
            <w:tcW w:w="64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954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FF"/>
                <w:w w:val="99"/>
              </w:rPr>
            </w:pPr>
            <w:hyperlink r:id="rId383">
              <w:r>
                <w:rPr>
                  <w:rFonts w:ascii="Times New Roman" w:cs="Times New Roman" w:eastAsia="Times New Roman" w:hAnsi="Times New Roman"/>
                  <w:sz w:val="18"/>
                  <w:szCs w:val="18"/>
                  <w:color w:val="0000FF"/>
                  <w:w w:val="99"/>
                </w:rPr>
                <w:t>Aggregator, LP (incorporated by reference to Exhibit 4.2 of the Company’s Current Report on Form 8-K, filed on January 19, 2021)</w:t>
              </w:r>
            </w:hyperlink>
          </w:p>
        </w:tc>
        <w:tc>
          <w:tcPr>
            <w:tcW w:w="34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360" w:type="dxa"/>
            <w:vAlign w:val="bottom"/>
          </w:tcPr>
          <w:p>
            <w:pPr>
              <w:jc w:val="right"/>
              <w:ind w:right="853"/>
              <w:spacing w:after="0"/>
              <w:rPr>
                <w:sz w:val="20"/>
                <w:szCs w:val="20"/>
                <w:color w:val="auto"/>
              </w:rPr>
            </w:pPr>
            <w:r>
              <w:rPr>
                <w:rFonts w:ascii="Times New Roman" w:cs="Times New Roman" w:eastAsia="Times New Roman" w:hAnsi="Times New Roman"/>
                <w:sz w:val="18"/>
                <w:szCs w:val="18"/>
                <w:color w:val="auto"/>
              </w:rPr>
              <w:t>4.3</w:t>
            </w:r>
          </w:p>
        </w:tc>
        <w:tc>
          <w:tcPr>
            <w:tcW w:w="9200" w:type="dxa"/>
            <w:vAlign w:val="bottom"/>
            <w:tcBorders>
              <w:bottom w:val="single" w:sz="8" w:color="0000EE"/>
            </w:tcBorders>
            <w:gridSpan w:val="8"/>
          </w:tcPr>
          <w:p>
            <w:pPr>
              <w:spacing w:after="0"/>
              <w:rPr>
                <w:rFonts w:ascii="Times New Roman" w:cs="Times New Roman" w:eastAsia="Times New Roman" w:hAnsi="Times New Roman"/>
                <w:sz w:val="18"/>
                <w:szCs w:val="18"/>
                <w:color w:val="0000FF"/>
              </w:rPr>
            </w:pPr>
            <w:hyperlink r:id="rId384">
              <w:r>
                <w:rPr>
                  <w:rFonts w:ascii="Times New Roman" w:cs="Times New Roman" w:eastAsia="Times New Roman" w:hAnsi="Times New Roman"/>
                  <w:sz w:val="18"/>
                  <w:szCs w:val="18"/>
                  <w:color w:val="0000FF"/>
                </w:rPr>
                <w:t>Description of Securities registered pursuant to Section 12 of the Exchange Act (incorporated by reference to Exhibit 4.3 of the</w:t>
              </w:r>
            </w:hyperlink>
          </w:p>
        </w:tc>
        <w:tc>
          <w:tcPr>
            <w:tcW w:w="68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616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FF"/>
                <w:w w:val="99"/>
              </w:rPr>
            </w:pPr>
            <w:hyperlink r:id="rId384">
              <w:r>
                <w:rPr>
                  <w:rFonts w:ascii="Times New Roman" w:cs="Times New Roman" w:eastAsia="Times New Roman" w:hAnsi="Times New Roman"/>
                  <w:sz w:val="18"/>
                  <w:szCs w:val="18"/>
                  <w:color w:val="0000FF"/>
                  <w:w w:val="99"/>
                </w:rPr>
                <w:t>Company’s Annual Report on Form 10-K for the fiscal year ended January 31, 2021)</w:t>
              </w:r>
            </w:hyperlink>
          </w:p>
        </w:tc>
        <w:tc>
          <w:tcPr>
            <w:tcW w:w="372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360" w:type="dxa"/>
            <w:vAlign w:val="bottom"/>
          </w:tcPr>
          <w:p>
            <w:pPr>
              <w:jc w:val="right"/>
              <w:ind w:right="853"/>
              <w:spacing w:after="0"/>
              <w:rPr>
                <w:sz w:val="20"/>
                <w:szCs w:val="20"/>
                <w:color w:val="auto"/>
              </w:rPr>
            </w:pPr>
            <w:r>
              <w:rPr>
                <w:rFonts w:ascii="Times New Roman" w:cs="Times New Roman" w:eastAsia="Times New Roman" w:hAnsi="Times New Roman"/>
                <w:sz w:val="18"/>
                <w:szCs w:val="18"/>
                <w:color w:val="auto"/>
              </w:rPr>
              <w:t>4.4</w:t>
            </w:r>
          </w:p>
        </w:tc>
        <w:tc>
          <w:tcPr>
            <w:tcW w:w="9180" w:type="dxa"/>
            <w:vAlign w:val="bottom"/>
            <w:tcBorders>
              <w:bottom w:val="single" w:sz="8" w:color="0000EE"/>
            </w:tcBorders>
            <w:gridSpan w:val="7"/>
          </w:tcPr>
          <w:p>
            <w:pPr>
              <w:spacing w:after="0"/>
              <w:rPr>
                <w:rFonts w:ascii="Times New Roman" w:cs="Times New Roman" w:eastAsia="Times New Roman" w:hAnsi="Times New Roman"/>
                <w:sz w:val="18"/>
                <w:szCs w:val="18"/>
                <w:color w:val="0000FF"/>
              </w:rPr>
            </w:pPr>
            <w:hyperlink r:id="rId385">
              <w:r>
                <w:rPr>
                  <w:rFonts w:ascii="Times New Roman" w:cs="Times New Roman" w:eastAsia="Times New Roman" w:hAnsi="Times New Roman"/>
                  <w:sz w:val="18"/>
                  <w:szCs w:val="18"/>
                  <w:color w:val="0000FF"/>
                </w:rPr>
                <w:t>Indenture, dated February 2, 2026, among the Company, the guarantors party thereto, and U.S. Bank Trust Company, National</w:t>
              </w:r>
            </w:hyperlink>
          </w:p>
        </w:tc>
        <w:tc>
          <w:tcPr>
            <w:tcW w:w="70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924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FF"/>
                <w:w w:val="99"/>
              </w:rPr>
            </w:pPr>
            <w:hyperlink r:id="rId385">
              <w:r>
                <w:rPr>
                  <w:rFonts w:ascii="Times New Roman" w:cs="Times New Roman" w:eastAsia="Times New Roman" w:hAnsi="Times New Roman"/>
                  <w:sz w:val="18"/>
                  <w:szCs w:val="18"/>
                  <w:color w:val="0000FF"/>
                  <w:w w:val="99"/>
                </w:rPr>
                <w:t>Association (incorporated by reference to Exhibit 4.1 of the Company's Current Report on Form 8-K, filed on February 2, 2026)</w:t>
              </w:r>
            </w:hyperlink>
          </w:p>
        </w:tc>
        <w:tc>
          <w:tcPr>
            <w:tcW w:w="64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360" w:type="dxa"/>
            <w:vAlign w:val="bottom"/>
          </w:tcPr>
          <w:p>
            <w:pPr>
              <w:jc w:val="right"/>
              <w:ind w:right="853"/>
              <w:spacing w:after="0"/>
              <w:rPr>
                <w:sz w:val="20"/>
                <w:szCs w:val="20"/>
                <w:color w:val="auto"/>
              </w:rPr>
            </w:pPr>
            <w:r>
              <w:rPr>
                <w:rFonts w:ascii="Times New Roman" w:cs="Times New Roman" w:eastAsia="Times New Roman" w:hAnsi="Times New Roman"/>
                <w:sz w:val="18"/>
                <w:szCs w:val="18"/>
                <w:color w:val="auto"/>
                <w:w w:val="98"/>
              </w:rPr>
              <w:t>10.1†</w:t>
            </w:r>
          </w:p>
        </w:tc>
        <w:tc>
          <w:tcPr>
            <w:tcW w:w="9500" w:type="dxa"/>
            <w:vAlign w:val="bottom"/>
            <w:tcBorders>
              <w:bottom w:val="single" w:sz="8" w:color="0000EE"/>
            </w:tcBorders>
            <w:gridSpan w:val="12"/>
          </w:tcPr>
          <w:p>
            <w:pPr>
              <w:spacing w:after="0"/>
              <w:rPr>
                <w:rFonts w:ascii="Times New Roman" w:cs="Times New Roman" w:eastAsia="Times New Roman" w:hAnsi="Times New Roman"/>
                <w:sz w:val="18"/>
                <w:szCs w:val="18"/>
                <w:color w:val="0000FF"/>
              </w:rPr>
            </w:pPr>
            <w:hyperlink r:id="rId386">
              <w:r>
                <w:rPr>
                  <w:rFonts w:ascii="Times New Roman" w:cs="Times New Roman" w:eastAsia="Times New Roman" w:hAnsi="Times New Roman"/>
                  <w:sz w:val="18"/>
                  <w:szCs w:val="18"/>
                  <w:color w:val="0000FF"/>
                </w:rPr>
                <w:t>Petco Health and Wellness Company, Inc. 2021 Equity Incentive Plan (incorporated by reference to Exhibit 10.1 of the Company’s</w:t>
              </w:r>
            </w:hyperlink>
          </w:p>
        </w:tc>
        <w:tc>
          <w:tcPr>
            <w:tcW w:w="38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406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FF"/>
                <w:w w:val="99"/>
              </w:rPr>
            </w:pPr>
            <w:hyperlink r:id="rId386">
              <w:r>
                <w:rPr>
                  <w:rFonts w:ascii="Times New Roman" w:cs="Times New Roman" w:eastAsia="Times New Roman" w:hAnsi="Times New Roman"/>
                  <w:sz w:val="18"/>
                  <w:szCs w:val="18"/>
                  <w:color w:val="0000FF"/>
                  <w:w w:val="99"/>
                </w:rPr>
                <w:t>Current Report on Form 8-K, filed on January 19, 2021)</w:t>
              </w:r>
            </w:hyperlink>
          </w:p>
        </w:tc>
        <w:tc>
          <w:tcPr>
            <w:tcW w:w="5820" w:type="dxa"/>
            <w:vAlign w:val="bottom"/>
            <w:gridSpan w:val="18"/>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360" w:type="dxa"/>
            <w:vAlign w:val="bottom"/>
          </w:tcPr>
          <w:p>
            <w:pPr>
              <w:jc w:val="right"/>
              <w:ind w:right="853"/>
              <w:spacing w:after="0"/>
              <w:rPr>
                <w:sz w:val="20"/>
                <w:szCs w:val="20"/>
                <w:color w:val="auto"/>
              </w:rPr>
            </w:pPr>
            <w:r>
              <w:rPr>
                <w:rFonts w:ascii="Times New Roman" w:cs="Times New Roman" w:eastAsia="Times New Roman" w:hAnsi="Times New Roman"/>
                <w:sz w:val="18"/>
                <w:szCs w:val="18"/>
                <w:color w:val="auto"/>
                <w:w w:val="98"/>
              </w:rPr>
              <w:t>10.2†</w:t>
            </w:r>
          </w:p>
        </w:tc>
        <w:tc>
          <w:tcPr>
            <w:tcW w:w="9320" w:type="dxa"/>
            <w:vAlign w:val="bottom"/>
            <w:tcBorders>
              <w:bottom w:val="single" w:sz="8" w:color="0000EE"/>
            </w:tcBorders>
            <w:gridSpan w:val="10"/>
          </w:tcPr>
          <w:p>
            <w:pPr>
              <w:spacing w:after="0"/>
              <w:rPr>
                <w:rFonts w:ascii="Times New Roman" w:cs="Times New Roman" w:eastAsia="Times New Roman" w:hAnsi="Times New Roman"/>
                <w:sz w:val="18"/>
                <w:szCs w:val="18"/>
                <w:color w:val="0000FF"/>
              </w:rPr>
            </w:pPr>
            <w:hyperlink r:id="rId387">
              <w:r>
                <w:rPr>
                  <w:rFonts w:ascii="Times New Roman" w:cs="Times New Roman" w:eastAsia="Times New Roman" w:hAnsi="Times New Roman"/>
                  <w:sz w:val="18"/>
                  <w:szCs w:val="18"/>
                  <w:color w:val="0000FF"/>
                </w:rPr>
                <w:t>Petco Health and Wellness Company, Inc. 2021 Employee Stock Purchase Plan (incorporated by reference to Exhibit 10.2 of the</w:t>
              </w:r>
            </w:hyperlink>
          </w:p>
        </w:tc>
        <w:tc>
          <w:tcPr>
            <w:tcW w:w="56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9880" w:type="dxa"/>
            <w:vAlign w:val="bottom"/>
            <w:gridSpan w:val="19"/>
          </w:tcPr>
          <w:p>
            <w:pPr>
              <w:spacing w:after="0" w:line="196" w:lineRule="exact"/>
              <w:rPr>
                <w:rFonts w:ascii="Times New Roman" w:cs="Times New Roman" w:eastAsia="Times New Roman" w:hAnsi="Times New Roman"/>
                <w:sz w:val="18"/>
                <w:szCs w:val="18"/>
                <w:color w:val="0000FF"/>
              </w:rPr>
            </w:pPr>
            <w:hyperlink r:id="rId387">
              <w:r>
                <w:rPr>
                  <w:rFonts w:ascii="Times New Roman" w:cs="Times New Roman" w:eastAsia="Times New Roman" w:hAnsi="Times New Roman"/>
                  <w:sz w:val="18"/>
                  <w:szCs w:val="18"/>
                  <w:color w:val="0000FF"/>
                </w:rPr>
                <w:t>Company’s Current Report on Form 8-K, filed on January 19, 2021)</w:t>
              </w:r>
            </w:hyperlink>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468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3200" w:type="dxa"/>
            <w:vAlign w:val="bottom"/>
            <w:gridSpan w:val="9"/>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360" w:type="dxa"/>
            <w:vAlign w:val="bottom"/>
          </w:tcPr>
          <w:p>
            <w:pPr>
              <w:jc w:val="right"/>
              <w:ind w:right="853"/>
              <w:spacing w:after="0"/>
              <w:rPr>
                <w:sz w:val="20"/>
                <w:szCs w:val="20"/>
                <w:color w:val="auto"/>
              </w:rPr>
            </w:pPr>
            <w:r>
              <w:rPr>
                <w:rFonts w:ascii="Times New Roman" w:cs="Times New Roman" w:eastAsia="Times New Roman" w:hAnsi="Times New Roman"/>
                <w:sz w:val="18"/>
                <w:szCs w:val="18"/>
                <w:color w:val="auto"/>
                <w:w w:val="98"/>
              </w:rPr>
              <w:t>10.3†</w:t>
            </w:r>
          </w:p>
        </w:tc>
        <w:tc>
          <w:tcPr>
            <w:tcW w:w="9560" w:type="dxa"/>
            <w:vAlign w:val="bottom"/>
            <w:tcBorders>
              <w:bottom w:val="single" w:sz="8" w:color="0000EE"/>
            </w:tcBorders>
            <w:gridSpan w:val="14"/>
          </w:tcPr>
          <w:p>
            <w:pPr>
              <w:spacing w:after="0"/>
              <w:rPr>
                <w:rFonts w:ascii="Times New Roman" w:cs="Times New Roman" w:eastAsia="Times New Roman" w:hAnsi="Times New Roman"/>
                <w:sz w:val="18"/>
                <w:szCs w:val="18"/>
                <w:color w:val="0000FF"/>
              </w:rPr>
            </w:pPr>
            <w:hyperlink r:id="rId388">
              <w:r>
                <w:rPr>
                  <w:rFonts w:ascii="Times New Roman" w:cs="Times New Roman" w:eastAsia="Times New Roman" w:hAnsi="Times New Roman"/>
                  <w:sz w:val="18"/>
                  <w:szCs w:val="18"/>
                  <w:color w:val="0000FF"/>
                </w:rPr>
                <w:t>Form of Indemnification Agreement for Directors and Certain Officers (incorporated by reference to Exhibit 10.2 of the Company’s</w:t>
              </w:r>
            </w:hyperlink>
          </w:p>
        </w:tc>
        <w:tc>
          <w:tcPr>
            <w:tcW w:w="32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468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FF"/>
                <w:w w:val="99"/>
              </w:rPr>
            </w:pPr>
            <w:hyperlink r:id="rId388">
              <w:r>
                <w:rPr>
                  <w:rFonts w:ascii="Times New Roman" w:cs="Times New Roman" w:eastAsia="Times New Roman" w:hAnsi="Times New Roman"/>
                  <w:sz w:val="18"/>
                  <w:szCs w:val="18"/>
                  <w:color w:val="0000FF"/>
                  <w:w w:val="99"/>
                </w:rPr>
                <w:t>Registration Statement on Form S-1, filed on December 3, 2020)</w:t>
              </w:r>
            </w:hyperlink>
          </w:p>
        </w:tc>
        <w:tc>
          <w:tcPr>
            <w:tcW w:w="5200" w:type="dxa"/>
            <w:vAlign w:val="bottom"/>
            <w:gridSpan w:val="17"/>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360" w:type="dxa"/>
            <w:vAlign w:val="bottom"/>
          </w:tcPr>
          <w:p>
            <w:pPr>
              <w:jc w:val="right"/>
              <w:ind w:right="853"/>
              <w:spacing w:after="0"/>
              <w:rPr>
                <w:sz w:val="20"/>
                <w:szCs w:val="20"/>
                <w:color w:val="auto"/>
              </w:rPr>
            </w:pPr>
            <w:r>
              <w:rPr>
                <w:rFonts w:ascii="Times New Roman" w:cs="Times New Roman" w:eastAsia="Times New Roman" w:hAnsi="Times New Roman"/>
                <w:sz w:val="18"/>
                <w:szCs w:val="18"/>
                <w:color w:val="auto"/>
                <w:w w:val="98"/>
              </w:rPr>
              <w:t>10.4†</w:t>
            </w:r>
          </w:p>
        </w:tc>
        <w:tc>
          <w:tcPr>
            <w:tcW w:w="9780" w:type="dxa"/>
            <w:vAlign w:val="bottom"/>
            <w:tcBorders>
              <w:bottom w:val="single" w:sz="8" w:color="0000EE"/>
            </w:tcBorders>
            <w:gridSpan w:val="18"/>
          </w:tcPr>
          <w:p>
            <w:pPr>
              <w:spacing w:after="0"/>
              <w:rPr>
                <w:rFonts w:ascii="Times New Roman" w:cs="Times New Roman" w:eastAsia="Times New Roman" w:hAnsi="Times New Roman"/>
                <w:sz w:val="18"/>
                <w:szCs w:val="18"/>
                <w:color w:val="0000FF"/>
              </w:rPr>
            </w:pPr>
            <w:hyperlink r:id="rId389">
              <w:r>
                <w:rPr>
                  <w:rFonts w:ascii="Times New Roman" w:cs="Times New Roman" w:eastAsia="Times New Roman" w:hAnsi="Times New Roman"/>
                  <w:sz w:val="18"/>
                  <w:szCs w:val="18"/>
                  <w:color w:val="0000FF"/>
                </w:rPr>
                <w:t>Petco Health and Wellness Company, Inc. Amended and Restated Executive Severance Plan (incorporated by reference to Exhibit 10.1</w:t>
              </w:r>
            </w:hyperlink>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9880" w:type="dxa"/>
            <w:vAlign w:val="bottom"/>
            <w:gridSpan w:val="19"/>
          </w:tcPr>
          <w:p>
            <w:pPr>
              <w:spacing w:after="0" w:line="196" w:lineRule="exact"/>
              <w:rPr>
                <w:rFonts w:ascii="Times New Roman" w:cs="Times New Roman" w:eastAsia="Times New Roman" w:hAnsi="Times New Roman"/>
                <w:sz w:val="18"/>
                <w:szCs w:val="18"/>
                <w:color w:val="0000FF"/>
              </w:rPr>
            </w:pPr>
            <w:hyperlink r:id="rId389">
              <w:r>
                <w:rPr>
                  <w:rFonts w:ascii="Times New Roman" w:cs="Times New Roman" w:eastAsia="Times New Roman" w:hAnsi="Times New Roman"/>
                  <w:sz w:val="18"/>
                  <w:szCs w:val="18"/>
                  <w:color w:val="0000FF"/>
                </w:rPr>
                <w:t>of the Company's Quarterly Report on Form 10-Q for the quarter ended August 2, 2025)</w:t>
              </w:r>
            </w:hyperlink>
          </w:p>
        </w:tc>
        <w:tc>
          <w:tcPr>
            <w:tcW w:w="0" w:type="dxa"/>
            <w:vAlign w:val="bottom"/>
          </w:tcPr>
          <w:p>
            <w:pPr>
              <w:spacing w:after="0"/>
              <w:rPr>
                <w:sz w:val="1"/>
                <w:szCs w:val="1"/>
                <w:color w:val="auto"/>
              </w:rPr>
            </w:pPr>
          </w:p>
        </w:tc>
      </w:tr>
      <w:tr>
        <w:trPr>
          <w:trHeight w:val="668"/>
        </w:trPr>
        <w:tc>
          <w:tcPr>
            <w:tcW w:w="1360" w:type="dxa"/>
            <w:vAlign w:val="bottom"/>
          </w:tcPr>
          <w:p>
            <w:pPr>
              <w:spacing w:after="0"/>
              <w:rPr>
                <w:sz w:val="24"/>
                <w:szCs w:val="24"/>
                <w:color w:val="auto"/>
              </w:rPr>
            </w:pPr>
          </w:p>
        </w:tc>
        <w:tc>
          <w:tcPr>
            <w:tcW w:w="4680" w:type="dxa"/>
            <w:vAlign w:val="bottom"/>
            <w:tcBorders>
              <w:top w:val="single" w:sz="8" w:color="0000EE"/>
            </w:tcBorders>
            <w:gridSpan w:val="2"/>
          </w:tcPr>
          <w:p>
            <w:pPr>
              <w:ind w:left="4120"/>
              <w:spacing w:after="0"/>
              <w:rPr>
                <w:sz w:val="20"/>
                <w:szCs w:val="20"/>
                <w:color w:val="auto"/>
              </w:rPr>
            </w:pPr>
            <w:r>
              <w:rPr>
                <w:rFonts w:ascii="Times New Roman" w:cs="Times New Roman" w:eastAsia="Times New Roman" w:hAnsi="Times New Roman"/>
                <w:sz w:val="18"/>
                <w:szCs w:val="18"/>
                <w:color w:val="auto"/>
              </w:rPr>
              <w:t>100</w:t>
            </w:r>
          </w:p>
        </w:tc>
        <w:tc>
          <w:tcPr>
            <w:tcW w:w="240" w:type="dxa"/>
            <w:vAlign w:val="bottom"/>
            <w:tcBorders>
              <w:top w:val="single" w:sz="8" w:color="0000EE"/>
            </w:tcBorders>
          </w:tcPr>
          <w:p>
            <w:pPr>
              <w:spacing w:after="0"/>
              <w:rPr>
                <w:sz w:val="24"/>
                <w:szCs w:val="24"/>
                <w:color w:val="auto"/>
              </w:rPr>
            </w:pPr>
          </w:p>
        </w:tc>
        <w:tc>
          <w:tcPr>
            <w:tcW w:w="12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0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360" w:type="dxa"/>
            <w:vAlign w:val="bottom"/>
            <w:tcBorders>
              <w:bottom w:val="single" w:sz="8" w:color="9A9A9A"/>
            </w:tcBorders>
          </w:tcPr>
          <w:p>
            <w:pPr>
              <w:spacing w:after="0"/>
              <w:rPr>
                <w:sz w:val="24"/>
                <w:szCs w:val="24"/>
                <w:color w:val="auto"/>
              </w:rPr>
            </w:pPr>
          </w:p>
        </w:tc>
        <w:tc>
          <w:tcPr>
            <w:tcW w:w="406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8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9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9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01" w:name="page102"/>
    <w:bookmarkEnd w:id="101"/>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10.5†</w:t>
            </w:r>
          </w:p>
        </w:tc>
        <w:tc>
          <w:tcPr>
            <w:tcW w:w="9880" w:type="dxa"/>
            <w:vAlign w:val="bottom"/>
            <w:tcBorders>
              <w:bottom w:val="single" w:sz="8" w:color="0000EE"/>
            </w:tcBorders>
            <w:gridSpan w:val="26"/>
          </w:tcPr>
          <w:p>
            <w:pPr>
              <w:spacing w:after="0"/>
              <w:rPr>
                <w:rFonts w:ascii="Times New Roman" w:cs="Times New Roman" w:eastAsia="Times New Roman" w:hAnsi="Times New Roman"/>
                <w:sz w:val="18"/>
                <w:szCs w:val="18"/>
                <w:color w:val="0000FF"/>
                <w:w w:val="99"/>
              </w:rPr>
            </w:pPr>
            <w:hyperlink r:id="rId392">
              <w:r>
                <w:rPr>
                  <w:rFonts w:ascii="Times New Roman" w:cs="Times New Roman" w:eastAsia="Times New Roman" w:hAnsi="Times New Roman"/>
                  <w:sz w:val="18"/>
                  <w:szCs w:val="18"/>
                  <w:color w:val="0000FF"/>
                  <w:w w:val="99"/>
                </w:rPr>
                <w:t>Form of Common Series C Unit Award Agreement (incorporated by reference to Exhibit 10.11 of the Company’s Registration Statement</w:t>
              </w:r>
            </w:hyperlink>
          </w:p>
        </w:tc>
      </w:tr>
      <w:tr>
        <w:trPr>
          <w:trHeight w:val="196"/>
        </w:trPr>
        <w:tc>
          <w:tcPr>
            <w:tcW w:w="1360" w:type="dxa"/>
            <w:vAlign w:val="bottom"/>
          </w:tcPr>
          <w:p>
            <w:pPr>
              <w:spacing w:after="0"/>
              <w:rPr>
                <w:sz w:val="17"/>
                <w:szCs w:val="17"/>
                <w:color w:val="auto"/>
              </w:rPr>
            </w:pPr>
          </w:p>
        </w:tc>
        <w:tc>
          <w:tcPr>
            <w:tcW w:w="9880" w:type="dxa"/>
            <w:vAlign w:val="bottom"/>
            <w:gridSpan w:val="26"/>
          </w:tcPr>
          <w:p>
            <w:pPr>
              <w:spacing w:after="0" w:line="196" w:lineRule="exact"/>
              <w:rPr>
                <w:rFonts w:ascii="Times New Roman" w:cs="Times New Roman" w:eastAsia="Times New Roman" w:hAnsi="Times New Roman"/>
                <w:sz w:val="18"/>
                <w:szCs w:val="18"/>
                <w:color w:val="0000FF"/>
              </w:rPr>
            </w:pPr>
            <w:hyperlink r:id="rId392">
              <w:r>
                <w:rPr>
                  <w:rFonts w:ascii="Times New Roman" w:cs="Times New Roman" w:eastAsia="Times New Roman" w:hAnsi="Times New Roman"/>
                  <w:sz w:val="18"/>
                  <w:szCs w:val="18"/>
                  <w:color w:val="0000FF"/>
                </w:rPr>
                <w:t>on Form S-1, filed on December 3, 2020)</w:t>
              </w:r>
            </w:hyperlink>
          </w:p>
        </w:tc>
      </w:tr>
      <w:tr>
        <w:trPr>
          <w:trHeight w:val="20"/>
        </w:trPr>
        <w:tc>
          <w:tcPr>
            <w:tcW w:w="136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10.6†</w:t>
            </w:r>
          </w:p>
        </w:tc>
        <w:tc>
          <w:tcPr>
            <w:tcW w:w="9820" w:type="dxa"/>
            <w:vAlign w:val="bottom"/>
            <w:tcBorders>
              <w:bottom w:val="single" w:sz="8" w:color="0000EE"/>
            </w:tcBorders>
            <w:gridSpan w:val="23"/>
          </w:tcPr>
          <w:p>
            <w:pPr>
              <w:spacing w:after="0"/>
              <w:rPr>
                <w:rFonts w:ascii="Times New Roman" w:cs="Times New Roman" w:eastAsia="Times New Roman" w:hAnsi="Times New Roman"/>
                <w:sz w:val="18"/>
                <w:szCs w:val="18"/>
                <w:color w:val="0000FF"/>
              </w:rPr>
            </w:pPr>
            <w:hyperlink r:id="rId393">
              <w:r>
                <w:rPr>
                  <w:rFonts w:ascii="Times New Roman" w:cs="Times New Roman" w:eastAsia="Times New Roman" w:hAnsi="Times New Roman"/>
                  <w:sz w:val="18"/>
                  <w:szCs w:val="18"/>
                  <w:color w:val="0000FF"/>
                </w:rPr>
                <w:t>Form of Nonqualified Stock Options Grant Notice and Standard Terms and Conditions under the Petco Health and Wellness Company,</w:t>
              </w:r>
            </w:hyperlink>
          </w:p>
        </w:tc>
        <w:tc>
          <w:tcPr>
            <w:tcW w:w="60" w:type="dxa"/>
            <w:vAlign w:val="bottom"/>
            <w:gridSpan w:val="3"/>
          </w:tcPr>
          <w:p>
            <w:pPr>
              <w:spacing w:after="0"/>
              <w:rPr>
                <w:sz w:val="24"/>
                <w:szCs w:val="24"/>
                <w:color w:val="auto"/>
              </w:rPr>
            </w:pPr>
          </w:p>
        </w:tc>
      </w:tr>
      <w:tr>
        <w:trPr>
          <w:trHeight w:val="196"/>
        </w:trPr>
        <w:tc>
          <w:tcPr>
            <w:tcW w:w="1360" w:type="dxa"/>
            <w:vAlign w:val="bottom"/>
          </w:tcPr>
          <w:p>
            <w:pPr>
              <w:spacing w:after="0"/>
              <w:rPr>
                <w:sz w:val="17"/>
                <w:szCs w:val="17"/>
                <w:color w:val="auto"/>
              </w:rPr>
            </w:pPr>
          </w:p>
        </w:tc>
        <w:tc>
          <w:tcPr>
            <w:tcW w:w="976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FF"/>
              </w:rPr>
            </w:pPr>
            <w:hyperlink r:id="rId393">
              <w:r>
                <w:rPr>
                  <w:rFonts w:ascii="Times New Roman" w:cs="Times New Roman" w:eastAsia="Times New Roman" w:hAnsi="Times New Roman"/>
                  <w:sz w:val="18"/>
                  <w:szCs w:val="18"/>
                  <w:color w:val="0000FF"/>
                </w:rPr>
                <w:t>Inc. 2021 Equity Incentive Plan (Executive Form) (incorporated by reference to Exhibit 99.6 of the Company’s Registration Statement</w:t>
              </w:r>
            </w:hyperlink>
          </w:p>
        </w:tc>
        <w:tc>
          <w:tcPr>
            <w:tcW w:w="120" w:type="dxa"/>
            <w:vAlign w:val="bottom"/>
            <w:gridSpan w:val="6"/>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290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FF"/>
                <w:w w:val="99"/>
              </w:rPr>
            </w:pPr>
            <w:hyperlink r:id="rId393">
              <w:r>
                <w:rPr>
                  <w:rFonts w:ascii="Times New Roman" w:cs="Times New Roman" w:eastAsia="Times New Roman" w:hAnsi="Times New Roman"/>
                  <w:sz w:val="18"/>
                  <w:szCs w:val="18"/>
                  <w:color w:val="0000FF"/>
                  <w:w w:val="99"/>
                </w:rPr>
                <w:t>on Form S-8, filed on January 19, 2021)</w:t>
              </w:r>
            </w:hyperlink>
          </w:p>
        </w:tc>
        <w:tc>
          <w:tcPr>
            <w:tcW w:w="6980" w:type="dxa"/>
            <w:vAlign w:val="bottom"/>
            <w:gridSpan w:val="23"/>
          </w:tcPr>
          <w:p>
            <w:pPr>
              <w:spacing w:after="0"/>
              <w:rPr>
                <w:sz w:val="17"/>
                <w:szCs w:val="17"/>
                <w:color w:val="auto"/>
              </w:rPr>
            </w:pPr>
          </w:p>
        </w:tc>
      </w:tr>
      <w:tr>
        <w:trPr>
          <w:trHeight w:val="318"/>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10.7†</w:t>
            </w:r>
          </w:p>
        </w:tc>
        <w:tc>
          <w:tcPr>
            <w:tcW w:w="9260" w:type="dxa"/>
            <w:vAlign w:val="bottom"/>
            <w:tcBorders>
              <w:bottom w:val="single" w:sz="8" w:color="0000EE"/>
            </w:tcBorders>
            <w:gridSpan w:val="14"/>
          </w:tcPr>
          <w:p>
            <w:pPr>
              <w:spacing w:after="0"/>
              <w:rPr>
                <w:rFonts w:ascii="Times New Roman" w:cs="Times New Roman" w:eastAsia="Times New Roman" w:hAnsi="Times New Roman"/>
                <w:sz w:val="18"/>
                <w:szCs w:val="18"/>
                <w:color w:val="0000FF"/>
              </w:rPr>
            </w:pPr>
            <w:hyperlink r:id="rId394">
              <w:r>
                <w:rPr>
                  <w:rFonts w:ascii="Times New Roman" w:cs="Times New Roman" w:eastAsia="Times New Roman" w:hAnsi="Times New Roman"/>
                  <w:sz w:val="18"/>
                  <w:szCs w:val="18"/>
                  <w:color w:val="0000FF"/>
                </w:rPr>
                <w:t>Form of Performance Stock Unit Award Grant Notice and Standard Terms and Conditions under the Petco Health and Wellness</w:t>
              </w:r>
            </w:hyperlink>
          </w:p>
        </w:tc>
        <w:tc>
          <w:tcPr>
            <w:tcW w:w="620" w:type="dxa"/>
            <w:vAlign w:val="bottom"/>
            <w:gridSpan w:val="12"/>
          </w:tcPr>
          <w:p>
            <w:pPr>
              <w:spacing w:after="0"/>
              <w:rPr>
                <w:sz w:val="24"/>
                <w:szCs w:val="24"/>
                <w:color w:val="auto"/>
              </w:rPr>
            </w:pPr>
          </w:p>
        </w:tc>
      </w:tr>
      <w:tr>
        <w:trPr>
          <w:trHeight w:val="196"/>
        </w:trPr>
        <w:tc>
          <w:tcPr>
            <w:tcW w:w="1360" w:type="dxa"/>
            <w:vAlign w:val="bottom"/>
          </w:tcPr>
          <w:p>
            <w:pPr>
              <w:spacing w:after="0"/>
              <w:rPr>
                <w:sz w:val="17"/>
                <w:szCs w:val="17"/>
                <w:color w:val="auto"/>
              </w:rPr>
            </w:pPr>
          </w:p>
        </w:tc>
        <w:tc>
          <w:tcPr>
            <w:tcW w:w="924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FF"/>
              </w:rPr>
            </w:pPr>
            <w:hyperlink r:id="rId394">
              <w:r>
                <w:rPr>
                  <w:rFonts w:ascii="Times New Roman" w:cs="Times New Roman" w:eastAsia="Times New Roman" w:hAnsi="Times New Roman"/>
                  <w:sz w:val="18"/>
                  <w:szCs w:val="18"/>
                  <w:color w:val="0000FF"/>
                </w:rPr>
                <w:t>Company, Inc. 2021 Equity Incentive Plan (2023 Executive Form) (incorporated by reference to Exhibit 10.2 of the Company’s</w:t>
              </w:r>
            </w:hyperlink>
          </w:p>
        </w:tc>
        <w:tc>
          <w:tcPr>
            <w:tcW w:w="640" w:type="dxa"/>
            <w:vAlign w:val="bottom"/>
            <w:gridSpan w:val="13"/>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9880" w:type="dxa"/>
            <w:vAlign w:val="bottom"/>
            <w:gridSpan w:val="26"/>
          </w:tcPr>
          <w:p>
            <w:pPr>
              <w:spacing w:after="0" w:line="196" w:lineRule="exact"/>
              <w:rPr>
                <w:rFonts w:ascii="Times New Roman" w:cs="Times New Roman" w:eastAsia="Times New Roman" w:hAnsi="Times New Roman"/>
                <w:sz w:val="18"/>
                <w:szCs w:val="18"/>
                <w:color w:val="0000FF"/>
              </w:rPr>
            </w:pPr>
            <w:hyperlink r:id="rId394">
              <w:r>
                <w:rPr>
                  <w:rFonts w:ascii="Times New Roman" w:cs="Times New Roman" w:eastAsia="Times New Roman" w:hAnsi="Times New Roman"/>
                  <w:sz w:val="18"/>
                  <w:szCs w:val="18"/>
                  <w:color w:val="0000FF"/>
                </w:rPr>
                <w:t>Quarterly Report on Form 10-Q for the quarter ended April 29, 2023)</w:t>
              </w:r>
            </w:hyperlink>
          </w:p>
        </w:tc>
      </w:tr>
      <w:tr>
        <w:trPr>
          <w:trHeight w:val="20"/>
        </w:trPr>
        <w:tc>
          <w:tcPr>
            <w:tcW w:w="136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10.8†</w:t>
            </w:r>
          </w:p>
        </w:tc>
        <w:tc>
          <w:tcPr>
            <w:tcW w:w="9880" w:type="dxa"/>
            <w:vAlign w:val="bottom"/>
            <w:tcBorders>
              <w:bottom w:val="single" w:sz="8" w:color="0000EE"/>
            </w:tcBorders>
            <w:gridSpan w:val="26"/>
          </w:tcPr>
          <w:p>
            <w:pPr>
              <w:spacing w:after="0"/>
              <w:rPr>
                <w:rFonts w:ascii="Times New Roman" w:cs="Times New Roman" w:eastAsia="Times New Roman" w:hAnsi="Times New Roman"/>
                <w:sz w:val="18"/>
                <w:szCs w:val="18"/>
                <w:color w:val="0000FF"/>
              </w:rPr>
            </w:pPr>
            <w:hyperlink r:id="rId395">
              <w:r>
                <w:rPr>
                  <w:rFonts w:ascii="Times New Roman" w:cs="Times New Roman" w:eastAsia="Times New Roman" w:hAnsi="Times New Roman"/>
                  <w:sz w:val="18"/>
                  <w:szCs w:val="18"/>
                  <w:color w:val="0000FF"/>
                </w:rPr>
                <w:t>First Amendment to Petco Health and Wellness Company, Inc. 2021 Equity Incentive Plan (incorporated by reference to Exhibit 10.1 of</w:t>
              </w:r>
            </w:hyperlink>
          </w:p>
        </w:tc>
      </w:tr>
      <w:tr>
        <w:trPr>
          <w:trHeight w:val="196"/>
        </w:trPr>
        <w:tc>
          <w:tcPr>
            <w:tcW w:w="1360" w:type="dxa"/>
            <w:vAlign w:val="bottom"/>
          </w:tcPr>
          <w:p>
            <w:pPr>
              <w:spacing w:after="0"/>
              <w:rPr>
                <w:sz w:val="17"/>
                <w:szCs w:val="17"/>
                <w:color w:val="auto"/>
              </w:rPr>
            </w:pPr>
          </w:p>
        </w:tc>
        <w:tc>
          <w:tcPr>
            <w:tcW w:w="500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FF"/>
              </w:rPr>
            </w:pPr>
            <w:hyperlink r:id="rId395">
              <w:r>
                <w:rPr>
                  <w:rFonts w:ascii="Times New Roman" w:cs="Times New Roman" w:eastAsia="Times New Roman" w:hAnsi="Times New Roman"/>
                  <w:sz w:val="18"/>
                  <w:szCs w:val="18"/>
                  <w:color w:val="0000FF"/>
                </w:rPr>
                <w:t>the Company's Current Report on Form 8-K, filed on June 23, 2023)</w:t>
              </w:r>
            </w:hyperlink>
          </w:p>
        </w:tc>
        <w:tc>
          <w:tcPr>
            <w:tcW w:w="4880" w:type="dxa"/>
            <w:vAlign w:val="bottom"/>
            <w:gridSpan w:val="18"/>
          </w:tcPr>
          <w:p>
            <w:pPr>
              <w:spacing w:after="0"/>
              <w:rPr>
                <w:sz w:val="17"/>
                <w:szCs w:val="17"/>
                <w:color w:val="auto"/>
              </w:rPr>
            </w:pPr>
          </w:p>
        </w:tc>
      </w:tr>
      <w:tr>
        <w:trPr>
          <w:trHeight w:val="318"/>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10.9</w:t>
            </w:r>
          </w:p>
        </w:tc>
        <w:tc>
          <w:tcPr>
            <w:tcW w:w="9540" w:type="dxa"/>
            <w:vAlign w:val="bottom"/>
            <w:tcBorders>
              <w:bottom w:val="single" w:sz="8" w:color="0000EE"/>
            </w:tcBorders>
            <w:gridSpan w:val="17"/>
          </w:tcPr>
          <w:p>
            <w:pPr>
              <w:spacing w:after="0"/>
              <w:rPr>
                <w:rFonts w:ascii="Times New Roman" w:cs="Times New Roman" w:eastAsia="Times New Roman" w:hAnsi="Times New Roman"/>
                <w:sz w:val="18"/>
                <w:szCs w:val="18"/>
                <w:color w:val="0000FF"/>
              </w:rPr>
            </w:pPr>
            <w:hyperlink r:id="rId396">
              <w:r>
                <w:rPr>
                  <w:rFonts w:ascii="Times New Roman" w:cs="Times New Roman" w:eastAsia="Times New Roman" w:hAnsi="Times New Roman"/>
                  <w:sz w:val="18"/>
                  <w:szCs w:val="18"/>
                  <w:color w:val="0000FF"/>
                </w:rPr>
                <w:t>Stock Purchase Agreement, dated May 13, 2024, among Petco Health and Wellness Company, Inc., GSSB Corporation and Scooby</w:t>
              </w:r>
            </w:hyperlink>
          </w:p>
        </w:tc>
        <w:tc>
          <w:tcPr>
            <w:tcW w:w="340" w:type="dxa"/>
            <w:vAlign w:val="bottom"/>
            <w:gridSpan w:val="9"/>
          </w:tcPr>
          <w:p>
            <w:pPr>
              <w:spacing w:after="0"/>
              <w:rPr>
                <w:sz w:val="24"/>
                <w:szCs w:val="24"/>
                <w:color w:val="auto"/>
              </w:rPr>
            </w:pPr>
          </w:p>
        </w:tc>
      </w:tr>
      <w:tr>
        <w:trPr>
          <w:trHeight w:val="196"/>
        </w:trPr>
        <w:tc>
          <w:tcPr>
            <w:tcW w:w="1360" w:type="dxa"/>
            <w:vAlign w:val="bottom"/>
          </w:tcPr>
          <w:p>
            <w:pPr>
              <w:spacing w:after="0"/>
              <w:rPr>
                <w:sz w:val="17"/>
                <w:szCs w:val="17"/>
                <w:color w:val="auto"/>
              </w:rPr>
            </w:pPr>
          </w:p>
        </w:tc>
        <w:tc>
          <w:tcPr>
            <w:tcW w:w="946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FF"/>
              </w:rPr>
            </w:pPr>
            <w:hyperlink r:id="rId396">
              <w:r>
                <w:rPr>
                  <w:rFonts w:ascii="Times New Roman" w:cs="Times New Roman" w:eastAsia="Times New Roman" w:hAnsi="Times New Roman"/>
                  <w:sz w:val="18"/>
                  <w:szCs w:val="18"/>
                  <w:color w:val="0000FF"/>
                </w:rPr>
                <w:t>Aggregator, LP. (incorporated by reference to Exhibit 10.1 of the Company's Current Report on Form 8-K, filed on May 14, 2024)</w:t>
              </w:r>
            </w:hyperlink>
          </w:p>
        </w:tc>
        <w:tc>
          <w:tcPr>
            <w:tcW w:w="420" w:type="dxa"/>
            <w:vAlign w:val="bottom"/>
            <w:gridSpan w:val="10"/>
          </w:tcPr>
          <w:p>
            <w:pPr>
              <w:spacing w:after="0"/>
              <w:rPr>
                <w:sz w:val="17"/>
                <w:szCs w:val="17"/>
                <w:color w:val="auto"/>
              </w:rPr>
            </w:pPr>
          </w:p>
        </w:tc>
      </w:tr>
      <w:tr>
        <w:trPr>
          <w:trHeight w:val="318"/>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10.10†</w:t>
            </w:r>
          </w:p>
        </w:tc>
        <w:tc>
          <w:tcPr>
            <w:tcW w:w="9780" w:type="dxa"/>
            <w:vAlign w:val="bottom"/>
            <w:tcBorders>
              <w:bottom w:val="single" w:sz="8" w:color="0000EE"/>
            </w:tcBorders>
            <w:gridSpan w:val="21"/>
          </w:tcPr>
          <w:p>
            <w:pPr>
              <w:spacing w:after="0"/>
              <w:rPr>
                <w:rFonts w:ascii="Times New Roman" w:cs="Times New Roman" w:eastAsia="Times New Roman" w:hAnsi="Times New Roman"/>
                <w:sz w:val="18"/>
                <w:szCs w:val="18"/>
                <w:color w:val="0000FF"/>
              </w:rPr>
            </w:pPr>
            <w:hyperlink r:id="rId397">
              <w:r>
                <w:rPr>
                  <w:rFonts w:ascii="Times New Roman" w:cs="Times New Roman" w:eastAsia="Times New Roman" w:hAnsi="Times New Roman"/>
                  <w:sz w:val="18"/>
                  <w:szCs w:val="18"/>
                  <w:color w:val="0000FF"/>
                </w:rPr>
                <w:t>Offer Letter, dated May 13, 2024, between Glenn Murphy and Petco Health and Wellness Company, Inc. (incorporated by reference to</w:t>
              </w:r>
            </w:hyperlink>
          </w:p>
        </w:tc>
        <w:tc>
          <w:tcPr>
            <w:tcW w:w="100" w:type="dxa"/>
            <w:vAlign w:val="bottom"/>
            <w:gridSpan w:val="5"/>
          </w:tcPr>
          <w:p>
            <w:pPr>
              <w:spacing w:after="0"/>
              <w:rPr>
                <w:sz w:val="24"/>
                <w:szCs w:val="24"/>
                <w:color w:val="auto"/>
              </w:rPr>
            </w:pPr>
          </w:p>
        </w:tc>
      </w:tr>
      <w:tr>
        <w:trPr>
          <w:trHeight w:val="196"/>
        </w:trPr>
        <w:tc>
          <w:tcPr>
            <w:tcW w:w="1360" w:type="dxa"/>
            <w:vAlign w:val="bottom"/>
          </w:tcPr>
          <w:p>
            <w:pPr>
              <w:spacing w:after="0"/>
              <w:rPr>
                <w:sz w:val="17"/>
                <w:szCs w:val="17"/>
                <w:color w:val="auto"/>
              </w:rPr>
            </w:pPr>
          </w:p>
        </w:tc>
        <w:tc>
          <w:tcPr>
            <w:tcW w:w="610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FF"/>
              </w:rPr>
            </w:pPr>
            <w:hyperlink r:id="rId397">
              <w:r>
                <w:rPr>
                  <w:rFonts w:ascii="Times New Roman" w:cs="Times New Roman" w:eastAsia="Times New Roman" w:hAnsi="Times New Roman"/>
                  <w:sz w:val="18"/>
                  <w:szCs w:val="18"/>
                  <w:color w:val="0000FF"/>
                </w:rPr>
                <w:t>Exhibit 10.2 of the Company's Current Report on Form 8-K, filed on May 14, 2024)</w:t>
              </w:r>
            </w:hyperlink>
          </w:p>
        </w:tc>
        <w:tc>
          <w:tcPr>
            <w:tcW w:w="3780" w:type="dxa"/>
            <w:vAlign w:val="bottom"/>
            <w:gridSpan w:val="17"/>
          </w:tcPr>
          <w:p>
            <w:pPr>
              <w:spacing w:after="0"/>
              <w:rPr>
                <w:sz w:val="17"/>
                <w:szCs w:val="17"/>
                <w:color w:val="auto"/>
              </w:rPr>
            </w:pPr>
          </w:p>
        </w:tc>
      </w:tr>
      <w:tr>
        <w:trPr>
          <w:trHeight w:val="318"/>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10.11†</w:t>
            </w:r>
          </w:p>
        </w:tc>
        <w:tc>
          <w:tcPr>
            <w:tcW w:w="9200" w:type="dxa"/>
            <w:vAlign w:val="bottom"/>
            <w:tcBorders>
              <w:bottom w:val="single" w:sz="8" w:color="0000EE"/>
            </w:tcBorders>
            <w:gridSpan w:val="12"/>
          </w:tcPr>
          <w:p>
            <w:pPr>
              <w:spacing w:after="0"/>
              <w:rPr>
                <w:rFonts w:ascii="Times New Roman" w:cs="Times New Roman" w:eastAsia="Times New Roman" w:hAnsi="Times New Roman"/>
                <w:sz w:val="18"/>
                <w:szCs w:val="18"/>
                <w:color w:val="0000FF"/>
              </w:rPr>
            </w:pPr>
            <w:hyperlink r:id="rId398">
              <w:r>
                <w:rPr>
                  <w:rFonts w:ascii="Times New Roman" w:cs="Times New Roman" w:eastAsia="Times New Roman" w:hAnsi="Times New Roman"/>
                  <w:sz w:val="18"/>
                  <w:szCs w:val="18"/>
                  <w:color w:val="0000FF"/>
                </w:rPr>
                <w:t>Form of Performance Stock Unit Award Grant Notice and Standard terms and Conditions under the Petco Health and Wellness</w:t>
              </w:r>
            </w:hyperlink>
          </w:p>
        </w:tc>
        <w:tc>
          <w:tcPr>
            <w:tcW w:w="680" w:type="dxa"/>
            <w:vAlign w:val="bottom"/>
            <w:gridSpan w:val="14"/>
          </w:tcPr>
          <w:p>
            <w:pPr>
              <w:spacing w:after="0"/>
              <w:rPr>
                <w:sz w:val="24"/>
                <w:szCs w:val="24"/>
                <w:color w:val="auto"/>
              </w:rPr>
            </w:pPr>
          </w:p>
        </w:tc>
      </w:tr>
      <w:tr>
        <w:trPr>
          <w:trHeight w:val="196"/>
        </w:trPr>
        <w:tc>
          <w:tcPr>
            <w:tcW w:w="1360" w:type="dxa"/>
            <w:vAlign w:val="bottom"/>
          </w:tcPr>
          <w:p>
            <w:pPr>
              <w:spacing w:after="0"/>
              <w:rPr>
                <w:sz w:val="17"/>
                <w:szCs w:val="17"/>
                <w:color w:val="auto"/>
              </w:rPr>
            </w:pPr>
          </w:p>
        </w:tc>
        <w:tc>
          <w:tcPr>
            <w:tcW w:w="924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FF"/>
              </w:rPr>
            </w:pPr>
            <w:hyperlink r:id="rId398">
              <w:r>
                <w:rPr>
                  <w:rFonts w:ascii="Times New Roman" w:cs="Times New Roman" w:eastAsia="Times New Roman" w:hAnsi="Times New Roman"/>
                  <w:sz w:val="18"/>
                  <w:szCs w:val="18"/>
                  <w:color w:val="0000FF"/>
                </w:rPr>
                <w:t>Company, Inc. 2021 Equity Incentive Plan (2024 Executive Form) (incorporated by reference to Exhibit 10.2 of the Company’s</w:t>
              </w:r>
            </w:hyperlink>
          </w:p>
        </w:tc>
        <w:tc>
          <w:tcPr>
            <w:tcW w:w="640" w:type="dxa"/>
            <w:vAlign w:val="bottom"/>
            <w:gridSpan w:val="13"/>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490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FF"/>
              </w:rPr>
            </w:pPr>
            <w:hyperlink r:id="rId398">
              <w:r>
                <w:rPr>
                  <w:rFonts w:ascii="Times New Roman" w:cs="Times New Roman" w:eastAsia="Times New Roman" w:hAnsi="Times New Roman"/>
                  <w:sz w:val="18"/>
                  <w:szCs w:val="18"/>
                  <w:color w:val="0000FF"/>
                </w:rPr>
                <w:t>Quarterly Report on Form 10-Q for the quarter ended May 4, 2024)</w:t>
              </w:r>
            </w:hyperlink>
          </w:p>
        </w:tc>
        <w:tc>
          <w:tcPr>
            <w:tcW w:w="4980" w:type="dxa"/>
            <w:vAlign w:val="bottom"/>
            <w:gridSpan w:val="19"/>
          </w:tcPr>
          <w:p>
            <w:pPr>
              <w:spacing w:after="0"/>
              <w:rPr>
                <w:sz w:val="17"/>
                <w:szCs w:val="17"/>
                <w:color w:val="auto"/>
              </w:rPr>
            </w:pPr>
          </w:p>
        </w:tc>
      </w:tr>
      <w:tr>
        <w:trPr>
          <w:trHeight w:val="318"/>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10.12†</w:t>
            </w:r>
          </w:p>
        </w:tc>
        <w:tc>
          <w:tcPr>
            <w:tcW w:w="9820" w:type="dxa"/>
            <w:vAlign w:val="bottom"/>
            <w:tcBorders>
              <w:bottom w:val="single" w:sz="8" w:color="0000EE"/>
            </w:tcBorders>
            <w:gridSpan w:val="23"/>
          </w:tcPr>
          <w:p>
            <w:pPr>
              <w:spacing w:after="0"/>
              <w:rPr>
                <w:rFonts w:ascii="Times New Roman" w:cs="Times New Roman" w:eastAsia="Times New Roman" w:hAnsi="Times New Roman"/>
                <w:sz w:val="18"/>
                <w:szCs w:val="18"/>
                <w:color w:val="0000FF"/>
              </w:rPr>
            </w:pPr>
            <w:hyperlink r:id="rId399">
              <w:r>
                <w:rPr>
                  <w:rFonts w:ascii="Times New Roman" w:cs="Times New Roman" w:eastAsia="Times New Roman" w:hAnsi="Times New Roman"/>
                  <w:sz w:val="18"/>
                  <w:szCs w:val="18"/>
                  <w:color w:val="0000FF"/>
                </w:rPr>
                <w:t>Form of Nonqualified Stock Options Grant Notice and Standard Terms and Conditions under the Petco Health and Wellness Company,</w:t>
              </w:r>
            </w:hyperlink>
          </w:p>
        </w:tc>
        <w:tc>
          <w:tcPr>
            <w:tcW w:w="60" w:type="dxa"/>
            <w:vAlign w:val="bottom"/>
            <w:gridSpan w:val="3"/>
          </w:tcPr>
          <w:p>
            <w:pPr>
              <w:spacing w:after="0"/>
              <w:rPr>
                <w:sz w:val="24"/>
                <w:szCs w:val="24"/>
                <w:color w:val="auto"/>
              </w:rPr>
            </w:pPr>
          </w:p>
        </w:tc>
      </w:tr>
      <w:tr>
        <w:trPr>
          <w:trHeight w:val="196"/>
        </w:trPr>
        <w:tc>
          <w:tcPr>
            <w:tcW w:w="1360" w:type="dxa"/>
            <w:vAlign w:val="bottom"/>
          </w:tcPr>
          <w:p>
            <w:pPr>
              <w:spacing w:after="0"/>
              <w:rPr>
                <w:sz w:val="17"/>
                <w:szCs w:val="17"/>
                <w:color w:val="auto"/>
              </w:rPr>
            </w:pPr>
          </w:p>
        </w:tc>
        <w:tc>
          <w:tcPr>
            <w:tcW w:w="976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FF"/>
              </w:rPr>
            </w:pPr>
            <w:hyperlink r:id="rId399">
              <w:r>
                <w:rPr>
                  <w:rFonts w:ascii="Times New Roman" w:cs="Times New Roman" w:eastAsia="Times New Roman" w:hAnsi="Times New Roman"/>
                  <w:sz w:val="18"/>
                  <w:szCs w:val="18"/>
                  <w:color w:val="0000FF"/>
                </w:rPr>
                <w:t>Inc. 2021 Equity Incentive Plan (Interim CEO Form) (incorporated by reference to Exhibit 10.4 of the Company’s Quarterly Report on</w:t>
              </w:r>
            </w:hyperlink>
          </w:p>
        </w:tc>
        <w:tc>
          <w:tcPr>
            <w:tcW w:w="120" w:type="dxa"/>
            <w:vAlign w:val="bottom"/>
            <w:gridSpan w:val="6"/>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342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FF"/>
              </w:rPr>
            </w:pPr>
            <w:hyperlink r:id="rId399">
              <w:r>
                <w:rPr>
                  <w:rFonts w:ascii="Times New Roman" w:cs="Times New Roman" w:eastAsia="Times New Roman" w:hAnsi="Times New Roman"/>
                  <w:sz w:val="18"/>
                  <w:szCs w:val="18"/>
                  <w:color w:val="0000FF"/>
                </w:rPr>
                <w:t>Form 10-Q for the quarter ended May 4, 2024)</w:t>
              </w:r>
            </w:hyperlink>
          </w:p>
        </w:tc>
        <w:tc>
          <w:tcPr>
            <w:tcW w:w="6460" w:type="dxa"/>
            <w:vAlign w:val="bottom"/>
            <w:gridSpan w:val="20"/>
          </w:tcPr>
          <w:p>
            <w:pPr>
              <w:spacing w:after="0"/>
              <w:rPr>
                <w:sz w:val="17"/>
                <w:szCs w:val="17"/>
                <w:color w:val="auto"/>
              </w:rPr>
            </w:pPr>
          </w:p>
        </w:tc>
      </w:tr>
      <w:tr>
        <w:trPr>
          <w:trHeight w:val="318"/>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10.13†</w:t>
            </w:r>
          </w:p>
        </w:tc>
        <w:tc>
          <w:tcPr>
            <w:tcW w:w="9880" w:type="dxa"/>
            <w:vAlign w:val="bottom"/>
            <w:tcBorders>
              <w:bottom w:val="single" w:sz="8" w:color="0000EE"/>
            </w:tcBorders>
            <w:gridSpan w:val="26"/>
          </w:tcPr>
          <w:p>
            <w:pPr>
              <w:spacing w:after="0"/>
              <w:rPr>
                <w:rFonts w:ascii="Times New Roman" w:cs="Times New Roman" w:eastAsia="Times New Roman" w:hAnsi="Times New Roman"/>
                <w:sz w:val="18"/>
                <w:szCs w:val="18"/>
                <w:color w:val="0000FF"/>
              </w:rPr>
            </w:pPr>
            <w:hyperlink r:id="rId400">
              <w:r>
                <w:rPr>
                  <w:rFonts w:ascii="Times New Roman" w:cs="Times New Roman" w:eastAsia="Times New Roman" w:hAnsi="Times New Roman"/>
                  <w:sz w:val="18"/>
                  <w:szCs w:val="18"/>
                  <w:color w:val="0000FF"/>
                </w:rPr>
                <w:t>Form of Restricted Stock Unit Award Grant Notice and Standard Terms and Conditions under the Petco Health and Wellness Company,</w:t>
              </w:r>
            </w:hyperlink>
          </w:p>
        </w:tc>
      </w:tr>
      <w:tr>
        <w:trPr>
          <w:trHeight w:val="196"/>
        </w:trPr>
        <w:tc>
          <w:tcPr>
            <w:tcW w:w="1360" w:type="dxa"/>
            <w:vAlign w:val="bottom"/>
          </w:tcPr>
          <w:p>
            <w:pPr>
              <w:spacing w:after="0"/>
              <w:rPr>
                <w:sz w:val="17"/>
                <w:szCs w:val="17"/>
                <w:color w:val="auto"/>
              </w:rPr>
            </w:pPr>
          </w:p>
        </w:tc>
        <w:tc>
          <w:tcPr>
            <w:tcW w:w="954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FF"/>
              </w:rPr>
            </w:pPr>
            <w:hyperlink r:id="rId400">
              <w:r>
                <w:rPr>
                  <w:rFonts w:ascii="Times New Roman" w:cs="Times New Roman" w:eastAsia="Times New Roman" w:hAnsi="Times New Roman"/>
                  <w:sz w:val="18"/>
                  <w:szCs w:val="18"/>
                  <w:color w:val="0000FF"/>
                </w:rPr>
                <w:t>Inc. 2021 Equity Incentive Plan (Executive Form) (incorporated by reference to Exhibit 10.5 of the Company’s Quarterly Report on</w:t>
              </w:r>
            </w:hyperlink>
          </w:p>
        </w:tc>
        <w:tc>
          <w:tcPr>
            <w:tcW w:w="340" w:type="dxa"/>
            <w:vAlign w:val="bottom"/>
            <w:gridSpan w:val="9"/>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342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FF"/>
              </w:rPr>
            </w:pPr>
            <w:hyperlink r:id="rId400">
              <w:r>
                <w:rPr>
                  <w:rFonts w:ascii="Times New Roman" w:cs="Times New Roman" w:eastAsia="Times New Roman" w:hAnsi="Times New Roman"/>
                  <w:sz w:val="18"/>
                  <w:szCs w:val="18"/>
                  <w:color w:val="0000FF"/>
                </w:rPr>
                <w:t>Form 10-Q for the quarter ended May 4, 2024)</w:t>
              </w:r>
            </w:hyperlink>
          </w:p>
        </w:tc>
        <w:tc>
          <w:tcPr>
            <w:tcW w:w="6460" w:type="dxa"/>
            <w:vAlign w:val="bottom"/>
            <w:gridSpan w:val="20"/>
          </w:tcPr>
          <w:p>
            <w:pPr>
              <w:spacing w:after="0"/>
              <w:rPr>
                <w:sz w:val="17"/>
                <w:szCs w:val="17"/>
                <w:color w:val="auto"/>
              </w:rPr>
            </w:pPr>
          </w:p>
        </w:tc>
      </w:tr>
      <w:tr>
        <w:trPr>
          <w:trHeight w:val="318"/>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10.14†</w:t>
            </w:r>
          </w:p>
        </w:tc>
        <w:tc>
          <w:tcPr>
            <w:tcW w:w="9740" w:type="dxa"/>
            <w:vAlign w:val="bottom"/>
            <w:tcBorders>
              <w:bottom w:val="single" w:sz="8" w:color="0000EE"/>
            </w:tcBorders>
            <w:gridSpan w:val="19"/>
          </w:tcPr>
          <w:p>
            <w:pPr>
              <w:spacing w:after="0"/>
              <w:rPr>
                <w:rFonts w:ascii="Times New Roman" w:cs="Times New Roman" w:eastAsia="Times New Roman" w:hAnsi="Times New Roman"/>
                <w:sz w:val="18"/>
                <w:szCs w:val="18"/>
                <w:color w:val="0000FF"/>
              </w:rPr>
            </w:pPr>
            <w:hyperlink r:id="rId401">
              <w:r>
                <w:rPr>
                  <w:rFonts w:ascii="Times New Roman" w:cs="Times New Roman" w:eastAsia="Times New Roman" w:hAnsi="Times New Roman"/>
                  <w:sz w:val="18"/>
                  <w:szCs w:val="18"/>
                  <w:color w:val="0000FF"/>
                </w:rPr>
                <w:t>Offer Letter, dated July 17, 2024, between Joel D. Anderson and Petco Health and Wellness Company, Inc. (incorporated by reference</w:t>
              </w:r>
            </w:hyperlink>
          </w:p>
        </w:tc>
        <w:tc>
          <w:tcPr>
            <w:tcW w:w="140" w:type="dxa"/>
            <w:vAlign w:val="bottom"/>
            <w:gridSpan w:val="7"/>
          </w:tcPr>
          <w:p>
            <w:pPr>
              <w:spacing w:after="0"/>
              <w:rPr>
                <w:sz w:val="24"/>
                <w:szCs w:val="24"/>
                <w:color w:val="auto"/>
              </w:rPr>
            </w:pPr>
          </w:p>
        </w:tc>
      </w:tr>
      <w:tr>
        <w:trPr>
          <w:trHeight w:val="196"/>
        </w:trPr>
        <w:tc>
          <w:tcPr>
            <w:tcW w:w="1360" w:type="dxa"/>
            <w:vAlign w:val="bottom"/>
          </w:tcPr>
          <w:p>
            <w:pPr>
              <w:spacing w:after="0"/>
              <w:rPr>
                <w:sz w:val="17"/>
                <w:szCs w:val="17"/>
                <w:color w:val="auto"/>
              </w:rPr>
            </w:pPr>
          </w:p>
        </w:tc>
        <w:tc>
          <w:tcPr>
            <w:tcW w:w="622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FF"/>
                <w:w w:val="99"/>
              </w:rPr>
            </w:pPr>
            <w:hyperlink r:id="rId401">
              <w:r>
                <w:rPr>
                  <w:rFonts w:ascii="Times New Roman" w:cs="Times New Roman" w:eastAsia="Times New Roman" w:hAnsi="Times New Roman"/>
                  <w:sz w:val="18"/>
                  <w:szCs w:val="18"/>
                  <w:color w:val="0000FF"/>
                  <w:w w:val="99"/>
                </w:rPr>
                <w:t>to Exhibit 10.1 of the Company's Current Report on Form 8-K, filed on July 17, 2024)</w:t>
              </w:r>
            </w:hyperlink>
          </w:p>
        </w:tc>
        <w:tc>
          <w:tcPr>
            <w:tcW w:w="3660" w:type="dxa"/>
            <w:vAlign w:val="bottom"/>
            <w:gridSpan w:val="16"/>
          </w:tcPr>
          <w:p>
            <w:pPr>
              <w:spacing w:after="0"/>
              <w:rPr>
                <w:sz w:val="17"/>
                <w:szCs w:val="17"/>
                <w:color w:val="auto"/>
              </w:rPr>
            </w:pPr>
          </w:p>
        </w:tc>
      </w:tr>
      <w:tr>
        <w:trPr>
          <w:trHeight w:val="318"/>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10.15†</w:t>
            </w:r>
          </w:p>
        </w:tc>
        <w:tc>
          <w:tcPr>
            <w:tcW w:w="9880" w:type="dxa"/>
            <w:vAlign w:val="bottom"/>
            <w:tcBorders>
              <w:bottom w:val="single" w:sz="8" w:color="0000EE"/>
            </w:tcBorders>
            <w:gridSpan w:val="26"/>
          </w:tcPr>
          <w:p>
            <w:pPr>
              <w:spacing w:after="0"/>
              <w:rPr>
                <w:rFonts w:ascii="Times New Roman" w:cs="Times New Roman" w:eastAsia="Times New Roman" w:hAnsi="Times New Roman"/>
                <w:sz w:val="18"/>
                <w:szCs w:val="18"/>
                <w:color w:val="0000FF"/>
              </w:rPr>
            </w:pPr>
            <w:hyperlink r:id="rId402">
              <w:r>
                <w:rPr>
                  <w:rFonts w:ascii="Times New Roman" w:cs="Times New Roman" w:eastAsia="Times New Roman" w:hAnsi="Times New Roman"/>
                  <w:sz w:val="18"/>
                  <w:szCs w:val="18"/>
                  <w:color w:val="0000FF"/>
                </w:rPr>
                <w:t>Form of Restricted Stock Unit Award Grant Notice and Standard Terms and Conditions under the Petco Health and Wellness Company,</w:t>
              </w:r>
            </w:hyperlink>
          </w:p>
        </w:tc>
      </w:tr>
      <w:tr>
        <w:trPr>
          <w:trHeight w:val="196"/>
        </w:trPr>
        <w:tc>
          <w:tcPr>
            <w:tcW w:w="1360" w:type="dxa"/>
            <w:vAlign w:val="bottom"/>
          </w:tcPr>
          <w:p>
            <w:pPr>
              <w:spacing w:after="0"/>
              <w:rPr>
                <w:sz w:val="17"/>
                <w:szCs w:val="17"/>
                <w:color w:val="auto"/>
              </w:rPr>
            </w:pPr>
          </w:p>
        </w:tc>
        <w:tc>
          <w:tcPr>
            <w:tcW w:w="9840" w:type="dxa"/>
            <w:vAlign w:val="bottom"/>
            <w:tcBorders>
              <w:bottom w:val="single" w:sz="8" w:color="0000EE"/>
            </w:tcBorders>
            <w:gridSpan w:val="24"/>
          </w:tcPr>
          <w:p>
            <w:pPr>
              <w:spacing w:after="0" w:line="196" w:lineRule="exact"/>
              <w:rPr>
                <w:rFonts w:ascii="Times New Roman" w:cs="Times New Roman" w:eastAsia="Times New Roman" w:hAnsi="Times New Roman"/>
                <w:sz w:val="18"/>
                <w:szCs w:val="18"/>
                <w:color w:val="0000FF"/>
              </w:rPr>
            </w:pPr>
            <w:hyperlink r:id="rId402">
              <w:r>
                <w:rPr>
                  <w:rFonts w:ascii="Times New Roman" w:cs="Times New Roman" w:eastAsia="Times New Roman" w:hAnsi="Times New Roman"/>
                  <w:sz w:val="18"/>
                  <w:szCs w:val="18"/>
                  <w:color w:val="0000FF"/>
                </w:rPr>
                <w:t>Inc. 2021 Equity Incentive Plan (Director Form) (incorporated by reference to Exhibit 99.2 of the Company’s Registration Statement on</w:t>
              </w:r>
            </w:hyperlink>
          </w:p>
        </w:tc>
        <w:tc>
          <w:tcPr>
            <w:tcW w:w="40" w:type="dxa"/>
            <w:vAlign w:val="bottom"/>
            <w:gridSpan w:val="2"/>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9880" w:type="dxa"/>
            <w:vAlign w:val="bottom"/>
            <w:gridSpan w:val="26"/>
          </w:tcPr>
          <w:p>
            <w:pPr>
              <w:spacing w:after="0" w:line="196" w:lineRule="exact"/>
              <w:rPr>
                <w:rFonts w:ascii="Times New Roman" w:cs="Times New Roman" w:eastAsia="Times New Roman" w:hAnsi="Times New Roman"/>
                <w:sz w:val="18"/>
                <w:szCs w:val="18"/>
                <w:color w:val="0000FF"/>
              </w:rPr>
            </w:pPr>
            <w:hyperlink r:id="rId402">
              <w:r>
                <w:rPr>
                  <w:rFonts w:ascii="Times New Roman" w:cs="Times New Roman" w:eastAsia="Times New Roman" w:hAnsi="Times New Roman"/>
                  <w:sz w:val="18"/>
                  <w:szCs w:val="18"/>
                  <w:color w:val="0000FF"/>
                </w:rPr>
                <w:t>Form S-8, filed on January 19, 2021)</w:t>
              </w:r>
            </w:hyperlink>
          </w:p>
        </w:tc>
      </w:tr>
      <w:tr>
        <w:trPr>
          <w:trHeight w:val="20"/>
        </w:trPr>
        <w:tc>
          <w:tcPr>
            <w:tcW w:w="136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3880" w:type="dxa"/>
            <w:vAlign w:val="bottom"/>
            <w:gridSpan w:val="6"/>
          </w:tcPr>
          <w:p>
            <w:pPr>
              <w:spacing w:after="0" w:line="20" w:lineRule="exact"/>
              <w:rPr>
                <w:sz w:val="1"/>
                <w:szCs w:val="1"/>
                <w:color w:val="auto"/>
              </w:rPr>
            </w:pPr>
          </w:p>
        </w:tc>
        <w:tc>
          <w:tcPr>
            <w:tcW w:w="2120" w:type="dxa"/>
            <w:vAlign w:val="bottom"/>
            <w:gridSpan w:val="4"/>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10.16†</w:t>
            </w:r>
          </w:p>
        </w:tc>
        <w:tc>
          <w:tcPr>
            <w:tcW w:w="9400" w:type="dxa"/>
            <w:vAlign w:val="bottom"/>
            <w:tcBorders>
              <w:bottom w:val="single" w:sz="8" w:color="0000EE"/>
            </w:tcBorders>
            <w:gridSpan w:val="15"/>
          </w:tcPr>
          <w:p>
            <w:pPr>
              <w:spacing w:after="0"/>
              <w:rPr>
                <w:rFonts w:ascii="Times New Roman" w:cs="Times New Roman" w:eastAsia="Times New Roman" w:hAnsi="Times New Roman"/>
                <w:sz w:val="18"/>
                <w:szCs w:val="18"/>
                <w:color w:val="0000FF"/>
              </w:rPr>
            </w:pPr>
            <w:hyperlink r:id="rId403">
              <w:r>
                <w:rPr>
                  <w:rFonts w:ascii="Times New Roman" w:cs="Times New Roman" w:eastAsia="Times New Roman" w:hAnsi="Times New Roman"/>
                  <w:sz w:val="18"/>
                  <w:szCs w:val="18"/>
                  <w:color w:val="0000FF"/>
                </w:rPr>
                <w:t>Offer Letter, dated February 17, 2025, between Petco Health and Wellness Company, Inc. and Sabrina Simmons (incorporated by</w:t>
              </w:r>
            </w:hyperlink>
          </w:p>
        </w:tc>
        <w:tc>
          <w:tcPr>
            <w:tcW w:w="480" w:type="dxa"/>
            <w:vAlign w:val="bottom"/>
            <w:gridSpan w:val="11"/>
          </w:tcPr>
          <w:p>
            <w:pPr>
              <w:spacing w:after="0"/>
              <w:rPr>
                <w:sz w:val="24"/>
                <w:szCs w:val="24"/>
                <w:color w:val="auto"/>
              </w:rPr>
            </w:pPr>
          </w:p>
        </w:tc>
      </w:tr>
      <w:tr>
        <w:trPr>
          <w:trHeight w:val="196"/>
        </w:trPr>
        <w:tc>
          <w:tcPr>
            <w:tcW w:w="1360" w:type="dxa"/>
            <w:vAlign w:val="bottom"/>
          </w:tcPr>
          <w:p>
            <w:pPr>
              <w:spacing w:after="0"/>
              <w:rPr>
                <w:sz w:val="17"/>
                <w:szCs w:val="17"/>
                <w:color w:val="auto"/>
              </w:rPr>
            </w:pPr>
          </w:p>
        </w:tc>
        <w:tc>
          <w:tcPr>
            <w:tcW w:w="9880" w:type="dxa"/>
            <w:vAlign w:val="bottom"/>
            <w:gridSpan w:val="26"/>
          </w:tcPr>
          <w:p>
            <w:pPr>
              <w:spacing w:after="0" w:line="196" w:lineRule="exact"/>
              <w:rPr>
                <w:rFonts w:ascii="Times New Roman" w:cs="Times New Roman" w:eastAsia="Times New Roman" w:hAnsi="Times New Roman"/>
                <w:sz w:val="18"/>
                <w:szCs w:val="18"/>
                <w:color w:val="0000FF"/>
              </w:rPr>
            </w:pPr>
            <w:hyperlink r:id="rId403">
              <w:r>
                <w:rPr>
                  <w:rFonts w:ascii="Times New Roman" w:cs="Times New Roman" w:eastAsia="Times New Roman" w:hAnsi="Times New Roman"/>
                  <w:sz w:val="18"/>
                  <w:szCs w:val="18"/>
                  <w:color w:val="0000FF"/>
                </w:rPr>
                <w:t>reference to Exhibit 10.1 of the Company's Current Report on Form 8-K, filed on February 18, 2025)</w:t>
              </w:r>
            </w:hyperlink>
          </w:p>
        </w:tc>
      </w:tr>
      <w:tr>
        <w:trPr>
          <w:trHeight w:val="20"/>
        </w:trPr>
        <w:tc>
          <w:tcPr>
            <w:tcW w:w="136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720" w:type="dxa"/>
            <w:vAlign w:val="bottom"/>
            <w:gridSpan w:val="4"/>
            <w:shd w:val="clear" w:color="auto" w:fill="0000EE"/>
          </w:tcPr>
          <w:p>
            <w:pPr>
              <w:spacing w:after="0" w:line="20" w:lineRule="exact"/>
              <w:rPr>
                <w:sz w:val="1"/>
                <w:szCs w:val="1"/>
                <w:color w:val="auto"/>
              </w:rPr>
            </w:pPr>
          </w:p>
        </w:tc>
        <w:tc>
          <w:tcPr>
            <w:tcW w:w="3880" w:type="dxa"/>
            <w:vAlign w:val="bottom"/>
            <w:gridSpan w:val="6"/>
            <w:shd w:val="clear" w:color="auto" w:fill="0000EE"/>
          </w:tcPr>
          <w:p>
            <w:pPr>
              <w:spacing w:after="0" w:line="20" w:lineRule="exact"/>
              <w:rPr>
                <w:sz w:val="1"/>
                <w:szCs w:val="1"/>
                <w:color w:val="auto"/>
              </w:rPr>
            </w:pPr>
          </w:p>
        </w:tc>
        <w:tc>
          <w:tcPr>
            <w:tcW w:w="2400" w:type="dxa"/>
            <w:vAlign w:val="bottom"/>
            <w:gridSpan w:val="7"/>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10.17†</w:t>
            </w:r>
          </w:p>
        </w:tc>
        <w:tc>
          <w:tcPr>
            <w:tcW w:w="9800" w:type="dxa"/>
            <w:vAlign w:val="bottom"/>
            <w:tcBorders>
              <w:bottom w:val="single" w:sz="8" w:color="0000EE"/>
            </w:tcBorders>
            <w:gridSpan w:val="22"/>
          </w:tcPr>
          <w:p>
            <w:pPr>
              <w:spacing w:after="0"/>
              <w:rPr>
                <w:rFonts w:ascii="Times New Roman" w:cs="Times New Roman" w:eastAsia="Times New Roman" w:hAnsi="Times New Roman"/>
                <w:sz w:val="18"/>
                <w:szCs w:val="18"/>
                <w:color w:val="0000FF"/>
              </w:rPr>
            </w:pPr>
            <w:hyperlink r:id="rId404">
              <w:r>
                <w:rPr>
                  <w:rFonts w:ascii="Times New Roman" w:cs="Times New Roman" w:eastAsia="Times New Roman" w:hAnsi="Times New Roman"/>
                  <w:sz w:val="18"/>
                  <w:szCs w:val="18"/>
                  <w:color w:val="0000FF"/>
                </w:rPr>
                <w:t>Transition and Separation Agreement and General Release of Claims, dated February 20, 2025, between Petco Animal Supplies Stores,</w:t>
              </w:r>
            </w:hyperlink>
          </w:p>
        </w:tc>
        <w:tc>
          <w:tcPr>
            <w:tcW w:w="80" w:type="dxa"/>
            <w:vAlign w:val="bottom"/>
            <w:gridSpan w:val="4"/>
          </w:tcPr>
          <w:p>
            <w:pPr>
              <w:spacing w:after="0"/>
              <w:rPr>
                <w:sz w:val="24"/>
                <w:szCs w:val="24"/>
                <w:color w:val="auto"/>
              </w:rPr>
            </w:pPr>
          </w:p>
        </w:tc>
      </w:tr>
      <w:tr>
        <w:trPr>
          <w:trHeight w:val="196"/>
        </w:trPr>
        <w:tc>
          <w:tcPr>
            <w:tcW w:w="1360" w:type="dxa"/>
            <w:vAlign w:val="bottom"/>
          </w:tcPr>
          <w:p>
            <w:pPr>
              <w:spacing w:after="0"/>
              <w:rPr>
                <w:sz w:val="17"/>
                <w:szCs w:val="17"/>
                <w:color w:val="auto"/>
              </w:rPr>
            </w:pPr>
          </w:p>
        </w:tc>
        <w:tc>
          <w:tcPr>
            <w:tcW w:w="9880" w:type="dxa"/>
            <w:vAlign w:val="bottom"/>
            <w:gridSpan w:val="26"/>
          </w:tcPr>
          <w:p>
            <w:pPr>
              <w:spacing w:after="0" w:line="196" w:lineRule="exact"/>
              <w:rPr>
                <w:rFonts w:ascii="Times New Roman" w:cs="Times New Roman" w:eastAsia="Times New Roman" w:hAnsi="Times New Roman"/>
                <w:sz w:val="18"/>
                <w:szCs w:val="18"/>
                <w:color w:val="0000FF"/>
              </w:rPr>
            </w:pPr>
            <w:hyperlink r:id="rId404">
              <w:r>
                <w:rPr>
                  <w:rFonts w:ascii="Times New Roman" w:cs="Times New Roman" w:eastAsia="Times New Roman" w:hAnsi="Times New Roman"/>
                  <w:sz w:val="18"/>
                  <w:szCs w:val="18"/>
                  <w:color w:val="0000FF"/>
                </w:rPr>
                <w:t>Inc. and Brian LaRose (incorporated by reference to Exhibit 10.1 of the Company's Current Report on Form 8-K/A, filed on February</w:t>
              </w:r>
            </w:hyperlink>
          </w:p>
        </w:tc>
      </w:tr>
      <w:tr>
        <w:trPr>
          <w:trHeight w:val="196"/>
        </w:trPr>
        <w:tc>
          <w:tcPr>
            <w:tcW w:w="1360" w:type="dxa"/>
            <w:vAlign w:val="bottom"/>
          </w:tcPr>
          <w:p>
            <w:pPr>
              <w:spacing w:after="0"/>
              <w:rPr>
                <w:sz w:val="17"/>
                <w:szCs w:val="17"/>
                <w:color w:val="auto"/>
              </w:rPr>
            </w:pPr>
          </w:p>
        </w:tc>
        <w:tc>
          <w:tcPr>
            <w:tcW w:w="68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FF"/>
                <w:w w:val="95"/>
              </w:rPr>
            </w:pPr>
            <w:hyperlink r:id="rId404">
              <w:r>
                <w:rPr>
                  <w:rFonts w:ascii="Times New Roman" w:cs="Times New Roman" w:eastAsia="Times New Roman" w:hAnsi="Times New Roman"/>
                  <w:sz w:val="18"/>
                  <w:szCs w:val="18"/>
                  <w:color w:val="0000FF"/>
                  <w:w w:val="95"/>
                </w:rPr>
                <w:t>25, 2025)</w:t>
              </w:r>
            </w:hyperlink>
          </w:p>
        </w:tc>
        <w:tc>
          <w:tcPr>
            <w:tcW w:w="198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4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10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060" w:type="dxa"/>
            <w:vAlign w:val="bottom"/>
            <w:tcBorders>
              <w:top w:val="single" w:sz="8" w:color="0000EE"/>
            </w:tcBorders>
          </w:tcPr>
          <w:p>
            <w:pPr>
              <w:spacing w:after="0"/>
              <w:rPr>
                <w:sz w:val="17"/>
                <w:szCs w:val="17"/>
                <w:color w:val="auto"/>
              </w:rPr>
            </w:pPr>
          </w:p>
        </w:tc>
        <w:tc>
          <w:tcPr>
            <w:tcW w:w="19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18"/>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10.18†</w:t>
            </w:r>
          </w:p>
        </w:tc>
        <w:tc>
          <w:tcPr>
            <w:tcW w:w="9860" w:type="dxa"/>
            <w:vAlign w:val="bottom"/>
            <w:tcBorders>
              <w:bottom w:val="single" w:sz="8" w:color="0000EE"/>
            </w:tcBorders>
            <w:gridSpan w:val="25"/>
          </w:tcPr>
          <w:p>
            <w:pPr>
              <w:spacing w:after="0"/>
              <w:rPr>
                <w:rFonts w:ascii="Times New Roman" w:cs="Times New Roman" w:eastAsia="Times New Roman" w:hAnsi="Times New Roman"/>
                <w:sz w:val="18"/>
                <w:szCs w:val="18"/>
                <w:color w:val="0000FF"/>
              </w:rPr>
            </w:pPr>
            <w:hyperlink r:id="rId405">
              <w:r>
                <w:rPr>
                  <w:rFonts w:ascii="Times New Roman" w:cs="Times New Roman" w:eastAsia="Times New Roman" w:hAnsi="Times New Roman"/>
                  <w:sz w:val="18"/>
                  <w:szCs w:val="18"/>
                  <w:color w:val="0000FF"/>
                </w:rPr>
                <w:t>Amended and Restated Grant Notice for Inducement Restricted Stock Unit Award, effective December 2, 2024, between Glenn Murphy</w:t>
              </w:r>
            </w:hyperlink>
          </w:p>
        </w:tc>
        <w:tc>
          <w:tcPr>
            <w:tcW w:w="20" w:type="dxa"/>
            <w:vAlign w:val="bottom"/>
          </w:tcPr>
          <w:p>
            <w:pPr>
              <w:spacing w:after="0"/>
              <w:rPr>
                <w:sz w:val="24"/>
                <w:szCs w:val="24"/>
                <w:color w:val="auto"/>
              </w:rPr>
            </w:pPr>
          </w:p>
        </w:tc>
      </w:tr>
      <w:tr>
        <w:trPr>
          <w:trHeight w:val="196"/>
        </w:trPr>
        <w:tc>
          <w:tcPr>
            <w:tcW w:w="1360" w:type="dxa"/>
            <w:vAlign w:val="bottom"/>
          </w:tcPr>
          <w:p>
            <w:pPr>
              <w:spacing w:after="0"/>
              <w:rPr>
                <w:sz w:val="17"/>
                <w:szCs w:val="17"/>
                <w:color w:val="auto"/>
              </w:rPr>
            </w:pPr>
          </w:p>
        </w:tc>
        <w:tc>
          <w:tcPr>
            <w:tcW w:w="340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FF"/>
              </w:rPr>
            </w:pPr>
            <w:hyperlink r:id="rId405">
              <w:r>
                <w:rPr>
                  <w:rFonts w:ascii="Times New Roman" w:cs="Times New Roman" w:eastAsia="Times New Roman" w:hAnsi="Times New Roman"/>
                  <w:sz w:val="18"/>
                  <w:szCs w:val="18"/>
                  <w:color w:val="0000FF"/>
                </w:rPr>
                <w:t>and Petco Health and Wellness Company, Inc.</w:t>
              </w:r>
            </w:hyperlink>
          </w:p>
        </w:tc>
        <w:tc>
          <w:tcPr>
            <w:tcW w:w="6480" w:type="dxa"/>
            <w:vAlign w:val="bottom"/>
            <w:gridSpan w:val="21"/>
          </w:tcPr>
          <w:p>
            <w:pPr>
              <w:spacing w:after="0"/>
              <w:rPr>
                <w:sz w:val="17"/>
                <w:szCs w:val="17"/>
                <w:color w:val="auto"/>
              </w:rPr>
            </w:pPr>
          </w:p>
        </w:tc>
      </w:tr>
      <w:tr>
        <w:trPr>
          <w:trHeight w:val="669"/>
        </w:trPr>
        <w:tc>
          <w:tcPr>
            <w:tcW w:w="1360" w:type="dxa"/>
            <w:vAlign w:val="bottom"/>
          </w:tcPr>
          <w:p>
            <w:pPr>
              <w:spacing w:after="0"/>
              <w:rPr>
                <w:sz w:val="24"/>
                <w:szCs w:val="24"/>
                <w:color w:val="auto"/>
              </w:rPr>
            </w:pPr>
          </w:p>
        </w:tc>
        <w:tc>
          <w:tcPr>
            <w:tcW w:w="4900" w:type="dxa"/>
            <w:vAlign w:val="bottom"/>
            <w:gridSpan w:val="7"/>
          </w:tcPr>
          <w:p>
            <w:pPr>
              <w:ind w:left="4120"/>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763"/>
        </w:trPr>
        <w:tc>
          <w:tcPr>
            <w:tcW w:w="136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9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9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0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0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2" w:name="page103"/>
    <w:bookmarkEnd w:id="102"/>
    <w:tbl>
      <w:tblPr>
        <w:tblLayout w:type="fixed"/>
        <w:tblInd w:w="0" w:type="dxa"/>
        <w:tblCellMar>
          <w:top w:w="0" w:type="dxa"/>
          <w:left w:w="0" w:type="dxa"/>
          <w:bottom w:w="0" w:type="dxa"/>
          <w:right w:w="0" w:type="dxa"/>
        </w:tblCellMar>
      </w:tblPr>
      <w:tr>
        <w:trPr>
          <w:trHeight w:val="207"/>
        </w:trPr>
        <w:tc>
          <w:tcPr>
            <w:tcW w:w="1360" w:type="dxa"/>
            <w:vAlign w:val="bottom"/>
          </w:tcPr>
          <w:p>
            <w:pPr>
              <w:spacing w:after="0"/>
              <w:rPr>
                <w:sz w:val="17"/>
                <w:szCs w:val="17"/>
                <w:color w:val="auto"/>
              </w:rPr>
            </w:pPr>
          </w:p>
        </w:tc>
        <w:tc>
          <w:tcPr>
            <w:tcW w:w="9680" w:type="dxa"/>
            <w:vAlign w:val="bottom"/>
            <w:tcBorders>
              <w:bottom w:val="single" w:sz="8" w:color="0000EE"/>
            </w:tcBorders>
            <w:gridSpan w:val="20"/>
          </w:tcPr>
          <w:p>
            <w:pPr>
              <w:spacing w:after="0"/>
              <w:rPr>
                <w:rFonts w:ascii="Times New Roman" w:cs="Times New Roman" w:eastAsia="Times New Roman" w:hAnsi="Times New Roman"/>
                <w:sz w:val="18"/>
                <w:szCs w:val="18"/>
                <w:color w:val="0000FF"/>
                <w:w w:val="99"/>
              </w:rPr>
            </w:pPr>
            <w:hyperlink r:id="rId405">
              <w:r>
                <w:rPr>
                  <w:rFonts w:ascii="Times New Roman" w:cs="Times New Roman" w:eastAsia="Times New Roman" w:hAnsi="Times New Roman"/>
                  <w:sz w:val="18"/>
                  <w:szCs w:val="18"/>
                  <w:color w:val="0000FF"/>
                  <w:w w:val="99"/>
                </w:rPr>
                <w:t>(incorporated by reference to Exhibit 10.44 of the Company's Annual Report on Form 10-K for the fisca year ended February 1, 2025)</w:t>
              </w:r>
            </w:hyperlink>
          </w:p>
        </w:tc>
        <w:tc>
          <w:tcPr>
            <w:tcW w:w="200" w:type="dxa"/>
            <w:vAlign w:val="bottom"/>
            <w:gridSpan w:val="5"/>
          </w:tcPr>
          <w:p>
            <w:pPr>
              <w:spacing w:after="0"/>
              <w:rPr>
                <w:sz w:val="17"/>
                <w:szCs w:val="17"/>
                <w:color w:val="auto"/>
              </w:rPr>
            </w:pPr>
          </w:p>
        </w:tc>
      </w:tr>
      <w:tr>
        <w:trPr>
          <w:trHeight w:val="318"/>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10.19†</w:t>
            </w:r>
          </w:p>
        </w:tc>
        <w:tc>
          <w:tcPr>
            <w:tcW w:w="9860" w:type="dxa"/>
            <w:vAlign w:val="bottom"/>
            <w:tcBorders>
              <w:bottom w:val="single" w:sz="8" w:color="0000EE"/>
            </w:tcBorders>
            <w:gridSpan w:val="24"/>
          </w:tcPr>
          <w:p>
            <w:pPr>
              <w:spacing w:after="0"/>
              <w:rPr>
                <w:rFonts w:ascii="Times New Roman" w:cs="Times New Roman" w:eastAsia="Times New Roman" w:hAnsi="Times New Roman"/>
                <w:sz w:val="18"/>
                <w:szCs w:val="18"/>
                <w:color w:val="0000FF"/>
              </w:rPr>
            </w:pPr>
            <w:hyperlink r:id="rId408">
              <w:r>
                <w:rPr>
                  <w:rFonts w:ascii="Times New Roman" w:cs="Times New Roman" w:eastAsia="Times New Roman" w:hAnsi="Times New Roman"/>
                  <w:sz w:val="18"/>
                  <w:szCs w:val="18"/>
                  <w:color w:val="0000FF"/>
                </w:rPr>
                <w:t>Form of Restricted Stock Unit Award Grant Notice and Standard Terms and Conditions under the Petco Health and Wellness Company,</w:t>
              </w:r>
            </w:hyperlink>
          </w:p>
        </w:tc>
        <w:tc>
          <w:tcPr>
            <w:tcW w:w="20" w:type="dxa"/>
            <w:vAlign w:val="bottom"/>
          </w:tcPr>
          <w:p>
            <w:pPr>
              <w:spacing w:after="0"/>
              <w:rPr>
                <w:sz w:val="24"/>
                <w:szCs w:val="24"/>
                <w:color w:val="auto"/>
              </w:rPr>
            </w:pPr>
          </w:p>
        </w:tc>
      </w:tr>
      <w:tr>
        <w:trPr>
          <w:trHeight w:val="196"/>
        </w:trPr>
        <w:tc>
          <w:tcPr>
            <w:tcW w:w="1360" w:type="dxa"/>
            <w:vAlign w:val="bottom"/>
          </w:tcPr>
          <w:p>
            <w:pPr>
              <w:spacing w:after="0"/>
              <w:rPr>
                <w:sz w:val="17"/>
                <w:szCs w:val="17"/>
                <w:color w:val="auto"/>
              </w:rPr>
            </w:pPr>
          </w:p>
        </w:tc>
        <w:tc>
          <w:tcPr>
            <w:tcW w:w="9880" w:type="dxa"/>
            <w:vAlign w:val="bottom"/>
            <w:tcBorders>
              <w:bottom w:val="single" w:sz="8" w:color="0000EE"/>
            </w:tcBorders>
            <w:gridSpan w:val="25"/>
          </w:tcPr>
          <w:p>
            <w:pPr>
              <w:spacing w:after="0" w:line="196" w:lineRule="exact"/>
              <w:rPr>
                <w:rFonts w:ascii="Times New Roman" w:cs="Times New Roman" w:eastAsia="Times New Roman" w:hAnsi="Times New Roman"/>
                <w:sz w:val="18"/>
                <w:szCs w:val="18"/>
                <w:color w:val="0000FF"/>
              </w:rPr>
            </w:pPr>
            <w:hyperlink r:id="rId408">
              <w:r>
                <w:rPr>
                  <w:rFonts w:ascii="Times New Roman" w:cs="Times New Roman" w:eastAsia="Times New Roman" w:hAnsi="Times New Roman"/>
                  <w:sz w:val="18"/>
                  <w:szCs w:val="18"/>
                  <w:color w:val="0000FF"/>
                </w:rPr>
                <w:t>Inc. 2021 Equity Incentive Plan (2025 Executive Form) (incorporated by reference to Exhibit 10.46 of the Company’s Annual Report on</w:t>
              </w:r>
            </w:hyperlink>
          </w:p>
        </w:tc>
      </w:tr>
      <w:tr>
        <w:trPr>
          <w:trHeight w:val="196"/>
        </w:trPr>
        <w:tc>
          <w:tcPr>
            <w:tcW w:w="1360" w:type="dxa"/>
            <w:vAlign w:val="bottom"/>
          </w:tcPr>
          <w:p>
            <w:pPr>
              <w:spacing w:after="0"/>
              <w:rPr>
                <w:sz w:val="17"/>
                <w:szCs w:val="17"/>
                <w:color w:val="auto"/>
              </w:rPr>
            </w:pPr>
          </w:p>
        </w:tc>
        <w:tc>
          <w:tcPr>
            <w:tcW w:w="398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FF"/>
              </w:rPr>
            </w:pPr>
            <w:hyperlink r:id="rId408">
              <w:r>
                <w:rPr>
                  <w:rFonts w:ascii="Times New Roman" w:cs="Times New Roman" w:eastAsia="Times New Roman" w:hAnsi="Times New Roman"/>
                  <w:sz w:val="18"/>
                  <w:szCs w:val="18"/>
                  <w:color w:val="0000FF"/>
                </w:rPr>
                <w:t>Form 10-K for the fiscal year ended February 1, 2025)</w:t>
              </w:r>
            </w:hyperlink>
          </w:p>
        </w:tc>
        <w:tc>
          <w:tcPr>
            <w:tcW w:w="5900" w:type="dxa"/>
            <w:vAlign w:val="bottom"/>
            <w:gridSpan w:val="19"/>
          </w:tcPr>
          <w:p>
            <w:pPr>
              <w:spacing w:after="0"/>
              <w:rPr>
                <w:sz w:val="17"/>
                <w:szCs w:val="17"/>
                <w:color w:val="auto"/>
              </w:rPr>
            </w:pPr>
          </w:p>
        </w:tc>
      </w:tr>
      <w:tr>
        <w:trPr>
          <w:trHeight w:val="318"/>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10.20†</w:t>
            </w:r>
          </w:p>
        </w:tc>
        <w:tc>
          <w:tcPr>
            <w:tcW w:w="9800" w:type="dxa"/>
            <w:vAlign w:val="bottom"/>
            <w:tcBorders>
              <w:bottom w:val="single" w:sz="8" w:color="0000EE"/>
            </w:tcBorders>
            <w:gridSpan w:val="21"/>
          </w:tcPr>
          <w:p>
            <w:pPr>
              <w:spacing w:after="0"/>
              <w:rPr>
                <w:rFonts w:ascii="Times New Roman" w:cs="Times New Roman" w:eastAsia="Times New Roman" w:hAnsi="Times New Roman"/>
                <w:sz w:val="18"/>
                <w:szCs w:val="18"/>
                <w:color w:val="0000FF"/>
              </w:rPr>
            </w:pPr>
            <w:hyperlink r:id="rId409">
              <w:r>
                <w:rPr>
                  <w:rFonts w:ascii="Times New Roman" w:cs="Times New Roman" w:eastAsia="Times New Roman" w:hAnsi="Times New Roman"/>
                  <w:sz w:val="18"/>
                  <w:szCs w:val="18"/>
                  <w:color w:val="0000FF"/>
                </w:rPr>
                <w:t>Form of Nonqualified Stock Options Grant Notice and Standard Terms and Conditions under the Petco Health and Wellness Company,</w:t>
              </w:r>
            </w:hyperlink>
          </w:p>
        </w:tc>
        <w:tc>
          <w:tcPr>
            <w:tcW w:w="80" w:type="dxa"/>
            <w:vAlign w:val="bottom"/>
            <w:gridSpan w:val="4"/>
          </w:tcPr>
          <w:p>
            <w:pPr>
              <w:spacing w:after="0"/>
              <w:rPr>
                <w:sz w:val="24"/>
                <w:szCs w:val="24"/>
                <w:color w:val="auto"/>
              </w:rPr>
            </w:pPr>
          </w:p>
        </w:tc>
      </w:tr>
      <w:tr>
        <w:trPr>
          <w:trHeight w:val="196"/>
        </w:trPr>
        <w:tc>
          <w:tcPr>
            <w:tcW w:w="1360" w:type="dxa"/>
            <w:vAlign w:val="bottom"/>
          </w:tcPr>
          <w:p>
            <w:pPr>
              <w:spacing w:after="0"/>
              <w:rPr>
                <w:sz w:val="17"/>
                <w:szCs w:val="17"/>
                <w:color w:val="auto"/>
              </w:rPr>
            </w:pPr>
          </w:p>
        </w:tc>
        <w:tc>
          <w:tcPr>
            <w:tcW w:w="9880" w:type="dxa"/>
            <w:vAlign w:val="bottom"/>
            <w:tcBorders>
              <w:bottom w:val="single" w:sz="8" w:color="0000EE"/>
            </w:tcBorders>
            <w:gridSpan w:val="25"/>
          </w:tcPr>
          <w:p>
            <w:pPr>
              <w:spacing w:after="0" w:line="196" w:lineRule="exact"/>
              <w:rPr>
                <w:rFonts w:ascii="Times New Roman" w:cs="Times New Roman" w:eastAsia="Times New Roman" w:hAnsi="Times New Roman"/>
                <w:sz w:val="18"/>
                <w:szCs w:val="18"/>
                <w:color w:val="0000FF"/>
              </w:rPr>
            </w:pPr>
            <w:hyperlink r:id="rId409">
              <w:r>
                <w:rPr>
                  <w:rFonts w:ascii="Times New Roman" w:cs="Times New Roman" w:eastAsia="Times New Roman" w:hAnsi="Times New Roman"/>
                  <w:sz w:val="18"/>
                  <w:szCs w:val="18"/>
                  <w:color w:val="0000FF"/>
                </w:rPr>
                <w:t>Inc. 2021 Equity Incentive Plan (2025 Executive Form) (incorporated by reference to Exhibit 10.47 of the Company’s Annual Report on</w:t>
              </w:r>
            </w:hyperlink>
          </w:p>
        </w:tc>
      </w:tr>
      <w:tr>
        <w:trPr>
          <w:trHeight w:val="196"/>
        </w:trPr>
        <w:tc>
          <w:tcPr>
            <w:tcW w:w="1360" w:type="dxa"/>
            <w:vAlign w:val="bottom"/>
          </w:tcPr>
          <w:p>
            <w:pPr>
              <w:spacing w:after="0"/>
              <w:rPr>
                <w:sz w:val="17"/>
                <w:szCs w:val="17"/>
                <w:color w:val="auto"/>
              </w:rPr>
            </w:pPr>
          </w:p>
        </w:tc>
        <w:tc>
          <w:tcPr>
            <w:tcW w:w="9880" w:type="dxa"/>
            <w:vAlign w:val="bottom"/>
            <w:gridSpan w:val="25"/>
          </w:tcPr>
          <w:p>
            <w:pPr>
              <w:spacing w:after="0" w:line="196" w:lineRule="exact"/>
              <w:rPr>
                <w:rFonts w:ascii="Times New Roman" w:cs="Times New Roman" w:eastAsia="Times New Roman" w:hAnsi="Times New Roman"/>
                <w:sz w:val="18"/>
                <w:szCs w:val="18"/>
                <w:color w:val="0000FF"/>
              </w:rPr>
            </w:pPr>
            <w:hyperlink r:id="rId409">
              <w:r>
                <w:rPr>
                  <w:rFonts w:ascii="Times New Roman" w:cs="Times New Roman" w:eastAsia="Times New Roman" w:hAnsi="Times New Roman"/>
                  <w:sz w:val="18"/>
                  <w:szCs w:val="18"/>
                  <w:color w:val="0000FF"/>
                </w:rPr>
                <w:t>Form 10-K for the fiscal year ended February 1, 2025)</w:t>
              </w:r>
            </w:hyperlink>
          </w:p>
        </w:tc>
      </w:tr>
      <w:tr>
        <w:trPr>
          <w:trHeight w:val="20"/>
        </w:trPr>
        <w:tc>
          <w:tcPr>
            <w:tcW w:w="1360" w:type="dxa"/>
            <w:vAlign w:val="bottom"/>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320" w:type="dxa"/>
            <w:vAlign w:val="bottom"/>
            <w:tcBorders>
              <w:right w:val="single" w:sz="8" w:color="0000EE"/>
            </w:tcBorders>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18"/>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10.21†</w:t>
            </w:r>
          </w:p>
        </w:tc>
        <w:tc>
          <w:tcPr>
            <w:tcW w:w="9200" w:type="dxa"/>
            <w:vAlign w:val="bottom"/>
            <w:tcBorders>
              <w:bottom w:val="single" w:sz="8" w:color="0000EE"/>
            </w:tcBorders>
            <w:gridSpan w:val="11"/>
          </w:tcPr>
          <w:p>
            <w:pPr>
              <w:spacing w:after="0"/>
              <w:rPr>
                <w:rFonts w:ascii="Times New Roman" w:cs="Times New Roman" w:eastAsia="Times New Roman" w:hAnsi="Times New Roman"/>
                <w:sz w:val="18"/>
                <w:szCs w:val="18"/>
                <w:color w:val="0000FF"/>
              </w:rPr>
            </w:pPr>
            <w:hyperlink r:id="rId410">
              <w:r>
                <w:rPr>
                  <w:rFonts w:ascii="Times New Roman" w:cs="Times New Roman" w:eastAsia="Times New Roman" w:hAnsi="Times New Roman"/>
                  <w:sz w:val="18"/>
                  <w:szCs w:val="18"/>
                  <w:color w:val="0000FF"/>
                </w:rPr>
                <w:t>Form of Performance Stock Unit Award Grant Notice and Standard terms and Conditions under the Petco Health and Wellness</w:t>
              </w:r>
            </w:hyperlink>
          </w:p>
        </w:tc>
        <w:tc>
          <w:tcPr>
            <w:tcW w:w="680" w:type="dxa"/>
            <w:vAlign w:val="bottom"/>
            <w:gridSpan w:val="14"/>
          </w:tcPr>
          <w:p>
            <w:pPr>
              <w:spacing w:after="0"/>
              <w:rPr>
                <w:sz w:val="24"/>
                <w:szCs w:val="24"/>
                <w:color w:val="auto"/>
              </w:rPr>
            </w:pPr>
          </w:p>
        </w:tc>
      </w:tr>
      <w:tr>
        <w:trPr>
          <w:trHeight w:val="196"/>
        </w:trPr>
        <w:tc>
          <w:tcPr>
            <w:tcW w:w="1360" w:type="dxa"/>
            <w:vAlign w:val="bottom"/>
          </w:tcPr>
          <w:p>
            <w:pPr>
              <w:spacing w:after="0"/>
              <w:rPr>
                <w:sz w:val="17"/>
                <w:szCs w:val="17"/>
                <w:color w:val="auto"/>
              </w:rPr>
            </w:pPr>
          </w:p>
        </w:tc>
        <w:tc>
          <w:tcPr>
            <w:tcW w:w="9880" w:type="dxa"/>
            <w:vAlign w:val="bottom"/>
            <w:tcBorders>
              <w:bottom w:val="single" w:sz="8" w:color="0000EE"/>
            </w:tcBorders>
            <w:gridSpan w:val="25"/>
          </w:tcPr>
          <w:p>
            <w:pPr>
              <w:spacing w:after="0" w:line="196" w:lineRule="exact"/>
              <w:rPr>
                <w:rFonts w:ascii="Times New Roman" w:cs="Times New Roman" w:eastAsia="Times New Roman" w:hAnsi="Times New Roman"/>
                <w:sz w:val="18"/>
                <w:szCs w:val="18"/>
                <w:color w:val="0000FF"/>
                <w:w w:val="99"/>
              </w:rPr>
            </w:pPr>
            <w:hyperlink r:id="rId410">
              <w:r>
                <w:rPr>
                  <w:rFonts w:ascii="Times New Roman" w:cs="Times New Roman" w:eastAsia="Times New Roman" w:hAnsi="Times New Roman"/>
                  <w:sz w:val="18"/>
                  <w:szCs w:val="18"/>
                  <w:color w:val="0000FF"/>
                  <w:w w:val="99"/>
                </w:rPr>
                <w:t>Company, Inc. 2021 Equity Incentive Plan (2025 Executive Form) (incorporated by reference to Exhibit 10.48 of the Company’s Annual</w:t>
              </w:r>
            </w:hyperlink>
          </w:p>
        </w:tc>
      </w:tr>
      <w:tr>
        <w:trPr>
          <w:trHeight w:val="196"/>
        </w:trPr>
        <w:tc>
          <w:tcPr>
            <w:tcW w:w="1360" w:type="dxa"/>
            <w:vAlign w:val="bottom"/>
          </w:tcPr>
          <w:p>
            <w:pPr>
              <w:spacing w:after="0"/>
              <w:rPr>
                <w:sz w:val="17"/>
                <w:szCs w:val="17"/>
                <w:color w:val="auto"/>
              </w:rPr>
            </w:pPr>
          </w:p>
        </w:tc>
        <w:tc>
          <w:tcPr>
            <w:tcW w:w="9880" w:type="dxa"/>
            <w:vAlign w:val="bottom"/>
            <w:gridSpan w:val="25"/>
          </w:tcPr>
          <w:p>
            <w:pPr>
              <w:spacing w:after="0" w:line="196" w:lineRule="exact"/>
              <w:rPr>
                <w:rFonts w:ascii="Times New Roman" w:cs="Times New Roman" w:eastAsia="Times New Roman" w:hAnsi="Times New Roman"/>
                <w:sz w:val="18"/>
                <w:szCs w:val="18"/>
                <w:color w:val="0000FF"/>
              </w:rPr>
            </w:pPr>
            <w:hyperlink r:id="rId410">
              <w:r>
                <w:rPr>
                  <w:rFonts w:ascii="Times New Roman" w:cs="Times New Roman" w:eastAsia="Times New Roman" w:hAnsi="Times New Roman"/>
                  <w:sz w:val="18"/>
                  <w:szCs w:val="18"/>
                  <w:color w:val="0000FF"/>
                </w:rPr>
                <w:t>Report on Form 10-K for the fiscal year ended February 1, 2025)</w:t>
              </w:r>
            </w:hyperlink>
          </w:p>
        </w:tc>
      </w:tr>
      <w:tr>
        <w:trPr>
          <w:trHeight w:val="20"/>
        </w:trPr>
        <w:tc>
          <w:tcPr>
            <w:tcW w:w="1360" w:type="dxa"/>
            <w:vAlign w:val="bottom"/>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320" w:type="dxa"/>
            <w:vAlign w:val="bottom"/>
            <w:tcBorders>
              <w:right w:val="single" w:sz="8" w:color="0000EE"/>
            </w:tcBorders>
            <w:shd w:val="clear" w:color="auto" w:fill="0000EE"/>
          </w:tcPr>
          <w:p>
            <w:pPr>
              <w:spacing w:after="0" w:line="20" w:lineRule="exact"/>
              <w:rPr>
                <w:sz w:val="1"/>
                <w:szCs w:val="1"/>
                <w:color w:val="auto"/>
              </w:rPr>
            </w:pPr>
          </w:p>
        </w:tc>
        <w:tc>
          <w:tcPr>
            <w:tcW w:w="182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1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18"/>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10.22†</w:t>
            </w:r>
          </w:p>
        </w:tc>
        <w:tc>
          <w:tcPr>
            <w:tcW w:w="9860" w:type="dxa"/>
            <w:vAlign w:val="bottom"/>
            <w:tcBorders>
              <w:bottom w:val="single" w:sz="8" w:color="0000EE"/>
            </w:tcBorders>
            <w:gridSpan w:val="24"/>
          </w:tcPr>
          <w:p>
            <w:pPr>
              <w:spacing w:after="0"/>
              <w:rPr>
                <w:rFonts w:ascii="Times New Roman" w:cs="Times New Roman" w:eastAsia="Times New Roman" w:hAnsi="Times New Roman"/>
                <w:sz w:val="18"/>
                <w:szCs w:val="18"/>
                <w:color w:val="0000FF"/>
              </w:rPr>
            </w:pPr>
            <w:hyperlink r:id="rId411">
              <w:r>
                <w:rPr>
                  <w:rFonts w:ascii="Times New Roman" w:cs="Times New Roman" w:eastAsia="Times New Roman" w:hAnsi="Times New Roman"/>
                  <w:sz w:val="18"/>
                  <w:szCs w:val="18"/>
                  <w:color w:val="0000FF"/>
                </w:rPr>
                <w:t>Form of Restricted Stock Unit Award Grant Notice and Standard Terms and Conditions under the Petco Health and Wellness Company,</w:t>
              </w:r>
            </w:hyperlink>
          </w:p>
        </w:tc>
        <w:tc>
          <w:tcPr>
            <w:tcW w:w="20" w:type="dxa"/>
            <w:vAlign w:val="bottom"/>
          </w:tcPr>
          <w:p>
            <w:pPr>
              <w:spacing w:after="0"/>
              <w:rPr>
                <w:sz w:val="24"/>
                <w:szCs w:val="24"/>
                <w:color w:val="auto"/>
              </w:rPr>
            </w:pPr>
          </w:p>
        </w:tc>
      </w:tr>
      <w:tr>
        <w:trPr>
          <w:trHeight w:val="196"/>
        </w:trPr>
        <w:tc>
          <w:tcPr>
            <w:tcW w:w="1360" w:type="dxa"/>
            <w:vAlign w:val="bottom"/>
          </w:tcPr>
          <w:p>
            <w:pPr>
              <w:spacing w:after="0"/>
              <w:rPr>
                <w:sz w:val="17"/>
                <w:szCs w:val="17"/>
                <w:color w:val="auto"/>
              </w:rPr>
            </w:pPr>
          </w:p>
        </w:tc>
        <w:tc>
          <w:tcPr>
            <w:tcW w:w="952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FF"/>
              </w:rPr>
            </w:pPr>
            <w:hyperlink r:id="rId411">
              <w:r>
                <w:rPr>
                  <w:rFonts w:ascii="Times New Roman" w:cs="Times New Roman" w:eastAsia="Times New Roman" w:hAnsi="Times New Roman"/>
                  <w:sz w:val="18"/>
                  <w:szCs w:val="18"/>
                  <w:color w:val="0000FF"/>
                </w:rPr>
                <w:t>Inc. 2021 Equity Incentive Plan (2025 CEO Form) (incorporated by reference to Exhibit 10.49 of the Company’s Annual Report on</w:t>
              </w:r>
            </w:hyperlink>
          </w:p>
        </w:tc>
        <w:tc>
          <w:tcPr>
            <w:tcW w:w="360" w:type="dxa"/>
            <w:vAlign w:val="bottom"/>
            <w:gridSpan w:val="9"/>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9880" w:type="dxa"/>
            <w:vAlign w:val="bottom"/>
            <w:gridSpan w:val="25"/>
          </w:tcPr>
          <w:p>
            <w:pPr>
              <w:spacing w:after="0" w:line="196" w:lineRule="exact"/>
              <w:rPr>
                <w:rFonts w:ascii="Times New Roman" w:cs="Times New Roman" w:eastAsia="Times New Roman" w:hAnsi="Times New Roman"/>
                <w:sz w:val="18"/>
                <w:szCs w:val="18"/>
                <w:color w:val="0000FF"/>
              </w:rPr>
            </w:pPr>
            <w:hyperlink r:id="rId411">
              <w:r>
                <w:rPr>
                  <w:rFonts w:ascii="Times New Roman" w:cs="Times New Roman" w:eastAsia="Times New Roman" w:hAnsi="Times New Roman"/>
                  <w:sz w:val="18"/>
                  <w:szCs w:val="18"/>
                  <w:color w:val="0000FF"/>
                </w:rPr>
                <w:t>Form 10-K for the fiscal year ended February 1, 2025)</w:t>
              </w:r>
            </w:hyperlink>
          </w:p>
        </w:tc>
      </w:tr>
      <w:tr>
        <w:trPr>
          <w:trHeight w:val="20"/>
        </w:trPr>
        <w:tc>
          <w:tcPr>
            <w:tcW w:w="1360" w:type="dxa"/>
            <w:vAlign w:val="bottom"/>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320" w:type="dxa"/>
            <w:vAlign w:val="bottom"/>
            <w:tcBorders>
              <w:right w:val="single" w:sz="8" w:color="0000EE"/>
            </w:tcBorders>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31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18"/>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10.23†</w:t>
            </w:r>
          </w:p>
        </w:tc>
        <w:tc>
          <w:tcPr>
            <w:tcW w:w="9800" w:type="dxa"/>
            <w:vAlign w:val="bottom"/>
            <w:tcBorders>
              <w:bottom w:val="single" w:sz="8" w:color="0000EE"/>
            </w:tcBorders>
            <w:gridSpan w:val="21"/>
          </w:tcPr>
          <w:p>
            <w:pPr>
              <w:spacing w:after="0"/>
              <w:rPr>
                <w:rFonts w:ascii="Times New Roman" w:cs="Times New Roman" w:eastAsia="Times New Roman" w:hAnsi="Times New Roman"/>
                <w:sz w:val="18"/>
                <w:szCs w:val="18"/>
                <w:color w:val="0000FF"/>
              </w:rPr>
            </w:pPr>
            <w:hyperlink r:id="rId412">
              <w:r>
                <w:rPr>
                  <w:rFonts w:ascii="Times New Roman" w:cs="Times New Roman" w:eastAsia="Times New Roman" w:hAnsi="Times New Roman"/>
                  <w:sz w:val="18"/>
                  <w:szCs w:val="18"/>
                  <w:color w:val="0000FF"/>
                </w:rPr>
                <w:t>Form of Nonqualified Stock Options Grant Notice and Standard Terms and Conditions under the Petco Health and Wellness Company,</w:t>
              </w:r>
            </w:hyperlink>
          </w:p>
        </w:tc>
        <w:tc>
          <w:tcPr>
            <w:tcW w:w="80" w:type="dxa"/>
            <w:vAlign w:val="bottom"/>
            <w:gridSpan w:val="4"/>
          </w:tcPr>
          <w:p>
            <w:pPr>
              <w:spacing w:after="0"/>
              <w:rPr>
                <w:sz w:val="24"/>
                <w:szCs w:val="24"/>
                <w:color w:val="auto"/>
              </w:rPr>
            </w:pPr>
          </w:p>
        </w:tc>
      </w:tr>
      <w:tr>
        <w:trPr>
          <w:trHeight w:val="196"/>
        </w:trPr>
        <w:tc>
          <w:tcPr>
            <w:tcW w:w="1360" w:type="dxa"/>
            <w:vAlign w:val="bottom"/>
          </w:tcPr>
          <w:p>
            <w:pPr>
              <w:spacing w:after="0"/>
              <w:rPr>
                <w:sz w:val="17"/>
                <w:szCs w:val="17"/>
                <w:color w:val="auto"/>
              </w:rPr>
            </w:pPr>
          </w:p>
        </w:tc>
        <w:tc>
          <w:tcPr>
            <w:tcW w:w="952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FF"/>
              </w:rPr>
            </w:pPr>
            <w:hyperlink r:id="rId412">
              <w:r>
                <w:rPr>
                  <w:rFonts w:ascii="Times New Roman" w:cs="Times New Roman" w:eastAsia="Times New Roman" w:hAnsi="Times New Roman"/>
                  <w:sz w:val="18"/>
                  <w:szCs w:val="18"/>
                  <w:color w:val="0000FF"/>
                </w:rPr>
                <w:t>Inc. 2021 Equity Incentive Plan (2025 CEO Form) (incorporated by reference to Exhibit 10.50 of the Company’s Annual Report on</w:t>
              </w:r>
            </w:hyperlink>
          </w:p>
        </w:tc>
        <w:tc>
          <w:tcPr>
            <w:tcW w:w="360" w:type="dxa"/>
            <w:vAlign w:val="bottom"/>
            <w:gridSpan w:val="9"/>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9880" w:type="dxa"/>
            <w:vAlign w:val="bottom"/>
            <w:gridSpan w:val="25"/>
          </w:tcPr>
          <w:p>
            <w:pPr>
              <w:spacing w:after="0" w:line="196" w:lineRule="exact"/>
              <w:rPr>
                <w:rFonts w:ascii="Times New Roman" w:cs="Times New Roman" w:eastAsia="Times New Roman" w:hAnsi="Times New Roman"/>
                <w:sz w:val="18"/>
                <w:szCs w:val="18"/>
                <w:color w:val="0000FF"/>
              </w:rPr>
            </w:pPr>
            <w:hyperlink r:id="rId412">
              <w:r>
                <w:rPr>
                  <w:rFonts w:ascii="Times New Roman" w:cs="Times New Roman" w:eastAsia="Times New Roman" w:hAnsi="Times New Roman"/>
                  <w:sz w:val="18"/>
                  <w:szCs w:val="18"/>
                  <w:color w:val="0000FF"/>
                </w:rPr>
                <w:t>Form 10-K for the fiscal year ended February 1, 2025)</w:t>
              </w:r>
            </w:hyperlink>
          </w:p>
        </w:tc>
      </w:tr>
      <w:tr>
        <w:trPr>
          <w:trHeight w:val="20"/>
        </w:trPr>
        <w:tc>
          <w:tcPr>
            <w:tcW w:w="1360" w:type="dxa"/>
            <w:vAlign w:val="bottom"/>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320" w:type="dxa"/>
            <w:vAlign w:val="bottom"/>
            <w:tcBorders>
              <w:right w:val="single" w:sz="8" w:color="0000EE"/>
            </w:tcBorders>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31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18"/>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10.24†</w:t>
            </w:r>
          </w:p>
        </w:tc>
        <w:tc>
          <w:tcPr>
            <w:tcW w:w="9260" w:type="dxa"/>
            <w:vAlign w:val="bottom"/>
            <w:tcBorders>
              <w:bottom w:val="single" w:sz="8" w:color="0000EE"/>
            </w:tcBorders>
            <w:gridSpan w:val="12"/>
          </w:tcPr>
          <w:p>
            <w:pPr>
              <w:spacing w:after="0"/>
              <w:rPr>
                <w:rFonts w:ascii="Times New Roman" w:cs="Times New Roman" w:eastAsia="Times New Roman" w:hAnsi="Times New Roman"/>
                <w:sz w:val="18"/>
                <w:szCs w:val="18"/>
                <w:color w:val="0000FF"/>
              </w:rPr>
            </w:pPr>
            <w:hyperlink r:id="rId413">
              <w:r>
                <w:rPr>
                  <w:rFonts w:ascii="Times New Roman" w:cs="Times New Roman" w:eastAsia="Times New Roman" w:hAnsi="Times New Roman"/>
                  <w:sz w:val="18"/>
                  <w:szCs w:val="18"/>
                  <w:color w:val="0000FF"/>
                </w:rPr>
                <w:t>Form of Performance Stock Unit Award Grant Notice and Standard Terms and Conditions under the Petco Health and Wellness</w:t>
              </w:r>
            </w:hyperlink>
          </w:p>
        </w:tc>
        <w:tc>
          <w:tcPr>
            <w:tcW w:w="620" w:type="dxa"/>
            <w:vAlign w:val="bottom"/>
            <w:gridSpan w:val="13"/>
          </w:tcPr>
          <w:p>
            <w:pPr>
              <w:spacing w:after="0"/>
              <w:rPr>
                <w:sz w:val="24"/>
                <w:szCs w:val="24"/>
                <w:color w:val="auto"/>
              </w:rPr>
            </w:pPr>
          </w:p>
        </w:tc>
      </w:tr>
      <w:tr>
        <w:trPr>
          <w:trHeight w:val="196"/>
        </w:trPr>
        <w:tc>
          <w:tcPr>
            <w:tcW w:w="1360" w:type="dxa"/>
            <w:vAlign w:val="bottom"/>
          </w:tcPr>
          <w:p>
            <w:pPr>
              <w:spacing w:after="0"/>
              <w:rPr>
                <w:sz w:val="17"/>
                <w:szCs w:val="17"/>
                <w:color w:val="auto"/>
              </w:rPr>
            </w:pPr>
          </w:p>
        </w:tc>
        <w:tc>
          <w:tcPr>
            <w:tcW w:w="962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FF"/>
              </w:rPr>
            </w:pPr>
            <w:hyperlink r:id="rId413">
              <w:r>
                <w:rPr>
                  <w:rFonts w:ascii="Times New Roman" w:cs="Times New Roman" w:eastAsia="Times New Roman" w:hAnsi="Times New Roman"/>
                  <w:sz w:val="18"/>
                  <w:szCs w:val="18"/>
                  <w:color w:val="0000FF"/>
                </w:rPr>
                <w:t>Company, Inc. 2021 Equity Incentive Plan (CEO PSU Grant) (incorporated by reference to Exhibit 10.1 of the Company’s Quarterly</w:t>
              </w:r>
            </w:hyperlink>
          </w:p>
        </w:tc>
        <w:tc>
          <w:tcPr>
            <w:tcW w:w="260" w:type="dxa"/>
            <w:vAlign w:val="bottom"/>
            <w:gridSpan w:val="7"/>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456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FF"/>
                <w:w w:val="99"/>
              </w:rPr>
            </w:pPr>
            <w:hyperlink r:id="rId413">
              <w:r>
                <w:rPr>
                  <w:rFonts w:ascii="Times New Roman" w:cs="Times New Roman" w:eastAsia="Times New Roman" w:hAnsi="Times New Roman"/>
                  <w:sz w:val="18"/>
                  <w:szCs w:val="18"/>
                  <w:color w:val="0000FF"/>
                  <w:w w:val="99"/>
                </w:rPr>
                <w:t>Report on Form 10-Q for the quarter ended November 1, 2025)</w:t>
              </w:r>
            </w:hyperlink>
          </w:p>
        </w:tc>
        <w:tc>
          <w:tcPr>
            <w:tcW w:w="5320" w:type="dxa"/>
            <w:vAlign w:val="bottom"/>
            <w:gridSpan w:val="17"/>
          </w:tcPr>
          <w:p>
            <w:pPr>
              <w:spacing w:after="0"/>
              <w:rPr>
                <w:sz w:val="17"/>
                <w:szCs w:val="17"/>
                <w:color w:val="auto"/>
              </w:rPr>
            </w:pPr>
          </w:p>
        </w:tc>
      </w:tr>
      <w:tr>
        <w:trPr>
          <w:trHeight w:val="318"/>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10.25†</w:t>
            </w:r>
          </w:p>
        </w:tc>
        <w:tc>
          <w:tcPr>
            <w:tcW w:w="9880" w:type="dxa"/>
            <w:vAlign w:val="bottom"/>
            <w:tcBorders>
              <w:bottom w:val="single" w:sz="8" w:color="0000EE"/>
            </w:tcBorders>
            <w:gridSpan w:val="25"/>
          </w:tcPr>
          <w:p>
            <w:pPr>
              <w:spacing w:after="0"/>
              <w:rPr>
                <w:rFonts w:ascii="Times New Roman" w:cs="Times New Roman" w:eastAsia="Times New Roman" w:hAnsi="Times New Roman"/>
                <w:sz w:val="18"/>
                <w:szCs w:val="18"/>
                <w:color w:val="0000FF"/>
              </w:rPr>
            </w:pPr>
            <w:hyperlink r:id="rId414">
              <w:r>
                <w:rPr>
                  <w:rFonts w:ascii="Times New Roman" w:cs="Times New Roman" w:eastAsia="Times New Roman" w:hAnsi="Times New Roman"/>
                  <w:sz w:val="18"/>
                  <w:szCs w:val="18"/>
                  <w:color w:val="0000FF"/>
                </w:rPr>
                <w:t>Form of Grant Notice for Inducement Restricted Stock Unit Award and Standard Terms and Conditions for Inducement Restricted Stock</w:t>
              </w:r>
            </w:hyperlink>
          </w:p>
        </w:tc>
      </w:tr>
      <w:tr>
        <w:trPr>
          <w:trHeight w:val="196"/>
        </w:trPr>
        <w:tc>
          <w:tcPr>
            <w:tcW w:w="1360" w:type="dxa"/>
            <w:vAlign w:val="bottom"/>
          </w:tcPr>
          <w:p>
            <w:pPr>
              <w:spacing w:after="0"/>
              <w:rPr>
                <w:sz w:val="17"/>
                <w:szCs w:val="17"/>
                <w:color w:val="auto"/>
              </w:rPr>
            </w:pPr>
          </w:p>
        </w:tc>
        <w:tc>
          <w:tcPr>
            <w:tcW w:w="944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FF"/>
              </w:rPr>
            </w:pPr>
            <w:hyperlink r:id="rId414">
              <w:r>
                <w:rPr>
                  <w:rFonts w:ascii="Times New Roman" w:cs="Times New Roman" w:eastAsia="Times New Roman" w:hAnsi="Times New Roman"/>
                  <w:sz w:val="18"/>
                  <w:szCs w:val="18"/>
                  <w:color w:val="0000FF"/>
                </w:rPr>
                <w:t>Units (Romanko Form) (incorporated by reference to Exhibit 99.1 of the Company’s Registration Statement on Form S-8, filed on</w:t>
              </w:r>
            </w:hyperlink>
          </w:p>
        </w:tc>
        <w:tc>
          <w:tcPr>
            <w:tcW w:w="440" w:type="dxa"/>
            <w:vAlign w:val="bottom"/>
            <w:gridSpan w:val="11"/>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112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FF"/>
                <w:w w:val="98"/>
              </w:rPr>
            </w:pPr>
            <w:hyperlink r:id="rId414">
              <w:r>
                <w:rPr>
                  <w:rFonts w:ascii="Times New Roman" w:cs="Times New Roman" w:eastAsia="Times New Roman" w:hAnsi="Times New Roman"/>
                  <w:sz w:val="18"/>
                  <w:szCs w:val="18"/>
                  <w:color w:val="0000FF"/>
                  <w:w w:val="98"/>
                </w:rPr>
                <w:t>March 6, 2025)</w:t>
              </w:r>
            </w:hyperlink>
          </w:p>
        </w:tc>
        <w:tc>
          <w:tcPr>
            <w:tcW w:w="8760" w:type="dxa"/>
            <w:vAlign w:val="bottom"/>
            <w:gridSpan w:val="24"/>
          </w:tcPr>
          <w:p>
            <w:pPr>
              <w:spacing w:after="0"/>
              <w:rPr>
                <w:sz w:val="17"/>
                <w:szCs w:val="17"/>
                <w:color w:val="auto"/>
              </w:rPr>
            </w:pPr>
          </w:p>
        </w:tc>
      </w:tr>
      <w:tr>
        <w:trPr>
          <w:trHeight w:val="317"/>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10.26†</w:t>
            </w:r>
          </w:p>
        </w:tc>
        <w:tc>
          <w:tcPr>
            <w:tcW w:w="9820" w:type="dxa"/>
            <w:vAlign w:val="bottom"/>
            <w:tcBorders>
              <w:bottom w:val="single" w:sz="8" w:color="0000EE"/>
            </w:tcBorders>
            <w:gridSpan w:val="22"/>
          </w:tcPr>
          <w:p>
            <w:pPr>
              <w:spacing w:after="0"/>
              <w:rPr>
                <w:rFonts w:ascii="Times New Roman" w:cs="Times New Roman" w:eastAsia="Times New Roman" w:hAnsi="Times New Roman"/>
                <w:sz w:val="18"/>
                <w:szCs w:val="18"/>
                <w:color w:val="0000FF"/>
              </w:rPr>
            </w:pPr>
            <w:hyperlink r:id="rId415">
              <w:r>
                <w:rPr>
                  <w:rFonts w:ascii="Times New Roman" w:cs="Times New Roman" w:eastAsia="Times New Roman" w:hAnsi="Times New Roman"/>
                  <w:sz w:val="18"/>
                  <w:szCs w:val="18"/>
                  <w:color w:val="0000FF"/>
                </w:rPr>
                <w:t>Form of Grant Notice for Inducement Performance Stock Unit Award and Standard Terms and Conditions for Inducement Performance</w:t>
              </w:r>
            </w:hyperlink>
          </w:p>
        </w:tc>
        <w:tc>
          <w:tcPr>
            <w:tcW w:w="60" w:type="dxa"/>
            <w:vAlign w:val="bottom"/>
            <w:gridSpan w:val="3"/>
          </w:tcPr>
          <w:p>
            <w:pPr>
              <w:spacing w:after="0"/>
              <w:rPr>
                <w:sz w:val="24"/>
                <w:szCs w:val="24"/>
                <w:color w:val="auto"/>
              </w:rPr>
            </w:pPr>
          </w:p>
        </w:tc>
      </w:tr>
      <w:tr>
        <w:trPr>
          <w:trHeight w:val="196"/>
        </w:trPr>
        <w:tc>
          <w:tcPr>
            <w:tcW w:w="1360" w:type="dxa"/>
            <w:vAlign w:val="bottom"/>
          </w:tcPr>
          <w:p>
            <w:pPr>
              <w:spacing w:after="0"/>
              <w:rPr>
                <w:sz w:val="17"/>
                <w:szCs w:val="17"/>
                <w:color w:val="auto"/>
              </w:rPr>
            </w:pPr>
          </w:p>
        </w:tc>
        <w:tc>
          <w:tcPr>
            <w:tcW w:w="9880" w:type="dxa"/>
            <w:vAlign w:val="bottom"/>
            <w:tcBorders>
              <w:bottom w:val="single" w:sz="8" w:color="0000EE"/>
            </w:tcBorders>
            <w:gridSpan w:val="25"/>
          </w:tcPr>
          <w:p>
            <w:pPr>
              <w:spacing w:after="0" w:line="196" w:lineRule="exact"/>
              <w:rPr>
                <w:rFonts w:ascii="Times New Roman" w:cs="Times New Roman" w:eastAsia="Times New Roman" w:hAnsi="Times New Roman"/>
                <w:sz w:val="18"/>
                <w:szCs w:val="18"/>
                <w:color w:val="0000FF"/>
              </w:rPr>
            </w:pPr>
            <w:hyperlink r:id="rId415">
              <w:r>
                <w:rPr>
                  <w:rFonts w:ascii="Times New Roman" w:cs="Times New Roman" w:eastAsia="Times New Roman" w:hAnsi="Times New Roman"/>
                  <w:sz w:val="18"/>
                  <w:szCs w:val="18"/>
                  <w:color w:val="0000FF"/>
                </w:rPr>
                <w:t>Stock Units (Romanko Form) (incorporated by reference to Exhibit 99.2 of the Company’s Registration Statement on Form S-8, filed on</w:t>
              </w:r>
            </w:hyperlink>
          </w:p>
        </w:tc>
      </w:tr>
      <w:tr>
        <w:trPr>
          <w:trHeight w:val="196"/>
        </w:trPr>
        <w:tc>
          <w:tcPr>
            <w:tcW w:w="1360" w:type="dxa"/>
            <w:vAlign w:val="bottom"/>
          </w:tcPr>
          <w:p>
            <w:pPr>
              <w:spacing w:after="0"/>
              <w:rPr>
                <w:sz w:val="17"/>
                <w:szCs w:val="17"/>
                <w:color w:val="auto"/>
              </w:rPr>
            </w:pPr>
          </w:p>
        </w:tc>
        <w:tc>
          <w:tcPr>
            <w:tcW w:w="116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FF"/>
              </w:rPr>
            </w:pPr>
            <w:hyperlink r:id="rId415">
              <w:r>
                <w:rPr>
                  <w:rFonts w:ascii="Times New Roman" w:cs="Times New Roman" w:eastAsia="Times New Roman" w:hAnsi="Times New Roman"/>
                  <w:sz w:val="18"/>
                  <w:szCs w:val="18"/>
                  <w:color w:val="0000FF"/>
                </w:rPr>
                <w:t>March 6, 2025)</w:t>
              </w:r>
            </w:hyperlink>
          </w:p>
        </w:tc>
        <w:tc>
          <w:tcPr>
            <w:tcW w:w="8720" w:type="dxa"/>
            <w:vAlign w:val="bottom"/>
            <w:gridSpan w:val="23"/>
          </w:tcPr>
          <w:p>
            <w:pPr>
              <w:spacing w:after="0"/>
              <w:rPr>
                <w:sz w:val="17"/>
                <w:szCs w:val="17"/>
                <w:color w:val="auto"/>
              </w:rPr>
            </w:pPr>
          </w:p>
        </w:tc>
      </w:tr>
      <w:tr>
        <w:trPr>
          <w:trHeight w:val="318"/>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10.27†</w:t>
            </w:r>
          </w:p>
        </w:tc>
        <w:tc>
          <w:tcPr>
            <w:tcW w:w="9600" w:type="dxa"/>
            <w:vAlign w:val="bottom"/>
            <w:tcBorders>
              <w:bottom w:val="single" w:sz="8" w:color="0000EE"/>
            </w:tcBorders>
            <w:gridSpan w:val="17"/>
          </w:tcPr>
          <w:p>
            <w:pPr>
              <w:spacing w:after="0"/>
              <w:rPr>
                <w:rFonts w:ascii="Times New Roman" w:cs="Times New Roman" w:eastAsia="Times New Roman" w:hAnsi="Times New Roman"/>
                <w:sz w:val="18"/>
                <w:szCs w:val="18"/>
                <w:color w:val="0000FF"/>
              </w:rPr>
            </w:pPr>
            <w:hyperlink r:id="rId416">
              <w:r>
                <w:rPr>
                  <w:rFonts w:ascii="Times New Roman" w:cs="Times New Roman" w:eastAsia="Times New Roman" w:hAnsi="Times New Roman"/>
                  <w:sz w:val="18"/>
                  <w:szCs w:val="18"/>
                  <w:color w:val="0000FF"/>
                </w:rPr>
                <w:t>Form of Grant Notice for Inducement Nonqualified Stock Options and Standard Terms and Conditions for Inducement Nonqualified</w:t>
              </w:r>
            </w:hyperlink>
          </w:p>
        </w:tc>
        <w:tc>
          <w:tcPr>
            <w:tcW w:w="280" w:type="dxa"/>
            <w:vAlign w:val="bottom"/>
            <w:gridSpan w:val="8"/>
          </w:tcPr>
          <w:p>
            <w:pPr>
              <w:spacing w:after="0"/>
              <w:rPr>
                <w:sz w:val="24"/>
                <w:szCs w:val="24"/>
                <w:color w:val="auto"/>
              </w:rPr>
            </w:pPr>
          </w:p>
        </w:tc>
      </w:tr>
      <w:tr>
        <w:trPr>
          <w:trHeight w:val="196"/>
        </w:trPr>
        <w:tc>
          <w:tcPr>
            <w:tcW w:w="1360" w:type="dxa"/>
            <w:vAlign w:val="bottom"/>
          </w:tcPr>
          <w:p>
            <w:pPr>
              <w:spacing w:after="0"/>
              <w:rPr>
                <w:sz w:val="17"/>
                <w:szCs w:val="17"/>
                <w:color w:val="auto"/>
              </w:rPr>
            </w:pPr>
          </w:p>
        </w:tc>
        <w:tc>
          <w:tcPr>
            <w:tcW w:w="9840" w:type="dxa"/>
            <w:vAlign w:val="bottom"/>
            <w:tcBorders>
              <w:bottom w:val="single" w:sz="8" w:color="0000EE"/>
            </w:tcBorders>
            <w:gridSpan w:val="23"/>
          </w:tcPr>
          <w:p>
            <w:pPr>
              <w:spacing w:after="0" w:line="196" w:lineRule="exact"/>
              <w:rPr>
                <w:rFonts w:ascii="Times New Roman" w:cs="Times New Roman" w:eastAsia="Times New Roman" w:hAnsi="Times New Roman"/>
                <w:sz w:val="18"/>
                <w:szCs w:val="18"/>
                <w:color w:val="0000FF"/>
              </w:rPr>
            </w:pPr>
            <w:hyperlink r:id="rId416">
              <w:r>
                <w:rPr>
                  <w:rFonts w:ascii="Times New Roman" w:cs="Times New Roman" w:eastAsia="Times New Roman" w:hAnsi="Times New Roman"/>
                  <w:sz w:val="18"/>
                  <w:szCs w:val="18"/>
                  <w:color w:val="0000FF"/>
                </w:rPr>
                <w:t>Stock Options (Romanko Form) (incorporated by reference to Exhibit 99.3 of the Company’s Registration Statement on Form S-8, filed</w:t>
              </w:r>
            </w:hyperlink>
          </w:p>
        </w:tc>
        <w:tc>
          <w:tcPr>
            <w:tcW w:w="40" w:type="dxa"/>
            <w:vAlign w:val="bottom"/>
            <w:gridSpan w:val="2"/>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134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FF"/>
                <w:w w:val="98"/>
              </w:rPr>
            </w:pPr>
            <w:hyperlink r:id="rId416">
              <w:r>
                <w:rPr>
                  <w:rFonts w:ascii="Times New Roman" w:cs="Times New Roman" w:eastAsia="Times New Roman" w:hAnsi="Times New Roman"/>
                  <w:sz w:val="18"/>
                  <w:szCs w:val="18"/>
                  <w:color w:val="0000FF"/>
                  <w:w w:val="98"/>
                </w:rPr>
                <w:t>on March 6, 2025)</w:t>
              </w:r>
            </w:hyperlink>
          </w:p>
        </w:tc>
        <w:tc>
          <w:tcPr>
            <w:tcW w:w="8540" w:type="dxa"/>
            <w:vAlign w:val="bottom"/>
            <w:gridSpan w:val="22"/>
          </w:tcPr>
          <w:p>
            <w:pPr>
              <w:spacing w:after="0"/>
              <w:rPr>
                <w:sz w:val="17"/>
                <w:szCs w:val="17"/>
                <w:color w:val="auto"/>
              </w:rPr>
            </w:pPr>
          </w:p>
        </w:tc>
      </w:tr>
      <w:tr>
        <w:trPr>
          <w:trHeight w:val="318"/>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10.28†</w:t>
            </w:r>
          </w:p>
        </w:tc>
        <w:tc>
          <w:tcPr>
            <w:tcW w:w="9200" w:type="dxa"/>
            <w:vAlign w:val="bottom"/>
            <w:tcBorders>
              <w:bottom w:val="single" w:sz="8" w:color="0000EE"/>
            </w:tcBorders>
            <w:gridSpan w:val="11"/>
          </w:tcPr>
          <w:p>
            <w:pPr>
              <w:spacing w:after="0"/>
              <w:rPr>
                <w:rFonts w:ascii="Times New Roman" w:cs="Times New Roman" w:eastAsia="Times New Roman" w:hAnsi="Times New Roman"/>
                <w:sz w:val="18"/>
                <w:szCs w:val="18"/>
                <w:color w:val="0000FF"/>
              </w:rPr>
            </w:pPr>
            <w:hyperlink r:id="rId417">
              <w:r>
                <w:rPr>
                  <w:rFonts w:ascii="Times New Roman" w:cs="Times New Roman" w:eastAsia="Times New Roman" w:hAnsi="Times New Roman"/>
                  <w:sz w:val="18"/>
                  <w:szCs w:val="18"/>
                  <w:color w:val="0000FF"/>
                </w:rPr>
                <w:t>Form of Performance Stock Unit Award Grant Notice and Standard terms and Conditions under the Petco Health and Wellness</w:t>
              </w:r>
            </w:hyperlink>
          </w:p>
        </w:tc>
        <w:tc>
          <w:tcPr>
            <w:tcW w:w="680" w:type="dxa"/>
            <w:vAlign w:val="bottom"/>
            <w:gridSpan w:val="14"/>
          </w:tcPr>
          <w:p>
            <w:pPr>
              <w:spacing w:after="0"/>
              <w:rPr>
                <w:sz w:val="24"/>
                <w:szCs w:val="24"/>
                <w:color w:val="auto"/>
              </w:rPr>
            </w:pPr>
          </w:p>
        </w:tc>
      </w:tr>
      <w:tr>
        <w:trPr>
          <w:trHeight w:val="196"/>
        </w:trPr>
        <w:tc>
          <w:tcPr>
            <w:tcW w:w="1360" w:type="dxa"/>
            <w:vAlign w:val="bottom"/>
          </w:tcPr>
          <w:p>
            <w:pPr>
              <w:spacing w:after="0"/>
              <w:rPr>
                <w:sz w:val="17"/>
                <w:szCs w:val="17"/>
                <w:color w:val="auto"/>
              </w:rPr>
            </w:pPr>
          </w:p>
        </w:tc>
        <w:tc>
          <w:tcPr>
            <w:tcW w:w="942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FF"/>
              </w:rPr>
            </w:pPr>
            <w:hyperlink r:id="rId417">
              <w:r>
                <w:rPr>
                  <w:rFonts w:ascii="Times New Roman" w:cs="Times New Roman" w:eastAsia="Times New Roman" w:hAnsi="Times New Roman"/>
                  <w:sz w:val="18"/>
                  <w:szCs w:val="18"/>
                  <w:color w:val="0000FF"/>
                </w:rPr>
                <w:t>Company, Inc. 2021 Equity Incentive Plan (Chief Merchandising Officer Form) (incorporated by reference to Exhibit 10.55 of the</w:t>
              </w:r>
            </w:hyperlink>
          </w:p>
        </w:tc>
        <w:tc>
          <w:tcPr>
            <w:tcW w:w="460" w:type="dxa"/>
            <w:vAlign w:val="bottom"/>
            <w:gridSpan w:val="12"/>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614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FF"/>
                <w:w w:val="99"/>
              </w:rPr>
            </w:pPr>
            <w:hyperlink r:id="rId417">
              <w:r>
                <w:rPr>
                  <w:rFonts w:ascii="Times New Roman" w:cs="Times New Roman" w:eastAsia="Times New Roman" w:hAnsi="Times New Roman"/>
                  <w:sz w:val="18"/>
                  <w:szCs w:val="18"/>
                  <w:color w:val="0000FF"/>
                  <w:w w:val="99"/>
                </w:rPr>
                <w:t>Company’s Annual Report on Form 10-K for the fiscal year ended February 1, 2025)</w:t>
              </w:r>
            </w:hyperlink>
          </w:p>
        </w:tc>
        <w:tc>
          <w:tcPr>
            <w:tcW w:w="3740" w:type="dxa"/>
            <w:vAlign w:val="bottom"/>
            <w:gridSpan w:val="15"/>
          </w:tcPr>
          <w:p>
            <w:pPr>
              <w:spacing w:after="0"/>
              <w:rPr>
                <w:sz w:val="17"/>
                <w:szCs w:val="17"/>
                <w:color w:val="auto"/>
              </w:rPr>
            </w:pPr>
          </w:p>
        </w:tc>
      </w:tr>
      <w:tr>
        <w:trPr>
          <w:trHeight w:val="318"/>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10.29</w:t>
            </w:r>
          </w:p>
        </w:tc>
        <w:tc>
          <w:tcPr>
            <w:tcW w:w="9860" w:type="dxa"/>
            <w:vAlign w:val="bottom"/>
            <w:tcBorders>
              <w:bottom w:val="single" w:sz="8" w:color="0000EE"/>
            </w:tcBorders>
            <w:gridSpan w:val="24"/>
          </w:tcPr>
          <w:p>
            <w:pPr>
              <w:spacing w:after="0"/>
              <w:rPr>
                <w:rFonts w:ascii="Times New Roman" w:cs="Times New Roman" w:eastAsia="Times New Roman" w:hAnsi="Times New Roman"/>
                <w:sz w:val="18"/>
                <w:szCs w:val="18"/>
                <w:color w:val="0000FF"/>
              </w:rPr>
            </w:pPr>
            <w:hyperlink r:id="rId402">
              <w:r>
                <w:rPr>
                  <w:rFonts w:ascii="Times New Roman" w:cs="Times New Roman" w:eastAsia="Times New Roman" w:hAnsi="Times New Roman"/>
                  <w:sz w:val="18"/>
                  <w:szCs w:val="18"/>
                  <w:color w:val="0000FF"/>
                </w:rPr>
                <w:t>Form of Restricted Stock Unit Award Grant Notice and Standard Terms and Conditions under the Petco Health and Wellness Company,</w:t>
              </w:r>
            </w:hyperlink>
          </w:p>
        </w:tc>
        <w:tc>
          <w:tcPr>
            <w:tcW w:w="20" w:type="dxa"/>
            <w:vAlign w:val="bottom"/>
          </w:tcPr>
          <w:p>
            <w:pPr>
              <w:spacing w:after="0"/>
              <w:rPr>
                <w:sz w:val="24"/>
                <w:szCs w:val="24"/>
                <w:color w:val="auto"/>
              </w:rPr>
            </w:pPr>
          </w:p>
        </w:tc>
      </w:tr>
      <w:tr>
        <w:trPr>
          <w:trHeight w:val="196"/>
        </w:trPr>
        <w:tc>
          <w:tcPr>
            <w:tcW w:w="1360" w:type="dxa"/>
            <w:vAlign w:val="bottom"/>
          </w:tcPr>
          <w:p>
            <w:pPr>
              <w:spacing w:after="0"/>
              <w:rPr>
                <w:sz w:val="17"/>
                <w:szCs w:val="17"/>
                <w:color w:val="auto"/>
              </w:rPr>
            </w:pPr>
          </w:p>
        </w:tc>
        <w:tc>
          <w:tcPr>
            <w:tcW w:w="9840" w:type="dxa"/>
            <w:vAlign w:val="bottom"/>
            <w:tcBorders>
              <w:bottom w:val="single" w:sz="8" w:color="0000EE"/>
            </w:tcBorders>
            <w:gridSpan w:val="23"/>
          </w:tcPr>
          <w:p>
            <w:pPr>
              <w:spacing w:after="0" w:line="196" w:lineRule="exact"/>
              <w:rPr>
                <w:rFonts w:ascii="Times New Roman" w:cs="Times New Roman" w:eastAsia="Times New Roman" w:hAnsi="Times New Roman"/>
                <w:sz w:val="18"/>
                <w:szCs w:val="18"/>
                <w:color w:val="0000FF"/>
              </w:rPr>
            </w:pPr>
            <w:hyperlink r:id="rId402">
              <w:r>
                <w:rPr>
                  <w:rFonts w:ascii="Times New Roman" w:cs="Times New Roman" w:eastAsia="Times New Roman" w:hAnsi="Times New Roman"/>
                  <w:sz w:val="18"/>
                  <w:szCs w:val="18"/>
                  <w:color w:val="0000FF"/>
                </w:rPr>
                <w:t>Inc. 2021 Equity Incentive Plan (Director Form) (incorporated by reference to Exhibit 99.2 of the Company’s Registration Statement on</w:t>
              </w:r>
            </w:hyperlink>
          </w:p>
        </w:tc>
        <w:tc>
          <w:tcPr>
            <w:tcW w:w="40" w:type="dxa"/>
            <w:vAlign w:val="bottom"/>
            <w:gridSpan w:val="2"/>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9880" w:type="dxa"/>
            <w:vAlign w:val="bottom"/>
            <w:gridSpan w:val="25"/>
          </w:tcPr>
          <w:p>
            <w:pPr>
              <w:spacing w:after="0" w:line="196" w:lineRule="exact"/>
              <w:rPr>
                <w:rFonts w:ascii="Times New Roman" w:cs="Times New Roman" w:eastAsia="Times New Roman" w:hAnsi="Times New Roman"/>
                <w:sz w:val="18"/>
                <w:szCs w:val="18"/>
                <w:color w:val="0000FF"/>
              </w:rPr>
            </w:pPr>
            <w:hyperlink r:id="rId402">
              <w:r>
                <w:rPr>
                  <w:rFonts w:ascii="Times New Roman" w:cs="Times New Roman" w:eastAsia="Times New Roman" w:hAnsi="Times New Roman"/>
                  <w:sz w:val="18"/>
                  <w:szCs w:val="18"/>
                  <w:color w:val="0000FF"/>
                </w:rPr>
                <w:t>Form S-8, filed on January 19, 2021)</w:t>
              </w:r>
            </w:hyperlink>
          </w:p>
        </w:tc>
      </w:tr>
      <w:tr>
        <w:trPr>
          <w:trHeight w:val="20"/>
        </w:trPr>
        <w:tc>
          <w:tcPr>
            <w:tcW w:w="1360" w:type="dxa"/>
            <w:vAlign w:val="bottom"/>
          </w:tcPr>
          <w:p>
            <w:pPr>
              <w:spacing w:after="0" w:line="20" w:lineRule="exact"/>
              <w:rPr>
                <w:sz w:val="1"/>
                <w:szCs w:val="1"/>
                <w:color w:val="auto"/>
              </w:rPr>
            </w:pPr>
          </w:p>
        </w:tc>
        <w:tc>
          <w:tcPr>
            <w:tcW w:w="2660" w:type="dxa"/>
            <w:vAlign w:val="bottom"/>
            <w:tcBorders>
              <w:right w:val="single" w:sz="8" w:color="0000EE"/>
            </w:tcBorders>
            <w:gridSpan w:val="4"/>
            <w:shd w:val="clear" w:color="auto" w:fill="0000EE"/>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5020" w:type="dxa"/>
            <w:vAlign w:val="bottom"/>
            <w:gridSpan w:val="8"/>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20" w:type="dxa"/>
            <w:vAlign w:val="bottom"/>
            <w:gridSpan w:val="6"/>
          </w:tcPr>
          <w:p>
            <w:pPr>
              <w:spacing w:after="0" w:line="20" w:lineRule="exact"/>
              <w:rPr>
                <w:sz w:val="1"/>
                <w:szCs w:val="1"/>
                <w:color w:val="auto"/>
              </w:rPr>
            </w:pPr>
          </w:p>
        </w:tc>
      </w:tr>
      <w:tr>
        <w:trPr>
          <w:trHeight w:val="318"/>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10.30†*</w:t>
            </w:r>
          </w:p>
        </w:tc>
        <w:tc>
          <w:tcPr>
            <w:tcW w:w="920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FF"/>
              </w:rPr>
              <w:t>Form of Performance Stock Unit Award Grant Notice and Standard terms and Conditions under the Petco Health and Wellness</w:t>
            </w:r>
          </w:p>
        </w:tc>
        <w:tc>
          <w:tcPr>
            <w:tcW w:w="680" w:type="dxa"/>
            <w:vAlign w:val="bottom"/>
            <w:gridSpan w:val="14"/>
          </w:tcPr>
          <w:p>
            <w:pPr>
              <w:spacing w:after="0"/>
              <w:rPr>
                <w:sz w:val="24"/>
                <w:szCs w:val="24"/>
                <w:color w:val="auto"/>
              </w:rPr>
            </w:pPr>
          </w:p>
        </w:tc>
      </w:tr>
      <w:tr>
        <w:trPr>
          <w:trHeight w:val="196"/>
        </w:trPr>
        <w:tc>
          <w:tcPr>
            <w:tcW w:w="1360" w:type="dxa"/>
            <w:vAlign w:val="bottom"/>
          </w:tcPr>
          <w:p>
            <w:pPr>
              <w:spacing w:after="0"/>
              <w:rPr>
                <w:sz w:val="17"/>
                <w:szCs w:val="17"/>
                <w:color w:val="auto"/>
              </w:rPr>
            </w:pPr>
          </w:p>
        </w:tc>
        <w:tc>
          <w:tcPr>
            <w:tcW w:w="448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FF"/>
              </w:rPr>
              <w:t>Company, Inc. 2021 Equity Incentive Plan (2026 CEO Form)</w:t>
            </w:r>
          </w:p>
        </w:tc>
        <w:tc>
          <w:tcPr>
            <w:tcW w:w="5400" w:type="dxa"/>
            <w:vAlign w:val="bottom"/>
            <w:gridSpan w:val="18"/>
          </w:tcPr>
          <w:p>
            <w:pPr>
              <w:spacing w:after="0"/>
              <w:rPr>
                <w:sz w:val="17"/>
                <w:szCs w:val="17"/>
                <w:color w:val="auto"/>
              </w:rPr>
            </w:pPr>
          </w:p>
        </w:tc>
      </w:tr>
      <w:tr>
        <w:trPr>
          <w:trHeight w:val="291"/>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10.31</w:t>
            </w:r>
          </w:p>
        </w:tc>
        <w:tc>
          <w:tcPr>
            <w:tcW w:w="9660" w:type="dxa"/>
            <w:vAlign w:val="bottom"/>
            <w:tcBorders>
              <w:bottom w:val="single" w:sz="8" w:color="0000EE"/>
            </w:tcBorders>
            <w:gridSpan w:val="19"/>
          </w:tcPr>
          <w:p>
            <w:pPr>
              <w:spacing w:after="0"/>
              <w:rPr>
                <w:rFonts w:ascii="Times New Roman" w:cs="Times New Roman" w:eastAsia="Times New Roman" w:hAnsi="Times New Roman"/>
                <w:sz w:val="18"/>
                <w:szCs w:val="18"/>
                <w:color w:val="0000FF"/>
              </w:rPr>
            </w:pPr>
            <w:hyperlink r:id="rId418">
              <w:r>
                <w:rPr>
                  <w:rFonts w:ascii="Times New Roman" w:cs="Times New Roman" w:eastAsia="Times New Roman" w:hAnsi="Times New Roman"/>
                  <w:sz w:val="18"/>
                  <w:szCs w:val="18"/>
                  <w:color w:val="0000FF"/>
                </w:rPr>
                <w:t>ABL Revolving Credit Agreement, dated March 4, 2021, by and among Petco Health and Wellness Company, Inc., the Lenders party</w:t>
              </w:r>
            </w:hyperlink>
          </w:p>
        </w:tc>
        <w:tc>
          <w:tcPr>
            <w:tcW w:w="220" w:type="dxa"/>
            <w:vAlign w:val="bottom"/>
            <w:gridSpan w:val="6"/>
          </w:tcPr>
          <w:p>
            <w:pPr>
              <w:spacing w:after="0"/>
              <w:rPr>
                <w:sz w:val="24"/>
                <w:szCs w:val="24"/>
                <w:color w:val="auto"/>
              </w:rPr>
            </w:pPr>
          </w:p>
        </w:tc>
      </w:tr>
      <w:tr>
        <w:trPr>
          <w:trHeight w:val="196"/>
        </w:trPr>
        <w:tc>
          <w:tcPr>
            <w:tcW w:w="1360" w:type="dxa"/>
            <w:vAlign w:val="bottom"/>
          </w:tcPr>
          <w:p>
            <w:pPr>
              <w:spacing w:after="0"/>
              <w:rPr>
                <w:sz w:val="17"/>
                <w:szCs w:val="17"/>
                <w:color w:val="auto"/>
              </w:rPr>
            </w:pPr>
          </w:p>
        </w:tc>
        <w:tc>
          <w:tcPr>
            <w:tcW w:w="950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FF"/>
              </w:rPr>
            </w:pPr>
            <w:hyperlink r:id="rId418">
              <w:r>
                <w:rPr>
                  <w:rFonts w:ascii="Times New Roman" w:cs="Times New Roman" w:eastAsia="Times New Roman" w:hAnsi="Times New Roman"/>
                  <w:sz w:val="18"/>
                  <w:szCs w:val="18"/>
                  <w:color w:val="0000FF"/>
                </w:rPr>
                <w:t>thereto, and Citibank, N.A., as Administrative Agent and Collateral Agent, as amended by the First Amendment to ABL Revolving</w:t>
              </w:r>
            </w:hyperlink>
          </w:p>
        </w:tc>
        <w:tc>
          <w:tcPr>
            <w:tcW w:w="380" w:type="dxa"/>
            <w:vAlign w:val="bottom"/>
            <w:gridSpan w:val="10"/>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266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FF"/>
              </w:rPr>
            </w:pPr>
            <w:hyperlink r:id="rId418">
              <w:r>
                <w:rPr>
                  <w:rFonts w:ascii="Times New Roman" w:cs="Times New Roman" w:eastAsia="Times New Roman" w:hAnsi="Times New Roman"/>
                  <w:sz w:val="18"/>
                  <w:szCs w:val="18"/>
                  <w:color w:val="0000FF"/>
                </w:rPr>
                <w:t>Credit Agreement, dated December</w:t>
              </w:r>
            </w:hyperlink>
          </w:p>
        </w:tc>
        <w:tc>
          <w:tcPr>
            <w:tcW w:w="7220" w:type="dxa"/>
            <w:vAlign w:val="bottom"/>
            <w:gridSpan w:val="21"/>
          </w:tcPr>
          <w:p>
            <w:pPr>
              <w:spacing w:after="0"/>
              <w:rPr>
                <w:sz w:val="17"/>
                <w:szCs w:val="17"/>
                <w:color w:val="auto"/>
              </w:rPr>
            </w:pPr>
          </w:p>
        </w:tc>
      </w:tr>
      <w:tr>
        <w:trPr>
          <w:trHeight w:val="669"/>
        </w:trPr>
        <w:tc>
          <w:tcPr>
            <w:tcW w:w="1360" w:type="dxa"/>
            <w:vAlign w:val="bottom"/>
          </w:tcPr>
          <w:p>
            <w:pPr>
              <w:spacing w:after="0"/>
              <w:rPr>
                <w:sz w:val="24"/>
                <w:szCs w:val="24"/>
                <w:color w:val="auto"/>
              </w:rPr>
            </w:pPr>
          </w:p>
        </w:tc>
        <w:tc>
          <w:tcPr>
            <w:tcW w:w="4480" w:type="dxa"/>
            <w:vAlign w:val="bottom"/>
            <w:gridSpan w:val="7"/>
          </w:tcPr>
          <w:p>
            <w:pPr>
              <w:ind w:left="4120"/>
              <w:spacing w:after="0"/>
              <w:rPr>
                <w:sz w:val="20"/>
                <w:szCs w:val="20"/>
                <w:color w:val="auto"/>
              </w:rPr>
            </w:pPr>
            <w:r>
              <w:rPr>
                <w:rFonts w:ascii="Times New Roman" w:cs="Times New Roman" w:eastAsia="Times New Roman" w:hAnsi="Times New Roman"/>
                <w:sz w:val="18"/>
                <w:szCs w:val="18"/>
                <w:color w:val="auto"/>
              </w:rPr>
              <w:t>102</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763"/>
        </w:trPr>
        <w:tc>
          <w:tcPr>
            <w:tcW w:w="136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30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03" w:name="page104"/>
    <w:bookmarkEnd w:id="103"/>
    <w:tbl>
      <w:tblPr>
        <w:tblLayout w:type="fixed"/>
        <w:tblInd w:w="0" w:type="dxa"/>
        <w:tblCellMar>
          <w:top w:w="0" w:type="dxa"/>
          <w:left w:w="0" w:type="dxa"/>
          <w:bottom w:w="0" w:type="dxa"/>
          <w:right w:w="0" w:type="dxa"/>
        </w:tblCellMar>
      </w:tblPr>
      <w:tr>
        <w:trPr>
          <w:trHeight w:val="207"/>
        </w:trPr>
        <w:tc>
          <w:tcPr>
            <w:tcW w:w="1360" w:type="dxa"/>
            <w:vAlign w:val="bottom"/>
          </w:tcPr>
          <w:p>
            <w:pPr>
              <w:spacing w:after="0"/>
              <w:rPr>
                <w:sz w:val="17"/>
                <w:szCs w:val="17"/>
                <w:color w:val="auto"/>
              </w:rPr>
            </w:pPr>
          </w:p>
        </w:tc>
        <w:tc>
          <w:tcPr>
            <w:tcW w:w="9840" w:type="dxa"/>
            <w:vAlign w:val="bottom"/>
            <w:tcBorders>
              <w:bottom w:val="single" w:sz="8" w:color="0000EE"/>
            </w:tcBorders>
            <w:gridSpan w:val="30"/>
          </w:tcPr>
          <w:p>
            <w:pPr>
              <w:spacing w:after="0"/>
              <w:rPr>
                <w:rFonts w:ascii="Times New Roman" w:cs="Times New Roman" w:eastAsia="Times New Roman" w:hAnsi="Times New Roman"/>
                <w:sz w:val="18"/>
                <w:szCs w:val="18"/>
                <w:color w:val="0000FF"/>
              </w:rPr>
            </w:pPr>
            <w:hyperlink r:id="rId418">
              <w:r>
                <w:rPr>
                  <w:rFonts w:ascii="Times New Roman" w:cs="Times New Roman" w:eastAsia="Times New Roman" w:hAnsi="Times New Roman"/>
                  <w:sz w:val="18"/>
                  <w:szCs w:val="18"/>
                  <w:color w:val="0000FF"/>
                </w:rPr>
                <w:t>12, 2022, by and between Petco Health and Wellness Company, Inc. and Citibank, N.A., as administrative agent, as further amended by</w:t>
              </w:r>
            </w:hyperlink>
          </w:p>
        </w:tc>
        <w:tc>
          <w:tcPr>
            <w:tcW w:w="40" w:type="dxa"/>
            <w:vAlign w:val="bottom"/>
            <w:gridSpan w:val="2"/>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926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FF"/>
              </w:rPr>
            </w:pPr>
            <w:hyperlink r:id="rId418">
              <w:r>
                <w:rPr>
                  <w:rFonts w:ascii="Times New Roman" w:cs="Times New Roman" w:eastAsia="Times New Roman" w:hAnsi="Times New Roman"/>
                  <w:sz w:val="18"/>
                  <w:szCs w:val="18"/>
                  <w:color w:val="0000FF"/>
                </w:rPr>
                <w:t>the Second Amendment to ABL Revolving Credit Agreement, dated March 29, 2024, by and among Petco Health and Wellness</w:t>
              </w:r>
            </w:hyperlink>
          </w:p>
        </w:tc>
        <w:tc>
          <w:tcPr>
            <w:tcW w:w="620" w:type="dxa"/>
            <w:vAlign w:val="bottom"/>
            <w:gridSpan w:val="15"/>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914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FF"/>
              </w:rPr>
            </w:pPr>
            <w:hyperlink r:id="rId418">
              <w:r>
                <w:rPr>
                  <w:rFonts w:ascii="Times New Roman" w:cs="Times New Roman" w:eastAsia="Times New Roman" w:hAnsi="Times New Roman"/>
                  <w:sz w:val="18"/>
                  <w:szCs w:val="18"/>
                  <w:color w:val="0000FF"/>
                </w:rPr>
                <w:t>Company, Inc., the Loan Parties party thereto, the several banks and financial institutions party thereto, and Citibank, N.A., as</w:t>
              </w:r>
            </w:hyperlink>
          </w:p>
        </w:tc>
        <w:tc>
          <w:tcPr>
            <w:tcW w:w="740" w:type="dxa"/>
            <w:vAlign w:val="bottom"/>
            <w:gridSpan w:val="18"/>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950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FF"/>
              </w:rPr>
            </w:pPr>
            <w:hyperlink r:id="rId418">
              <w:r>
                <w:rPr>
                  <w:rFonts w:ascii="Times New Roman" w:cs="Times New Roman" w:eastAsia="Times New Roman" w:hAnsi="Times New Roman"/>
                  <w:sz w:val="18"/>
                  <w:szCs w:val="18"/>
                  <w:color w:val="0000FF"/>
                </w:rPr>
                <w:t>administrative agent (incorporated by reference to Exhibit 10.31 of the Company’s Annual Report on Form 10-K for the fiscal year</w:t>
              </w:r>
            </w:hyperlink>
          </w:p>
        </w:tc>
        <w:tc>
          <w:tcPr>
            <w:tcW w:w="380" w:type="dxa"/>
            <w:vAlign w:val="bottom"/>
            <w:gridSpan w:val="12"/>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178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FF"/>
                <w:w w:val="99"/>
              </w:rPr>
            </w:pPr>
            <w:hyperlink r:id="rId418">
              <w:r>
                <w:rPr>
                  <w:rFonts w:ascii="Times New Roman" w:cs="Times New Roman" w:eastAsia="Times New Roman" w:hAnsi="Times New Roman"/>
                  <w:sz w:val="18"/>
                  <w:szCs w:val="18"/>
                  <w:color w:val="0000FF"/>
                  <w:w w:val="99"/>
                </w:rPr>
                <w:t>ended February 3, 2024)</w:t>
              </w:r>
            </w:hyperlink>
          </w:p>
        </w:tc>
        <w:tc>
          <w:tcPr>
            <w:tcW w:w="8100" w:type="dxa"/>
            <w:vAlign w:val="bottom"/>
            <w:gridSpan w:val="29"/>
          </w:tcPr>
          <w:p>
            <w:pPr>
              <w:spacing w:after="0"/>
              <w:rPr>
                <w:sz w:val="17"/>
                <w:szCs w:val="17"/>
                <w:color w:val="auto"/>
              </w:rPr>
            </w:pPr>
          </w:p>
        </w:tc>
      </w:tr>
      <w:tr>
        <w:trPr>
          <w:trHeight w:val="290"/>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10.32</w:t>
            </w:r>
          </w:p>
        </w:tc>
        <w:tc>
          <w:tcPr>
            <w:tcW w:w="9800" w:type="dxa"/>
            <w:vAlign w:val="bottom"/>
            <w:tcBorders>
              <w:bottom w:val="single" w:sz="8" w:color="0000EE"/>
            </w:tcBorders>
            <w:gridSpan w:val="29"/>
          </w:tcPr>
          <w:p>
            <w:pPr>
              <w:spacing w:after="0"/>
              <w:rPr>
                <w:rFonts w:ascii="Times New Roman" w:cs="Times New Roman" w:eastAsia="Times New Roman" w:hAnsi="Times New Roman"/>
                <w:sz w:val="18"/>
                <w:szCs w:val="18"/>
                <w:color w:val="0000FF"/>
              </w:rPr>
            </w:pPr>
            <w:hyperlink r:id="rId421">
              <w:r>
                <w:rPr>
                  <w:rFonts w:ascii="Times New Roman" w:cs="Times New Roman" w:eastAsia="Times New Roman" w:hAnsi="Times New Roman"/>
                  <w:sz w:val="18"/>
                  <w:szCs w:val="18"/>
                  <w:color w:val="0000FF"/>
                </w:rPr>
                <w:t>ABL Guaranty, dated March 4, 2021, by and among Petco Health and Wellness Company, Inc., as Borrower, the Guarantors from time</w:t>
              </w:r>
            </w:hyperlink>
          </w:p>
        </w:tc>
        <w:tc>
          <w:tcPr>
            <w:tcW w:w="80" w:type="dxa"/>
            <w:vAlign w:val="bottom"/>
            <w:gridSpan w:val="3"/>
          </w:tcPr>
          <w:p>
            <w:pPr>
              <w:spacing w:after="0"/>
              <w:rPr>
                <w:sz w:val="24"/>
                <w:szCs w:val="24"/>
                <w:color w:val="auto"/>
              </w:rPr>
            </w:pPr>
          </w:p>
        </w:tc>
      </w:tr>
      <w:tr>
        <w:trPr>
          <w:trHeight w:val="196"/>
        </w:trPr>
        <w:tc>
          <w:tcPr>
            <w:tcW w:w="1360" w:type="dxa"/>
            <w:vAlign w:val="bottom"/>
          </w:tcPr>
          <w:p>
            <w:pPr>
              <w:spacing w:after="0"/>
              <w:rPr>
                <w:sz w:val="17"/>
                <w:szCs w:val="17"/>
                <w:color w:val="auto"/>
              </w:rPr>
            </w:pPr>
          </w:p>
        </w:tc>
        <w:tc>
          <w:tcPr>
            <w:tcW w:w="9880" w:type="dxa"/>
            <w:vAlign w:val="bottom"/>
            <w:tcBorders>
              <w:bottom w:val="single" w:sz="8" w:color="0000EE"/>
            </w:tcBorders>
            <w:gridSpan w:val="32"/>
          </w:tcPr>
          <w:p>
            <w:pPr>
              <w:spacing w:after="0" w:line="196" w:lineRule="exact"/>
              <w:rPr>
                <w:rFonts w:ascii="Times New Roman" w:cs="Times New Roman" w:eastAsia="Times New Roman" w:hAnsi="Times New Roman"/>
                <w:sz w:val="18"/>
                <w:szCs w:val="18"/>
                <w:color w:val="0000FF"/>
              </w:rPr>
            </w:pPr>
            <w:hyperlink r:id="rId421">
              <w:r>
                <w:rPr>
                  <w:rFonts w:ascii="Times New Roman" w:cs="Times New Roman" w:eastAsia="Times New Roman" w:hAnsi="Times New Roman"/>
                  <w:sz w:val="18"/>
                  <w:szCs w:val="18"/>
                  <w:color w:val="0000FF"/>
                </w:rPr>
                <w:t>to time party thereto, and Citibank, N.A., as Administrative Agent (incorporated by reference to Exhibit 10.31 of the Company’s Annual</w:t>
              </w:r>
            </w:hyperlink>
          </w:p>
        </w:tc>
      </w:tr>
      <w:tr>
        <w:trPr>
          <w:trHeight w:val="196"/>
        </w:trPr>
        <w:tc>
          <w:tcPr>
            <w:tcW w:w="1360" w:type="dxa"/>
            <w:vAlign w:val="bottom"/>
          </w:tcPr>
          <w:p>
            <w:pPr>
              <w:spacing w:after="0"/>
              <w:rPr>
                <w:sz w:val="17"/>
                <w:szCs w:val="17"/>
                <w:color w:val="auto"/>
              </w:rPr>
            </w:pPr>
          </w:p>
        </w:tc>
        <w:tc>
          <w:tcPr>
            <w:tcW w:w="9880" w:type="dxa"/>
            <w:vAlign w:val="bottom"/>
            <w:gridSpan w:val="32"/>
          </w:tcPr>
          <w:p>
            <w:pPr>
              <w:spacing w:after="0" w:line="196" w:lineRule="exact"/>
              <w:rPr>
                <w:rFonts w:ascii="Times New Roman" w:cs="Times New Roman" w:eastAsia="Times New Roman" w:hAnsi="Times New Roman"/>
                <w:sz w:val="18"/>
                <w:szCs w:val="18"/>
                <w:color w:val="0000FF"/>
              </w:rPr>
            </w:pPr>
            <w:hyperlink r:id="rId421">
              <w:r>
                <w:rPr>
                  <w:rFonts w:ascii="Times New Roman" w:cs="Times New Roman" w:eastAsia="Times New Roman" w:hAnsi="Times New Roman"/>
                  <w:sz w:val="18"/>
                  <w:szCs w:val="18"/>
                  <w:color w:val="0000FF"/>
                </w:rPr>
                <w:t>Report on Form 10-K for the fiscal year ended January 31, 2021)</w:t>
              </w:r>
            </w:hyperlink>
          </w:p>
        </w:tc>
      </w:tr>
      <w:tr>
        <w:trPr>
          <w:trHeight w:val="20"/>
        </w:trPr>
        <w:tc>
          <w:tcPr>
            <w:tcW w:w="136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0"/>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10.33</w:t>
            </w:r>
          </w:p>
        </w:tc>
        <w:tc>
          <w:tcPr>
            <w:tcW w:w="9780" w:type="dxa"/>
            <w:vAlign w:val="bottom"/>
            <w:tcBorders>
              <w:bottom w:val="single" w:sz="8" w:color="0000EE"/>
            </w:tcBorders>
            <w:gridSpan w:val="28"/>
          </w:tcPr>
          <w:p>
            <w:pPr>
              <w:spacing w:after="0"/>
              <w:rPr>
                <w:rFonts w:ascii="Times New Roman" w:cs="Times New Roman" w:eastAsia="Times New Roman" w:hAnsi="Times New Roman"/>
                <w:sz w:val="18"/>
                <w:szCs w:val="18"/>
                <w:color w:val="0000FF"/>
              </w:rPr>
            </w:pPr>
            <w:hyperlink r:id="rId422">
              <w:r>
                <w:rPr>
                  <w:rFonts w:ascii="Times New Roman" w:cs="Times New Roman" w:eastAsia="Times New Roman" w:hAnsi="Times New Roman"/>
                  <w:sz w:val="18"/>
                  <w:szCs w:val="18"/>
                  <w:color w:val="0000FF"/>
                </w:rPr>
                <w:t>First Lien Guaranty, dated March 4, 2021, by and among Petco Health and Wellness Company, Inc., as Borrower, the Guarantors from</w:t>
              </w:r>
            </w:hyperlink>
          </w:p>
        </w:tc>
        <w:tc>
          <w:tcPr>
            <w:tcW w:w="100" w:type="dxa"/>
            <w:vAlign w:val="bottom"/>
            <w:gridSpan w:val="4"/>
          </w:tcPr>
          <w:p>
            <w:pPr>
              <w:spacing w:after="0"/>
              <w:rPr>
                <w:sz w:val="24"/>
                <w:szCs w:val="24"/>
                <w:color w:val="auto"/>
              </w:rPr>
            </w:pPr>
          </w:p>
        </w:tc>
      </w:tr>
      <w:tr>
        <w:trPr>
          <w:trHeight w:val="196"/>
        </w:trPr>
        <w:tc>
          <w:tcPr>
            <w:tcW w:w="1360" w:type="dxa"/>
            <w:vAlign w:val="bottom"/>
          </w:tcPr>
          <w:p>
            <w:pPr>
              <w:spacing w:after="0"/>
              <w:rPr>
                <w:sz w:val="17"/>
                <w:szCs w:val="17"/>
                <w:color w:val="auto"/>
              </w:rPr>
            </w:pPr>
          </w:p>
        </w:tc>
        <w:tc>
          <w:tcPr>
            <w:tcW w:w="9680" w:type="dxa"/>
            <w:vAlign w:val="bottom"/>
            <w:tcBorders>
              <w:bottom w:val="single" w:sz="8" w:color="0000EE"/>
            </w:tcBorders>
            <w:gridSpan w:val="25"/>
          </w:tcPr>
          <w:p>
            <w:pPr>
              <w:spacing w:after="0" w:line="196" w:lineRule="exact"/>
              <w:rPr>
                <w:rFonts w:ascii="Times New Roman" w:cs="Times New Roman" w:eastAsia="Times New Roman" w:hAnsi="Times New Roman"/>
                <w:sz w:val="18"/>
                <w:szCs w:val="18"/>
                <w:color w:val="0000FF"/>
              </w:rPr>
            </w:pPr>
            <w:hyperlink r:id="rId422">
              <w:r>
                <w:rPr>
                  <w:rFonts w:ascii="Times New Roman" w:cs="Times New Roman" w:eastAsia="Times New Roman" w:hAnsi="Times New Roman"/>
                  <w:sz w:val="18"/>
                  <w:szCs w:val="18"/>
                  <w:color w:val="0000FF"/>
                </w:rPr>
                <w:t>time to time party thereto, and Citibank, N.A., as Administrative Agent (incorporated by reference to Exhibit 10.32 of the Company’s</w:t>
              </w:r>
            </w:hyperlink>
          </w:p>
        </w:tc>
        <w:tc>
          <w:tcPr>
            <w:tcW w:w="200" w:type="dxa"/>
            <w:vAlign w:val="bottom"/>
            <w:gridSpan w:val="7"/>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526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FF"/>
                <w:w w:val="99"/>
              </w:rPr>
            </w:pPr>
            <w:hyperlink r:id="rId422">
              <w:r>
                <w:rPr>
                  <w:rFonts w:ascii="Times New Roman" w:cs="Times New Roman" w:eastAsia="Times New Roman" w:hAnsi="Times New Roman"/>
                  <w:sz w:val="18"/>
                  <w:szCs w:val="18"/>
                  <w:color w:val="0000FF"/>
                  <w:w w:val="99"/>
                </w:rPr>
                <w:t>Annual Report on Form 10-K for the fiscal year ended January 31, 2021)</w:t>
              </w:r>
            </w:hyperlink>
          </w:p>
        </w:tc>
        <w:tc>
          <w:tcPr>
            <w:tcW w:w="4620" w:type="dxa"/>
            <w:vAlign w:val="bottom"/>
            <w:gridSpan w:val="22"/>
          </w:tcPr>
          <w:p>
            <w:pPr>
              <w:spacing w:after="0"/>
              <w:rPr>
                <w:sz w:val="17"/>
                <w:szCs w:val="17"/>
                <w:color w:val="auto"/>
              </w:rPr>
            </w:pPr>
          </w:p>
        </w:tc>
      </w:tr>
      <w:tr>
        <w:trPr>
          <w:trHeight w:val="290"/>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10.34</w:t>
            </w:r>
          </w:p>
        </w:tc>
        <w:tc>
          <w:tcPr>
            <w:tcW w:w="9620" w:type="dxa"/>
            <w:vAlign w:val="bottom"/>
            <w:tcBorders>
              <w:bottom w:val="single" w:sz="8" w:color="0000EE"/>
            </w:tcBorders>
            <w:gridSpan w:val="24"/>
          </w:tcPr>
          <w:p>
            <w:pPr>
              <w:spacing w:after="0"/>
              <w:rPr>
                <w:rFonts w:ascii="Times New Roman" w:cs="Times New Roman" w:eastAsia="Times New Roman" w:hAnsi="Times New Roman"/>
                <w:sz w:val="18"/>
                <w:szCs w:val="18"/>
                <w:color w:val="0000FF"/>
              </w:rPr>
            </w:pPr>
            <w:hyperlink r:id="rId423">
              <w:r>
                <w:rPr>
                  <w:rFonts w:ascii="Times New Roman" w:cs="Times New Roman" w:eastAsia="Times New Roman" w:hAnsi="Times New Roman"/>
                  <w:sz w:val="18"/>
                  <w:szCs w:val="18"/>
                  <w:color w:val="0000FF"/>
                </w:rPr>
                <w:t>ABL Security Agreement, dated March 4, 2021, by and among Petco Health and Wellness Company, Inc., as Borrower, the Grantors</w:t>
              </w:r>
            </w:hyperlink>
          </w:p>
        </w:tc>
        <w:tc>
          <w:tcPr>
            <w:tcW w:w="260" w:type="dxa"/>
            <w:vAlign w:val="bottom"/>
            <w:gridSpan w:val="8"/>
          </w:tcPr>
          <w:p>
            <w:pPr>
              <w:spacing w:after="0"/>
              <w:rPr>
                <w:sz w:val="24"/>
                <w:szCs w:val="24"/>
                <w:color w:val="auto"/>
              </w:rPr>
            </w:pPr>
          </w:p>
        </w:tc>
      </w:tr>
      <w:tr>
        <w:trPr>
          <w:trHeight w:val="196"/>
        </w:trPr>
        <w:tc>
          <w:tcPr>
            <w:tcW w:w="1360" w:type="dxa"/>
            <w:vAlign w:val="bottom"/>
          </w:tcPr>
          <w:p>
            <w:pPr>
              <w:spacing w:after="0"/>
              <w:rPr>
                <w:sz w:val="17"/>
                <w:szCs w:val="17"/>
                <w:color w:val="auto"/>
              </w:rPr>
            </w:pPr>
          </w:p>
        </w:tc>
        <w:tc>
          <w:tcPr>
            <w:tcW w:w="920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FF"/>
              </w:rPr>
            </w:pPr>
            <w:hyperlink r:id="rId423">
              <w:r>
                <w:rPr>
                  <w:rFonts w:ascii="Times New Roman" w:cs="Times New Roman" w:eastAsia="Times New Roman" w:hAnsi="Times New Roman"/>
                  <w:sz w:val="18"/>
                  <w:szCs w:val="18"/>
                  <w:color w:val="0000FF"/>
                </w:rPr>
                <w:t>from time to time party thereto, and Citibank, N.A., as Administrative Agent (incorporated by reference to Exhibit 10.33 of the</w:t>
              </w:r>
            </w:hyperlink>
          </w:p>
        </w:tc>
        <w:tc>
          <w:tcPr>
            <w:tcW w:w="680" w:type="dxa"/>
            <w:vAlign w:val="bottom"/>
            <w:gridSpan w:val="17"/>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614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FF"/>
                <w:w w:val="99"/>
              </w:rPr>
            </w:pPr>
            <w:hyperlink r:id="rId423">
              <w:r>
                <w:rPr>
                  <w:rFonts w:ascii="Times New Roman" w:cs="Times New Roman" w:eastAsia="Times New Roman" w:hAnsi="Times New Roman"/>
                  <w:sz w:val="18"/>
                  <w:szCs w:val="18"/>
                  <w:color w:val="0000FF"/>
                  <w:w w:val="99"/>
                </w:rPr>
                <w:t>Company’s Annual Report on Form 10-K for the fiscal year ended January 31, 2021)</w:t>
              </w:r>
            </w:hyperlink>
          </w:p>
        </w:tc>
        <w:tc>
          <w:tcPr>
            <w:tcW w:w="3740" w:type="dxa"/>
            <w:vAlign w:val="bottom"/>
            <w:gridSpan w:val="21"/>
          </w:tcPr>
          <w:p>
            <w:pPr>
              <w:spacing w:after="0"/>
              <w:rPr>
                <w:sz w:val="17"/>
                <w:szCs w:val="17"/>
                <w:color w:val="auto"/>
              </w:rPr>
            </w:pPr>
          </w:p>
        </w:tc>
      </w:tr>
      <w:tr>
        <w:trPr>
          <w:trHeight w:val="290"/>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10.35</w:t>
            </w:r>
          </w:p>
        </w:tc>
        <w:tc>
          <w:tcPr>
            <w:tcW w:w="9300" w:type="dxa"/>
            <w:vAlign w:val="bottom"/>
            <w:tcBorders>
              <w:bottom w:val="single" w:sz="8" w:color="0000EE"/>
            </w:tcBorders>
            <w:gridSpan w:val="18"/>
          </w:tcPr>
          <w:p>
            <w:pPr>
              <w:spacing w:after="0"/>
              <w:rPr>
                <w:rFonts w:ascii="Times New Roman" w:cs="Times New Roman" w:eastAsia="Times New Roman" w:hAnsi="Times New Roman"/>
                <w:sz w:val="18"/>
                <w:szCs w:val="18"/>
                <w:color w:val="0000FF"/>
              </w:rPr>
            </w:pPr>
            <w:hyperlink r:id="rId424">
              <w:r>
                <w:rPr>
                  <w:rFonts w:ascii="Times New Roman" w:cs="Times New Roman" w:eastAsia="Times New Roman" w:hAnsi="Times New Roman"/>
                  <w:sz w:val="18"/>
                  <w:szCs w:val="18"/>
                  <w:color w:val="0000FF"/>
                </w:rPr>
                <w:t>First Lien Security Agreement, dated March 4, 2021, by and among Petco Health and Wellness Company, Inc., as Borrower, the</w:t>
              </w:r>
            </w:hyperlink>
          </w:p>
        </w:tc>
        <w:tc>
          <w:tcPr>
            <w:tcW w:w="580" w:type="dxa"/>
            <w:vAlign w:val="bottom"/>
            <w:gridSpan w:val="14"/>
          </w:tcPr>
          <w:p>
            <w:pPr>
              <w:spacing w:after="0"/>
              <w:rPr>
                <w:sz w:val="24"/>
                <w:szCs w:val="24"/>
                <w:color w:val="auto"/>
              </w:rPr>
            </w:pPr>
          </w:p>
        </w:tc>
      </w:tr>
      <w:tr>
        <w:trPr>
          <w:trHeight w:val="196"/>
        </w:trPr>
        <w:tc>
          <w:tcPr>
            <w:tcW w:w="1360" w:type="dxa"/>
            <w:vAlign w:val="bottom"/>
          </w:tcPr>
          <w:p>
            <w:pPr>
              <w:spacing w:after="0"/>
              <w:rPr>
                <w:sz w:val="17"/>
                <w:szCs w:val="17"/>
                <w:color w:val="auto"/>
              </w:rPr>
            </w:pPr>
          </w:p>
        </w:tc>
        <w:tc>
          <w:tcPr>
            <w:tcW w:w="9880" w:type="dxa"/>
            <w:vAlign w:val="bottom"/>
            <w:tcBorders>
              <w:bottom w:val="single" w:sz="8" w:color="0000EE"/>
            </w:tcBorders>
            <w:gridSpan w:val="32"/>
          </w:tcPr>
          <w:p>
            <w:pPr>
              <w:spacing w:after="0" w:line="196" w:lineRule="exact"/>
              <w:rPr>
                <w:rFonts w:ascii="Times New Roman" w:cs="Times New Roman" w:eastAsia="Times New Roman" w:hAnsi="Times New Roman"/>
                <w:sz w:val="18"/>
                <w:szCs w:val="18"/>
                <w:color w:val="0000FF"/>
              </w:rPr>
            </w:pPr>
            <w:hyperlink r:id="rId424">
              <w:r>
                <w:rPr>
                  <w:rFonts w:ascii="Times New Roman" w:cs="Times New Roman" w:eastAsia="Times New Roman" w:hAnsi="Times New Roman"/>
                  <w:sz w:val="18"/>
                  <w:szCs w:val="18"/>
                  <w:color w:val="0000FF"/>
                </w:rPr>
                <w:t>Grantors from time to time party thereto, and Citibank, N.A., as Administrative Agent (incorporated by reference to Exhibit 10.34 of the</w:t>
              </w:r>
            </w:hyperlink>
          </w:p>
        </w:tc>
      </w:tr>
      <w:tr>
        <w:trPr>
          <w:trHeight w:val="196"/>
        </w:trPr>
        <w:tc>
          <w:tcPr>
            <w:tcW w:w="1360" w:type="dxa"/>
            <w:vAlign w:val="bottom"/>
          </w:tcPr>
          <w:p>
            <w:pPr>
              <w:spacing w:after="0"/>
              <w:rPr>
                <w:sz w:val="17"/>
                <w:szCs w:val="17"/>
                <w:color w:val="auto"/>
              </w:rPr>
            </w:pPr>
          </w:p>
        </w:tc>
        <w:tc>
          <w:tcPr>
            <w:tcW w:w="614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FF"/>
                <w:w w:val="99"/>
              </w:rPr>
            </w:pPr>
            <w:hyperlink r:id="rId424">
              <w:r>
                <w:rPr>
                  <w:rFonts w:ascii="Times New Roman" w:cs="Times New Roman" w:eastAsia="Times New Roman" w:hAnsi="Times New Roman"/>
                  <w:sz w:val="18"/>
                  <w:szCs w:val="18"/>
                  <w:color w:val="0000FF"/>
                  <w:w w:val="99"/>
                </w:rPr>
                <w:t>Company’s Annual Report on Form 10-K for the fiscal year ended January 31, 2021)</w:t>
              </w:r>
            </w:hyperlink>
          </w:p>
        </w:tc>
        <w:tc>
          <w:tcPr>
            <w:tcW w:w="3740" w:type="dxa"/>
            <w:vAlign w:val="bottom"/>
            <w:gridSpan w:val="21"/>
          </w:tcPr>
          <w:p>
            <w:pPr>
              <w:spacing w:after="0"/>
              <w:rPr>
                <w:sz w:val="17"/>
                <w:szCs w:val="17"/>
                <w:color w:val="auto"/>
              </w:rPr>
            </w:pPr>
          </w:p>
        </w:tc>
      </w:tr>
      <w:tr>
        <w:trPr>
          <w:trHeight w:val="291"/>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10.36</w:t>
            </w:r>
          </w:p>
        </w:tc>
        <w:tc>
          <w:tcPr>
            <w:tcW w:w="9760" w:type="dxa"/>
            <w:vAlign w:val="bottom"/>
            <w:tcBorders>
              <w:bottom w:val="single" w:sz="8" w:color="0000EE"/>
            </w:tcBorders>
            <w:gridSpan w:val="27"/>
          </w:tcPr>
          <w:p>
            <w:pPr>
              <w:spacing w:after="0"/>
              <w:rPr>
                <w:rFonts w:ascii="Times New Roman" w:cs="Times New Roman" w:eastAsia="Times New Roman" w:hAnsi="Times New Roman"/>
                <w:sz w:val="18"/>
                <w:szCs w:val="18"/>
                <w:color w:val="0000FF"/>
              </w:rPr>
            </w:pPr>
            <w:hyperlink r:id="rId425">
              <w:r>
                <w:rPr>
                  <w:rFonts w:ascii="Times New Roman" w:cs="Times New Roman" w:eastAsia="Times New Roman" w:hAnsi="Times New Roman"/>
                  <w:sz w:val="18"/>
                  <w:szCs w:val="18"/>
                  <w:color w:val="0000FF"/>
                </w:rPr>
                <w:t>Intercreditor Agreement, dated March 4, 2021, by and among Citibank, N.A., as Revolving Credit Collateral Agent, Citibank, N.A., as</w:t>
              </w:r>
            </w:hyperlink>
          </w:p>
        </w:tc>
        <w:tc>
          <w:tcPr>
            <w:tcW w:w="120" w:type="dxa"/>
            <w:vAlign w:val="bottom"/>
            <w:gridSpan w:val="5"/>
          </w:tcPr>
          <w:p>
            <w:pPr>
              <w:spacing w:after="0"/>
              <w:rPr>
                <w:sz w:val="24"/>
                <w:szCs w:val="24"/>
                <w:color w:val="auto"/>
              </w:rPr>
            </w:pPr>
          </w:p>
        </w:tc>
      </w:tr>
      <w:tr>
        <w:trPr>
          <w:trHeight w:val="196"/>
        </w:trPr>
        <w:tc>
          <w:tcPr>
            <w:tcW w:w="1360" w:type="dxa"/>
            <w:vAlign w:val="bottom"/>
          </w:tcPr>
          <w:p>
            <w:pPr>
              <w:spacing w:after="0"/>
              <w:rPr>
                <w:sz w:val="17"/>
                <w:szCs w:val="17"/>
                <w:color w:val="auto"/>
              </w:rPr>
            </w:pPr>
          </w:p>
        </w:tc>
        <w:tc>
          <w:tcPr>
            <w:tcW w:w="9740" w:type="dxa"/>
            <w:vAlign w:val="bottom"/>
            <w:tcBorders>
              <w:bottom w:val="single" w:sz="8" w:color="0000EE"/>
            </w:tcBorders>
            <w:gridSpan w:val="26"/>
          </w:tcPr>
          <w:p>
            <w:pPr>
              <w:spacing w:after="0" w:line="196" w:lineRule="exact"/>
              <w:rPr>
                <w:rFonts w:ascii="Times New Roman" w:cs="Times New Roman" w:eastAsia="Times New Roman" w:hAnsi="Times New Roman"/>
                <w:sz w:val="18"/>
                <w:szCs w:val="18"/>
                <w:color w:val="0000FF"/>
              </w:rPr>
            </w:pPr>
            <w:hyperlink r:id="rId425">
              <w:r>
                <w:rPr>
                  <w:rFonts w:ascii="Times New Roman" w:cs="Times New Roman" w:eastAsia="Times New Roman" w:hAnsi="Times New Roman"/>
                  <w:sz w:val="18"/>
                  <w:szCs w:val="18"/>
                  <w:color w:val="0000FF"/>
                </w:rPr>
                <w:t>Initial Term Loan Collateral Agent, as acknowledged and agreed by Petco Health and Wellness Company, Inc., and the Grantors party</w:t>
              </w:r>
            </w:hyperlink>
          </w:p>
        </w:tc>
        <w:tc>
          <w:tcPr>
            <w:tcW w:w="140" w:type="dxa"/>
            <w:vAlign w:val="bottom"/>
            <w:gridSpan w:val="6"/>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9880" w:type="dxa"/>
            <w:vAlign w:val="bottom"/>
            <w:tcBorders>
              <w:bottom w:val="single" w:sz="8" w:color="0000EE"/>
            </w:tcBorders>
            <w:gridSpan w:val="32"/>
          </w:tcPr>
          <w:p>
            <w:pPr>
              <w:spacing w:after="0" w:line="196" w:lineRule="exact"/>
              <w:rPr>
                <w:rFonts w:ascii="Times New Roman" w:cs="Times New Roman" w:eastAsia="Times New Roman" w:hAnsi="Times New Roman"/>
                <w:sz w:val="18"/>
                <w:szCs w:val="18"/>
                <w:color w:val="0000FF"/>
              </w:rPr>
            </w:pPr>
            <w:hyperlink r:id="rId425">
              <w:r>
                <w:rPr>
                  <w:rFonts w:ascii="Times New Roman" w:cs="Times New Roman" w:eastAsia="Times New Roman" w:hAnsi="Times New Roman"/>
                  <w:sz w:val="18"/>
                  <w:szCs w:val="18"/>
                  <w:color w:val="0000FF"/>
                </w:rPr>
                <w:t>thereto (incorporated by reference to Exhibit 10.35 of the Company’s Annual Report on Form 10-K for the fiscal year ended January 31,</w:t>
              </w:r>
            </w:hyperlink>
          </w:p>
        </w:tc>
      </w:tr>
      <w:tr>
        <w:trPr>
          <w:trHeight w:val="196"/>
        </w:trPr>
        <w:tc>
          <w:tcPr>
            <w:tcW w:w="1360" w:type="dxa"/>
            <w:vAlign w:val="bottom"/>
          </w:tcPr>
          <w:p>
            <w:pPr>
              <w:spacing w:after="0"/>
              <w:rPr>
                <w:sz w:val="17"/>
                <w:szCs w:val="17"/>
                <w:color w:val="auto"/>
              </w:rPr>
            </w:pPr>
          </w:p>
        </w:tc>
        <w:tc>
          <w:tcPr>
            <w:tcW w:w="42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FF"/>
                <w:w w:val="95"/>
              </w:rPr>
            </w:pPr>
            <w:hyperlink r:id="rId425">
              <w:r>
                <w:rPr>
                  <w:rFonts w:ascii="Times New Roman" w:cs="Times New Roman" w:eastAsia="Times New Roman" w:hAnsi="Times New Roman"/>
                  <w:sz w:val="18"/>
                  <w:szCs w:val="18"/>
                  <w:color w:val="0000FF"/>
                  <w:w w:val="95"/>
                </w:rPr>
                <w:t>2021)</w:t>
              </w:r>
            </w:hyperlink>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17"/>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10.37†</w:t>
            </w:r>
          </w:p>
        </w:tc>
        <w:tc>
          <w:tcPr>
            <w:tcW w:w="9220" w:type="dxa"/>
            <w:vAlign w:val="bottom"/>
            <w:tcBorders>
              <w:bottom w:val="single" w:sz="8" w:color="0000EE"/>
            </w:tcBorders>
            <w:gridSpan w:val="16"/>
          </w:tcPr>
          <w:p>
            <w:pPr>
              <w:spacing w:after="0"/>
              <w:rPr>
                <w:rFonts w:ascii="Times New Roman" w:cs="Times New Roman" w:eastAsia="Times New Roman" w:hAnsi="Times New Roman"/>
                <w:sz w:val="18"/>
                <w:szCs w:val="18"/>
                <w:color w:val="0000FF"/>
              </w:rPr>
            </w:pPr>
            <w:hyperlink r:id="rId426">
              <w:r>
                <w:rPr>
                  <w:rFonts w:ascii="Times New Roman" w:cs="Times New Roman" w:eastAsia="Times New Roman" w:hAnsi="Times New Roman"/>
                  <w:sz w:val="18"/>
                  <w:szCs w:val="18"/>
                  <w:color w:val="0000FF"/>
                </w:rPr>
                <w:t>Transition Agreement, dated January 30, 2026 between Glenn Murphy and 1000891444 Ontario Inc., an indirect wholly owned</w:t>
              </w:r>
            </w:hyperlink>
          </w:p>
        </w:tc>
        <w:tc>
          <w:tcPr>
            <w:tcW w:w="660" w:type="dxa"/>
            <w:vAlign w:val="bottom"/>
            <w:gridSpan w:val="16"/>
          </w:tcPr>
          <w:p>
            <w:pPr>
              <w:spacing w:after="0"/>
              <w:rPr>
                <w:sz w:val="24"/>
                <w:szCs w:val="24"/>
                <w:color w:val="auto"/>
              </w:rPr>
            </w:pPr>
          </w:p>
        </w:tc>
      </w:tr>
      <w:tr>
        <w:trPr>
          <w:trHeight w:val="196"/>
        </w:trPr>
        <w:tc>
          <w:tcPr>
            <w:tcW w:w="1360" w:type="dxa"/>
            <w:vAlign w:val="bottom"/>
          </w:tcPr>
          <w:p>
            <w:pPr>
              <w:spacing w:after="0"/>
              <w:rPr>
                <w:sz w:val="17"/>
                <w:szCs w:val="17"/>
                <w:color w:val="auto"/>
              </w:rPr>
            </w:pPr>
          </w:p>
        </w:tc>
        <w:tc>
          <w:tcPr>
            <w:tcW w:w="9800" w:type="dxa"/>
            <w:vAlign w:val="bottom"/>
            <w:tcBorders>
              <w:bottom w:val="single" w:sz="8" w:color="0000EE"/>
            </w:tcBorders>
            <w:gridSpan w:val="29"/>
          </w:tcPr>
          <w:p>
            <w:pPr>
              <w:spacing w:after="0" w:line="196" w:lineRule="exact"/>
              <w:rPr>
                <w:rFonts w:ascii="Times New Roman" w:cs="Times New Roman" w:eastAsia="Times New Roman" w:hAnsi="Times New Roman"/>
                <w:sz w:val="18"/>
                <w:szCs w:val="18"/>
                <w:color w:val="0000FF"/>
              </w:rPr>
            </w:pPr>
            <w:hyperlink r:id="rId426">
              <w:r>
                <w:rPr>
                  <w:rFonts w:ascii="Times New Roman" w:cs="Times New Roman" w:eastAsia="Times New Roman" w:hAnsi="Times New Roman"/>
                  <w:sz w:val="18"/>
                  <w:szCs w:val="18"/>
                  <w:color w:val="0000FF"/>
                </w:rPr>
                <w:t>subsidiary of Petco Health and Wellness Company, Inc. (incorporated by reference to Exhibit 10.1 of the Company's Current Report on</w:t>
              </w:r>
            </w:hyperlink>
          </w:p>
        </w:tc>
        <w:tc>
          <w:tcPr>
            <w:tcW w:w="80" w:type="dxa"/>
            <w:vAlign w:val="bottom"/>
            <w:gridSpan w:val="3"/>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270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FF"/>
                <w:w w:val="99"/>
              </w:rPr>
            </w:pPr>
            <w:hyperlink r:id="rId426">
              <w:r>
                <w:rPr>
                  <w:rFonts w:ascii="Times New Roman" w:cs="Times New Roman" w:eastAsia="Times New Roman" w:hAnsi="Times New Roman"/>
                  <w:sz w:val="18"/>
                  <w:szCs w:val="18"/>
                  <w:color w:val="0000FF"/>
                  <w:w w:val="99"/>
                </w:rPr>
                <w:t>Form 8-K, filed on February 2, 2026)</w:t>
              </w:r>
            </w:hyperlink>
          </w:p>
        </w:tc>
        <w:tc>
          <w:tcPr>
            <w:tcW w:w="7180" w:type="dxa"/>
            <w:vAlign w:val="bottom"/>
            <w:gridSpan w:val="28"/>
          </w:tcPr>
          <w:p>
            <w:pPr>
              <w:spacing w:after="0"/>
              <w:rPr>
                <w:sz w:val="17"/>
                <w:szCs w:val="17"/>
                <w:color w:val="auto"/>
              </w:rPr>
            </w:pPr>
          </w:p>
        </w:tc>
      </w:tr>
      <w:tr>
        <w:trPr>
          <w:trHeight w:val="318"/>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10.38</w:t>
            </w:r>
          </w:p>
        </w:tc>
        <w:tc>
          <w:tcPr>
            <w:tcW w:w="9800" w:type="dxa"/>
            <w:vAlign w:val="bottom"/>
            <w:tcBorders>
              <w:bottom w:val="single" w:sz="8" w:color="0000EE"/>
            </w:tcBorders>
            <w:gridSpan w:val="29"/>
          </w:tcPr>
          <w:p>
            <w:pPr>
              <w:spacing w:after="0"/>
              <w:rPr>
                <w:rFonts w:ascii="Times New Roman" w:cs="Times New Roman" w:eastAsia="Times New Roman" w:hAnsi="Times New Roman"/>
                <w:sz w:val="18"/>
                <w:szCs w:val="18"/>
                <w:color w:val="0000FF"/>
              </w:rPr>
            </w:pPr>
            <w:hyperlink r:id="rId427">
              <w:r>
                <w:rPr>
                  <w:rFonts w:ascii="Times New Roman" w:cs="Times New Roman" w:eastAsia="Times New Roman" w:hAnsi="Times New Roman"/>
                  <w:sz w:val="18"/>
                  <w:szCs w:val="18"/>
                  <w:color w:val="0000FF"/>
                </w:rPr>
                <w:t>First Lien Credit Agreement, dated March 4, 2021, by and among Petco Health and Wellness Company, Inc., the Lenders party thereto,</w:t>
              </w:r>
            </w:hyperlink>
          </w:p>
        </w:tc>
        <w:tc>
          <w:tcPr>
            <w:tcW w:w="80" w:type="dxa"/>
            <w:vAlign w:val="bottom"/>
            <w:gridSpan w:val="3"/>
          </w:tcPr>
          <w:p>
            <w:pPr>
              <w:spacing w:after="0"/>
              <w:rPr>
                <w:sz w:val="24"/>
                <w:szCs w:val="24"/>
                <w:color w:val="auto"/>
              </w:rPr>
            </w:pPr>
          </w:p>
        </w:tc>
      </w:tr>
      <w:tr>
        <w:trPr>
          <w:trHeight w:val="196"/>
        </w:trPr>
        <w:tc>
          <w:tcPr>
            <w:tcW w:w="1360" w:type="dxa"/>
            <w:vAlign w:val="bottom"/>
          </w:tcPr>
          <w:p>
            <w:pPr>
              <w:spacing w:after="0"/>
              <w:rPr>
                <w:sz w:val="17"/>
                <w:szCs w:val="17"/>
                <w:color w:val="auto"/>
              </w:rPr>
            </w:pPr>
          </w:p>
        </w:tc>
        <w:tc>
          <w:tcPr>
            <w:tcW w:w="9540" w:type="dxa"/>
            <w:vAlign w:val="bottom"/>
            <w:tcBorders>
              <w:bottom w:val="single" w:sz="8" w:color="0000EE"/>
            </w:tcBorders>
            <w:gridSpan w:val="21"/>
          </w:tcPr>
          <w:p>
            <w:pPr>
              <w:spacing w:after="0" w:line="196" w:lineRule="exact"/>
              <w:rPr>
                <w:rFonts w:ascii="Times New Roman" w:cs="Times New Roman" w:eastAsia="Times New Roman" w:hAnsi="Times New Roman"/>
                <w:sz w:val="18"/>
                <w:szCs w:val="18"/>
                <w:color w:val="0000FF"/>
              </w:rPr>
            </w:pPr>
            <w:hyperlink r:id="rId427">
              <w:r>
                <w:rPr>
                  <w:rFonts w:ascii="Times New Roman" w:cs="Times New Roman" w:eastAsia="Times New Roman" w:hAnsi="Times New Roman"/>
                  <w:sz w:val="18"/>
                  <w:szCs w:val="18"/>
                  <w:color w:val="0000FF"/>
                </w:rPr>
                <w:t>and Citibank, N.A., as Administrative Agent and Collateral Agent, as amended by the First Amendment to Credit Agreement, dated</w:t>
              </w:r>
            </w:hyperlink>
          </w:p>
        </w:tc>
        <w:tc>
          <w:tcPr>
            <w:tcW w:w="340" w:type="dxa"/>
            <w:vAlign w:val="bottom"/>
            <w:gridSpan w:val="11"/>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946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FF"/>
              </w:rPr>
            </w:pPr>
            <w:hyperlink r:id="rId427">
              <w:r>
                <w:rPr>
                  <w:rFonts w:ascii="Times New Roman" w:cs="Times New Roman" w:eastAsia="Times New Roman" w:hAnsi="Times New Roman"/>
                  <w:sz w:val="18"/>
                  <w:szCs w:val="18"/>
                  <w:color w:val="0000FF"/>
                </w:rPr>
                <w:t>December 12, 2022, by and between Petco Health and Wellness Company, Inc. and Citibank, N.A., as administrative agent, and as</w:t>
              </w:r>
            </w:hyperlink>
          </w:p>
        </w:tc>
        <w:tc>
          <w:tcPr>
            <w:tcW w:w="420" w:type="dxa"/>
            <w:vAlign w:val="bottom"/>
            <w:gridSpan w:val="13"/>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9600" w:type="dxa"/>
            <w:vAlign w:val="bottom"/>
            <w:tcBorders>
              <w:bottom w:val="single" w:sz="8" w:color="0000EE"/>
            </w:tcBorders>
            <w:gridSpan w:val="23"/>
          </w:tcPr>
          <w:p>
            <w:pPr>
              <w:spacing w:after="0" w:line="196" w:lineRule="exact"/>
              <w:rPr>
                <w:rFonts w:ascii="Times New Roman" w:cs="Times New Roman" w:eastAsia="Times New Roman" w:hAnsi="Times New Roman"/>
                <w:sz w:val="18"/>
                <w:szCs w:val="18"/>
                <w:color w:val="0000FF"/>
              </w:rPr>
            </w:pPr>
            <w:hyperlink r:id="rId427">
              <w:r>
                <w:rPr>
                  <w:rFonts w:ascii="Times New Roman" w:cs="Times New Roman" w:eastAsia="Times New Roman" w:hAnsi="Times New Roman"/>
                  <w:sz w:val="18"/>
                  <w:szCs w:val="18"/>
                  <w:color w:val="0000FF"/>
                </w:rPr>
                <w:t>further amended by the Second Amendment to Credit Agreement, dated as of February 2, 2026, among the Company, the guarantors</w:t>
              </w:r>
            </w:hyperlink>
          </w:p>
        </w:tc>
        <w:tc>
          <w:tcPr>
            <w:tcW w:w="280" w:type="dxa"/>
            <w:vAlign w:val="bottom"/>
            <w:gridSpan w:val="9"/>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9760" w:type="dxa"/>
            <w:vAlign w:val="bottom"/>
            <w:tcBorders>
              <w:bottom w:val="single" w:sz="8" w:color="0000EE"/>
            </w:tcBorders>
            <w:gridSpan w:val="27"/>
          </w:tcPr>
          <w:p>
            <w:pPr>
              <w:spacing w:after="0" w:line="196" w:lineRule="exact"/>
              <w:rPr>
                <w:rFonts w:ascii="Times New Roman" w:cs="Times New Roman" w:eastAsia="Times New Roman" w:hAnsi="Times New Roman"/>
                <w:sz w:val="18"/>
                <w:szCs w:val="18"/>
                <w:color w:val="0000FF"/>
              </w:rPr>
            </w:pPr>
            <w:hyperlink r:id="rId427">
              <w:r>
                <w:rPr>
                  <w:rFonts w:ascii="Times New Roman" w:cs="Times New Roman" w:eastAsia="Times New Roman" w:hAnsi="Times New Roman"/>
                  <w:sz w:val="18"/>
                  <w:szCs w:val="18"/>
                  <w:color w:val="0000FF"/>
                </w:rPr>
                <w:t>party thereto, certain lenders party thereto and Citibank, N.A., as administrative agent (incorporated by reference to Exhibit 10.1 of the</w:t>
              </w:r>
            </w:hyperlink>
          </w:p>
        </w:tc>
        <w:tc>
          <w:tcPr>
            <w:tcW w:w="120" w:type="dxa"/>
            <w:vAlign w:val="bottom"/>
            <w:gridSpan w:val="5"/>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490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FF"/>
                <w:w w:val="99"/>
              </w:rPr>
            </w:pPr>
            <w:hyperlink r:id="rId427">
              <w:r>
                <w:rPr>
                  <w:rFonts w:ascii="Times New Roman" w:cs="Times New Roman" w:eastAsia="Times New Roman" w:hAnsi="Times New Roman"/>
                  <w:sz w:val="18"/>
                  <w:szCs w:val="18"/>
                  <w:color w:val="0000FF"/>
                  <w:w w:val="99"/>
                </w:rPr>
                <w:t>Company's Current Report on Form 8-K, filed on February 2, 2026)</w:t>
              </w:r>
            </w:hyperlink>
          </w:p>
        </w:tc>
        <w:tc>
          <w:tcPr>
            <w:tcW w:w="4980" w:type="dxa"/>
            <w:vAlign w:val="bottom"/>
            <w:gridSpan w:val="23"/>
          </w:tcPr>
          <w:p>
            <w:pPr>
              <w:spacing w:after="0"/>
              <w:rPr>
                <w:sz w:val="17"/>
                <w:szCs w:val="17"/>
                <w:color w:val="auto"/>
              </w:rPr>
            </w:pPr>
          </w:p>
        </w:tc>
      </w:tr>
      <w:tr>
        <w:trPr>
          <w:trHeight w:val="318"/>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10.39†*</w:t>
            </w:r>
          </w:p>
        </w:tc>
        <w:tc>
          <w:tcPr>
            <w:tcW w:w="722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FF"/>
                <w:w w:val="99"/>
              </w:rPr>
              <w:t>Offer Letter, dated April 9, 2024, between Holly May and Petco Health and Wellness Company, Inc</w:t>
            </w:r>
          </w:p>
        </w:tc>
        <w:tc>
          <w:tcPr>
            <w:tcW w:w="2660" w:type="dxa"/>
            <w:vAlign w:val="bottom"/>
            <w:gridSpan w:val="20"/>
          </w:tcPr>
          <w:p>
            <w:pPr>
              <w:spacing w:after="0"/>
              <w:rPr>
                <w:sz w:val="24"/>
                <w:szCs w:val="24"/>
                <w:color w:val="auto"/>
              </w:rPr>
            </w:pPr>
          </w:p>
        </w:tc>
      </w:tr>
      <w:tr>
        <w:trPr>
          <w:trHeight w:val="318"/>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10.40†*</w:t>
            </w:r>
          </w:p>
        </w:tc>
        <w:tc>
          <w:tcPr>
            <w:tcW w:w="988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Offer Letter, dated October 24, 2024, between Patrick Joseph Venezia and Petco Health and Wellness Company, Inc</w:t>
            </w:r>
          </w:p>
        </w:tc>
      </w:tr>
      <w:tr>
        <w:trPr>
          <w:trHeight w:val="20"/>
        </w:trPr>
        <w:tc>
          <w:tcPr>
            <w:tcW w:w="1360" w:type="dxa"/>
            <w:vAlign w:val="bottom"/>
          </w:tcPr>
          <w:p>
            <w:pPr>
              <w:spacing w:after="0" w:line="20" w:lineRule="exact"/>
              <w:rPr>
                <w:sz w:val="1"/>
                <w:szCs w:val="1"/>
                <w:color w:val="auto"/>
              </w:rPr>
            </w:pPr>
          </w:p>
        </w:tc>
        <w:tc>
          <w:tcPr>
            <w:tcW w:w="1760" w:type="dxa"/>
            <w:vAlign w:val="bottom"/>
            <w:gridSpan w:val="2"/>
            <w:shd w:val="clear" w:color="auto" w:fill="0000EE"/>
          </w:tcPr>
          <w:p>
            <w:pPr>
              <w:spacing w:after="0" w:line="20" w:lineRule="exact"/>
              <w:rPr>
                <w:sz w:val="1"/>
                <w:szCs w:val="1"/>
                <w:color w:val="auto"/>
              </w:rPr>
            </w:pPr>
          </w:p>
        </w:tc>
        <w:tc>
          <w:tcPr>
            <w:tcW w:w="1940" w:type="dxa"/>
            <w:vAlign w:val="bottom"/>
            <w:gridSpan w:val="3"/>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3600" w:type="dxa"/>
            <w:vAlign w:val="bottom"/>
            <w:gridSpan w:val="5"/>
            <w:shd w:val="clear" w:color="auto" w:fill="0000EE"/>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360" w:type="dxa"/>
            <w:vAlign w:val="bottom"/>
            <w:gridSpan w:val="7"/>
          </w:tcPr>
          <w:p>
            <w:pPr>
              <w:spacing w:after="0" w:line="20" w:lineRule="exact"/>
              <w:rPr>
                <w:sz w:val="1"/>
                <w:szCs w:val="1"/>
                <w:color w:val="auto"/>
              </w:rPr>
            </w:pPr>
          </w:p>
        </w:tc>
        <w:tc>
          <w:tcPr>
            <w:tcW w:w="30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10.41†*</w:t>
            </w:r>
          </w:p>
        </w:tc>
        <w:tc>
          <w:tcPr>
            <w:tcW w:w="9860" w:type="dxa"/>
            <w:vAlign w:val="bottom"/>
            <w:tcBorders>
              <w:bottom w:val="single" w:sz="8" w:color="0000EE"/>
            </w:tcBorders>
            <w:gridSpan w:val="31"/>
          </w:tcPr>
          <w:p>
            <w:pPr>
              <w:spacing w:after="0"/>
              <w:rPr>
                <w:sz w:val="20"/>
                <w:szCs w:val="20"/>
                <w:color w:val="auto"/>
              </w:rPr>
            </w:pPr>
            <w:r>
              <w:rPr>
                <w:rFonts w:ascii="Times New Roman" w:cs="Times New Roman" w:eastAsia="Times New Roman" w:hAnsi="Times New Roman"/>
                <w:sz w:val="18"/>
                <w:szCs w:val="18"/>
                <w:color w:val="0000FF"/>
              </w:rPr>
              <w:t>Form of Restricted Stock Unit Award Grant Notice and Standard Terms and Conditions under the Petco Health and Wellness Company,</w:t>
            </w:r>
          </w:p>
        </w:tc>
        <w:tc>
          <w:tcPr>
            <w:tcW w:w="20" w:type="dxa"/>
            <w:vAlign w:val="bottom"/>
          </w:tcPr>
          <w:p>
            <w:pPr>
              <w:spacing w:after="0"/>
              <w:rPr>
                <w:sz w:val="24"/>
                <w:szCs w:val="24"/>
                <w:color w:val="auto"/>
              </w:rPr>
            </w:pPr>
          </w:p>
        </w:tc>
      </w:tr>
      <w:tr>
        <w:trPr>
          <w:trHeight w:val="196"/>
        </w:trPr>
        <w:tc>
          <w:tcPr>
            <w:tcW w:w="1360" w:type="dxa"/>
            <w:vAlign w:val="bottom"/>
          </w:tcPr>
          <w:p>
            <w:pPr>
              <w:spacing w:after="0"/>
              <w:rPr>
                <w:sz w:val="17"/>
                <w:szCs w:val="17"/>
                <w:color w:val="auto"/>
              </w:rPr>
            </w:pPr>
          </w:p>
        </w:tc>
        <w:tc>
          <w:tcPr>
            <w:tcW w:w="406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FF"/>
              </w:rPr>
              <w:t>Inc. 2021 Equity Incentive Plan (2026 Executive Form)</w:t>
            </w:r>
          </w:p>
        </w:tc>
        <w:tc>
          <w:tcPr>
            <w:tcW w:w="5820" w:type="dxa"/>
            <w:vAlign w:val="bottom"/>
            <w:gridSpan w:val="26"/>
          </w:tcPr>
          <w:p>
            <w:pPr>
              <w:spacing w:after="0"/>
              <w:rPr>
                <w:sz w:val="17"/>
                <w:szCs w:val="17"/>
                <w:color w:val="auto"/>
              </w:rPr>
            </w:pPr>
          </w:p>
        </w:tc>
      </w:tr>
      <w:tr>
        <w:trPr>
          <w:trHeight w:val="318"/>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10.42†*</w:t>
            </w:r>
          </w:p>
        </w:tc>
        <w:tc>
          <w:tcPr>
            <w:tcW w:w="9860" w:type="dxa"/>
            <w:vAlign w:val="bottom"/>
            <w:tcBorders>
              <w:bottom w:val="single" w:sz="8" w:color="0000EE"/>
            </w:tcBorders>
            <w:gridSpan w:val="31"/>
          </w:tcPr>
          <w:p>
            <w:pPr>
              <w:spacing w:after="0"/>
              <w:rPr>
                <w:sz w:val="20"/>
                <w:szCs w:val="20"/>
                <w:color w:val="auto"/>
              </w:rPr>
            </w:pPr>
            <w:r>
              <w:rPr>
                <w:rFonts w:ascii="Times New Roman" w:cs="Times New Roman" w:eastAsia="Times New Roman" w:hAnsi="Times New Roman"/>
                <w:sz w:val="18"/>
                <w:szCs w:val="18"/>
                <w:color w:val="0000FF"/>
              </w:rPr>
              <w:t>Form of Restricted Stock Unit Award Grant Notice and Standard Terms and Conditions under the Petco Health and Wellness Company,</w:t>
            </w:r>
          </w:p>
        </w:tc>
        <w:tc>
          <w:tcPr>
            <w:tcW w:w="20" w:type="dxa"/>
            <w:vAlign w:val="bottom"/>
          </w:tcPr>
          <w:p>
            <w:pPr>
              <w:spacing w:after="0"/>
              <w:rPr>
                <w:sz w:val="24"/>
                <w:szCs w:val="24"/>
                <w:color w:val="auto"/>
              </w:rPr>
            </w:pPr>
          </w:p>
        </w:tc>
      </w:tr>
      <w:tr>
        <w:trPr>
          <w:trHeight w:val="196"/>
        </w:trPr>
        <w:tc>
          <w:tcPr>
            <w:tcW w:w="1360" w:type="dxa"/>
            <w:vAlign w:val="bottom"/>
          </w:tcPr>
          <w:p>
            <w:pPr>
              <w:spacing w:after="0"/>
              <w:rPr>
                <w:sz w:val="17"/>
                <w:szCs w:val="17"/>
                <w:color w:val="auto"/>
              </w:rPr>
            </w:pPr>
          </w:p>
        </w:tc>
        <w:tc>
          <w:tcPr>
            <w:tcW w:w="370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FF"/>
              </w:rPr>
              <w:t>Inc. 2021 Equity Incentive Plan (2026 CEO Form)</w:t>
            </w:r>
          </w:p>
        </w:tc>
        <w:tc>
          <w:tcPr>
            <w:tcW w:w="6180" w:type="dxa"/>
            <w:vAlign w:val="bottom"/>
            <w:gridSpan w:val="27"/>
          </w:tcPr>
          <w:p>
            <w:pPr>
              <w:spacing w:after="0"/>
              <w:rPr>
                <w:sz w:val="17"/>
                <w:szCs w:val="17"/>
                <w:color w:val="auto"/>
              </w:rPr>
            </w:pPr>
          </w:p>
        </w:tc>
      </w:tr>
      <w:tr>
        <w:trPr>
          <w:trHeight w:val="318"/>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10.43†*</w:t>
            </w:r>
          </w:p>
        </w:tc>
        <w:tc>
          <w:tcPr>
            <w:tcW w:w="9200" w:type="dxa"/>
            <w:vAlign w:val="bottom"/>
            <w:tcBorders>
              <w:bottom w:val="single" w:sz="8" w:color="0000EE"/>
            </w:tcBorders>
            <w:gridSpan w:val="15"/>
          </w:tcPr>
          <w:p>
            <w:pPr>
              <w:spacing w:after="0"/>
              <w:rPr>
                <w:sz w:val="20"/>
                <w:szCs w:val="20"/>
                <w:color w:val="auto"/>
              </w:rPr>
            </w:pPr>
            <w:r>
              <w:rPr>
                <w:rFonts w:ascii="Times New Roman" w:cs="Times New Roman" w:eastAsia="Times New Roman" w:hAnsi="Times New Roman"/>
                <w:sz w:val="18"/>
                <w:szCs w:val="18"/>
                <w:color w:val="0000FF"/>
              </w:rPr>
              <w:t>Form of Performance Stock Unit Award Grant Notice and Standard terms and Conditions under the Petco Health and Wellness</w:t>
            </w:r>
          </w:p>
        </w:tc>
        <w:tc>
          <w:tcPr>
            <w:tcW w:w="680" w:type="dxa"/>
            <w:vAlign w:val="bottom"/>
            <w:gridSpan w:val="17"/>
          </w:tcPr>
          <w:p>
            <w:pPr>
              <w:spacing w:after="0"/>
              <w:rPr>
                <w:sz w:val="24"/>
                <w:szCs w:val="24"/>
                <w:color w:val="auto"/>
              </w:rPr>
            </w:pPr>
          </w:p>
        </w:tc>
      </w:tr>
      <w:tr>
        <w:trPr>
          <w:trHeight w:val="196"/>
        </w:trPr>
        <w:tc>
          <w:tcPr>
            <w:tcW w:w="1360" w:type="dxa"/>
            <w:vAlign w:val="bottom"/>
          </w:tcPr>
          <w:p>
            <w:pPr>
              <w:spacing w:after="0"/>
              <w:rPr>
                <w:sz w:val="17"/>
                <w:szCs w:val="17"/>
                <w:color w:val="auto"/>
              </w:rPr>
            </w:pPr>
          </w:p>
        </w:tc>
        <w:tc>
          <w:tcPr>
            <w:tcW w:w="480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FF"/>
                <w:w w:val="99"/>
              </w:rPr>
              <w:t>Company, Inc. 2021 Equity Incentive Plan (2026 Executive Form)</w:t>
            </w:r>
          </w:p>
        </w:tc>
        <w:tc>
          <w:tcPr>
            <w:tcW w:w="5080" w:type="dxa"/>
            <w:vAlign w:val="bottom"/>
            <w:gridSpan w:val="24"/>
          </w:tcPr>
          <w:p>
            <w:pPr>
              <w:spacing w:after="0"/>
              <w:rPr>
                <w:sz w:val="17"/>
                <w:szCs w:val="17"/>
                <w:color w:val="auto"/>
              </w:rPr>
            </w:pPr>
          </w:p>
        </w:tc>
      </w:tr>
      <w:tr>
        <w:trPr>
          <w:trHeight w:val="318"/>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19.1</w:t>
            </w:r>
          </w:p>
        </w:tc>
        <w:tc>
          <w:tcPr>
            <w:tcW w:w="9560" w:type="dxa"/>
            <w:vAlign w:val="bottom"/>
            <w:tcBorders>
              <w:bottom w:val="single" w:sz="8" w:color="0000EE"/>
            </w:tcBorders>
            <w:gridSpan w:val="22"/>
          </w:tcPr>
          <w:p>
            <w:pPr>
              <w:spacing w:after="0"/>
              <w:rPr>
                <w:rFonts w:ascii="Times New Roman" w:cs="Times New Roman" w:eastAsia="Times New Roman" w:hAnsi="Times New Roman"/>
                <w:sz w:val="18"/>
                <w:szCs w:val="18"/>
                <w:color w:val="0000FF"/>
              </w:rPr>
            </w:pPr>
            <w:hyperlink r:id="rId428">
              <w:r>
                <w:rPr>
                  <w:rFonts w:ascii="Times New Roman" w:cs="Times New Roman" w:eastAsia="Times New Roman" w:hAnsi="Times New Roman"/>
                  <w:sz w:val="18"/>
                  <w:szCs w:val="18"/>
                  <w:color w:val="0000FF"/>
                </w:rPr>
                <w:t>Insider Trading Policy (incorporated by reference to Exhibit 19.1 of the Company’s Annual Report on Form 10-K for the fiscal year</w:t>
              </w:r>
            </w:hyperlink>
          </w:p>
        </w:tc>
        <w:tc>
          <w:tcPr>
            <w:tcW w:w="320" w:type="dxa"/>
            <w:vAlign w:val="bottom"/>
            <w:gridSpan w:val="10"/>
          </w:tcPr>
          <w:p>
            <w:pPr>
              <w:spacing w:after="0"/>
              <w:rPr>
                <w:sz w:val="24"/>
                <w:szCs w:val="24"/>
                <w:color w:val="auto"/>
              </w:rPr>
            </w:pPr>
          </w:p>
        </w:tc>
      </w:tr>
      <w:tr>
        <w:trPr>
          <w:trHeight w:val="196"/>
        </w:trPr>
        <w:tc>
          <w:tcPr>
            <w:tcW w:w="1360" w:type="dxa"/>
            <w:vAlign w:val="bottom"/>
          </w:tcPr>
          <w:p>
            <w:pPr>
              <w:spacing w:after="0"/>
              <w:rPr>
                <w:sz w:val="17"/>
                <w:szCs w:val="17"/>
                <w:color w:val="auto"/>
              </w:rPr>
            </w:pPr>
          </w:p>
        </w:tc>
        <w:tc>
          <w:tcPr>
            <w:tcW w:w="9880" w:type="dxa"/>
            <w:vAlign w:val="bottom"/>
            <w:gridSpan w:val="32"/>
          </w:tcPr>
          <w:p>
            <w:pPr>
              <w:spacing w:after="0" w:line="196" w:lineRule="exact"/>
              <w:rPr>
                <w:rFonts w:ascii="Times New Roman" w:cs="Times New Roman" w:eastAsia="Times New Roman" w:hAnsi="Times New Roman"/>
                <w:sz w:val="18"/>
                <w:szCs w:val="18"/>
                <w:color w:val="0000FF"/>
              </w:rPr>
            </w:pPr>
            <w:hyperlink r:id="rId428">
              <w:r>
                <w:rPr>
                  <w:rFonts w:ascii="Times New Roman" w:cs="Times New Roman" w:eastAsia="Times New Roman" w:hAnsi="Times New Roman"/>
                  <w:sz w:val="18"/>
                  <w:szCs w:val="18"/>
                  <w:color w:val="0000FF"/>
                </w:rPr>
                <w:t>ended February 1, 2025)</w:t>
              </w:r>
            </w:hyperlink>
          </w:p>
        </w:tc>
      </w:tr>
      <w:tr>
        <w:trPr>
          <w:trHeight w:val="668"/>
        </w:trPr>
        <w:tc>
          <w:tcPr>
            <w:tcW w:w="1360" w:type="dxa"/>
            <w:vAlign w:val="bottom"/>
          </w:tcPr>
          <w:p>
            <w:pPr>
              <w:spacing w:after="0"/>
              <w:rPr>
                <w:sz w:val="24"/>
                <w:szCs w:val="24"/>
                <w:color w:val="auto"/>
              </w:rPr>
            </w:pPr>
          </w:p>
        </w:tc>
        <w:tc>
          <w:tcPr>
            <w:tcW w:w="1760" w:type="dxa"/>
            <w:vAlign w:val="bottom"/>
            <w:tcBorders>
              <w:top w:val="single" w:sz="8" w:color="0000EE"/>
            </w:tcBorders>
            <w:gridSpan w:val="2"/>
          </w:tcPr>
          <w:p>
            <w:pPr>
              <w:spacing w:after="0"/>
              <w:rPr>
                <w:sz w:val="24"/>
                <w:szCs w:val="24"/>
                <w:color w:val="auto"/>
              </w:rPr>
            </w:pPr>
          </w:p>
        </w:tc>
        <w:tc>
          <w:tcPr>
            <w:tcW w:w="2920" w:type="dxa"/>
            <w:vAlign w:val="bottom"/>
            <w:gridSpan w:val="5"/>
          </w:tcPr>
          <w:p>
            <w:pPr>
              <w:jc w:val="right"/>
              <w:ind w:right="280"/>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763"/>
        </w:trPr>
        <w:tc>
          <w:tcPr>
            <w:tcW w:w="136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04" w:name="page105"/>
    <w:bookmarkEnd w:id="104"/>
    <w:p>
      <w:pPr>
        <w:spacing w:after="0" w:line="86"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21.1</w:t>
            </w:r>
          </w:p>
        </w:tc>
        <w:tc>
          <w:tcPr>
            <w:tcW w:w="9880" w:type="dxa"/>
            <w:vAlign w:val="bottom"/>
            <w:tcBorders>
              <w:bottom w:val="single" w:sz="8" w:color="0000EE"/>
            </w:tcBorders>
            <w:gridSpan w:val="9"/>
          </w:tcPr>
          <w:p>
            <w:pPr>
              <w:spacing w:after="0"/>
              <w:rPr>
                <w:rFonts w:ascii="Times New Roman" w:cs="Times New Roman" w:eastAsia="Times New Roman" w:hAnsi="Times New Roman"/>
                <w:sz w:val="18"/>
                <w:szCs w:val="18"/>
                <w:color w:val="0000FF"/>
                <w:w w:val="99"/>
              </w:rPr>
            </w:pPr>
            <w:hyperlink r:id="rId431">
              <w:r>
                <w:rPr>
                  <w:rFonts w:ascii="Times New Roman" w:cs="Times New Roman" w:eastAsia="Times New Roman" w:hAnsi="Times New Roman"/>
                  <w:sz w:val="18"/>
                  <w:szCs w:val="18"/>
                  <w:color w:val="0000FF"/>
                  <w:w w:val="99"/>
                </w:rPr>
                <w:t>List of Subsidiaries (incorporated by reference to Exhibit 21.1 of the Company’s Registration Statement on Form S-1, filed on December</w:t>
              </w:r>
            </w:hyperlink>
          </w:p>
        </w:tc>
      </w:tr>
      <w:tr>
        <w:trPr>
          <w:trHeight w:val="196"/>
        </w:trPr>
        <w:tc>
          <w:tcPr>
            <w:tcW w:w="1340" w:type="dxa"/>
            <w:vAlign w:val="bottom"/>
          </w:tcPr>
          <w:p>
            <w:pPr>
              <w:spacing w:after="0"/>
              <w:rPr>
                <w:sz w:val="17"/>
                <w:szCs w:val="17"/>
                <w:color w:val="auto"/>
              </w:rPr>
            </w:pPr>
          </w:p>
        </w:tc>
        <w:tc>
          <w:tcPr>
            <w:tcW w:w="60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FF"/>
                <w:w w:val="96"/>
              </w:rPr>
            </w:pPr>
            <w:hyperlink r:id="rId431">
              <w:r>
                <w:rPr>
                  <w:rFonts w:ascii="Times New Roman" w:cs="Times New Roman" w:eastAsia="Times New Roman" w:hAnsi="Times New Roman"/>
                  <w:sz w:val="18"/>
                  <w:szCs w:val="18"/>
                  <w:color w:val="0000FF"/>
                  <w:w w:val="96"/>
                </w:rPr>
                <w:t>3, 2020)</w:t>
              </w:r>
            </w:hyperlink>
          </w:p>
        </w:tc>
        <w:tc>
          <w:tcPr>
            <w:tcW w:w="74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91"/>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23*</w:t>
            </w:r>
          </w:p>
        </w:tc>
        <w:tc>
          <w:tcPr>
            <w:tcW w:w="432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FF"/>
                <w:w w:val="99"/>
              </w:rPr>
              <w:t>Consent of Independent Registered Public Accounting Firm</w:t>
            </w:r>
          </w:p>
        </w:tc>
        <w:tc>
          <w:tcPr>
            <w:tcW w:w="5560" w:type="dxa"/>
            <w:vAlign w:val="bottom"/>
            <w:gridSpan w:val="6"/>
          </w:tcPr>
          <w:p>
            <w:pPr>
              <w:spacing w:after="0"/>
              <w:rPr>
                <w:sz w:val="24"/>
                <w:szCs w:val="24"/>
                <w:color w:val="auto"/>
              </w:rPr>
            </w:pPr>
          </w:p>
        </w:tc>
      </w:tr>
      <w:tr>
        <w:trPr>
          <w:trHeight w:val="318"/>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966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Rules 13a-14(a) and 15d-14(a) under the Securities Exchange Act of 1934, as</w:t>
            </w:r>
          </w:p>
        </w:tc>
        <w:tc>
          <w:tcPr>
            <w:tcW w:w="220" w:type="dxa"/>
            <w:vAlign w:val="bottom"/>
          </w:tcPr>
          <w:p>
            <w:pPr>
              <w:spacing w:after="0"/>
              <w:rPr>
                <w:sz w:val="24"/>
                <w:szCs w:val="24"/>
                <w:color w:val="auto"/>
              </w:rPr>
            </w:pPr>
          </w:p>
        </w:tc>
      </w:tr>
      <w:tr>
        <w:trPr>
          <w:trHeight w:val="196"/>
        </w:trPr>
        <w:tc>
          <w:tcPr>
            <w:tcW w:w="1340" w:type="dxa"/>
            <w:vAlign w:val="bottom"/>
          </w:tcPr>
          <w:p>
            <w:pPr>
              <w:spacing w:after="0"/>
              <w:rPr>
                <w:sz w:val="17"/>
                <w:szCs w:val="17"/>
                <w:color w:val="auto"/>
              </w:rPr>
            </w:pPr>
          </w:p>
        </w:tc>
        <w:tc>
          <w:tcPr>
            <w:tcW w:w="494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FF"/>
                <w:w w:val="99"/>
              </w:rPr>
              <w:t>Adopted Pursuant to Section 302 of the Sarbanes-Oxley Act of 2002</w:t>
            </w:r>
          </w:p>
        </w:tc>
        <w:tc>
          <w:tcPr>
            <w:tcW w:w="4940" w:type="dxa"/>
            <w:vAlign w:val="bottom"/>
            <w:gridSpan w:val="5"/>
          </w:tcPr>
          <w:p>
            <w:pPr>
              <w:spacing w:after="0"/>
              <w:rPr>
                <w:sz w:val="17"/>
                <w:szCs w:val="17"/>
                <w:color w:val="auto"/>
              </w:rPr>
            </w:pPr>
          </w:p>
        </w:tc>
      </w:tr>
      <w:tr>
        <w:trPr>
          <w:trHeight w:val="318"/>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962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Rules 13a-14(a) and 15d-14(a) under the Securities Exchange Act of 1934, as</w:t>
            </w:r>
          </w:p>
        </w:tc>
        <w:tc>
          <w:tcPr>
            <w:tcW w:w="260" w:type="dxa"/>
            <w:vAlign w:val="bottom"/>
            <w:gridSpan w:val="2"/>
          </w:tcPr>
          <w:p>
            <w:pPr>
              <w:spacing w:after="0"/>
              <w:rPr>
                <w:sz w:val="24"/>
                <w:szCs w:val="24"/>
                <w:color w:val="auto"/>
              </w:rPr>
            </w:pPr>
          </w:p>
        </w:tc>
      </w:tr>
      <w:tr>
        <w:trPr>
          <w:trHeight w:val="196"/>
        </w:trPr>
        <w:tc>
          <w:tcPr>
            <w:tcW w:w="1340" w:type="dxa"/>
            <w:vAlign w:val="bottom"/>
          </w:tcPr>
          <w:p>
            <w:pPr>
              <w:spacing w:after="0"/>
              <w:rPr>
                <w:sz w:val="17"/>
                <w:szCs w:val="17"/>
                <w:color w:val="auto"/>
              </w:rPr>
            </w:pPr>
          </w:p>
        </w:tc>
        <w:tc>
          <w:tcPr>
            <w:tcW w:w="494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FF"/>
                <w:w w:val="99"/>
              </w:rPr>
              <w:t>Adopted Pursuant to Section 302 of the Sarbanes-Oxley Act of 2002</w:t>
            </w:r>
          </w:p>
        </w:tc>
        <w:tc>
          <w:tcPr>
            <w:tcW w:w="4940" w:type="dxa"/>
            <w:vAlign w:val="bottom"/>
            <w:gridSpan w:val="5"/>
          </w:tcPr>
          <w:p>
            <w:pPr>
              <w:spacing w:after="0"/>
              <w:rPr>
                <w:sz w:val="17"/>
                <w:szCs w:val="17"/>
                <w:color w:val="auto"/>
              </w:rPr>
            </w:pPr>
          </w:p>
        </w:tc>
      </w:tr>
      <w:tr>
        <w:trPr>
          <w:trHeight w:val="318"/>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988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18 U.S.C. Section 1350, as Adopted Pursuant to Section 906 of the Sarbanes-</w:t>
            </w:r>
          </w:p>
        </w:tc>
      </w:tr>
      <w:tr>
        <w:trPr>
          <w:trHeight w:val="196"/>
        </w:trPr>
        <w:tc>
          <w:tcPr>
            <w:tcW w:w="1340" w:type="dxa"/>
            <w:vAlign w:val="bottom"/>
          </w:tcPr>
          <w:p>
            <w:pPr>
              <w:spacing w:after="0"/>
              <w:rPr>
                <w:sz w:val="17"/>
                <w:szCs w:val="17"/>
                <w:color w:val="auto"/>
              </w:rPr>
            </w:pPr>
          </w:p>
        </w:tc>
        <w:tc>
          <w:tcPr>
            <w:tcW w:w="9600" w:type="dxa"/>
            <w:vAlign w:val="bottom"/>
            <w:tcBorders>
              <w:top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FF"/>
              </w:rPr>
              <w:t>Oxley Act of 2002</w:t>
            </w:r>
          </w:p>
        </w:tc>
        <w:tc>
          <w:tcPr>
            <w:tcW w:w="280" w:type="dxa"/>
            <w:vAlign w:val="bottom"/>
            <w:gridSpan w:val="3"/>
          </w:tcPr>
          <w:p>
            <w:pPr>
              <w:spacing w:after="0"/>
              <w:rPr>
                <w:sz w:val="17"/>
                <w:szCs w:val="17"/>
                <w:color w:val="auto"/>
              </w:rPr>
            </w:pPr>
          </w:p>
        </w:tc>
      </w:tr>
      <w:tr>
        <w:trPr>
          <w:trHeight w:val="20"/>
        </w:trPr>
        <w:tc>
          <w:tcPr>
            <w:tcW w:w="1340" w:type="dxa"/>
            <w:vAlign w:val="bottom"/>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8220" w:type="dxa"/>
            <w:vAlign w:val="bottom"/>
            <w:gridSpan w:val="3"/>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r>
      <w:tr>
        <w:trPr>
          <w:trHeight w:val="318"/>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956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FF"/>
                <w:w w:val="99"/>
              </w:rPr>
              <w:t>Certification of Principal Financial Officer Pursuant to 18 U.S.C. Section 1350, as Adopted Pursuant to Section 906 of the Sarbanes-</w:t>
            </w:r>
          </w:p>
        </w:tc>
        <w:tc>
          <w:tcPr>
            <w:tcW w:w="320" w:type="dxa"/>
            <w:vAlign w:val="bottom"/>
            <w:gridSpan w:val="4"/>
          </w:tcPr>
          <w:p>
            <w:pPr>
              <w:spacing w:after="0"/>
              <w:rPr>
                <w:sz w:val="24"/>
                <w:szCs w:val="24"/>
                <w:color w:val="auto"/>
              </w:rPr>
            </w:pPr>
          </w:p>
        </w:tc>
      </w:tr>
      <w:tr>
        <w:trPr>
          <w:trHeight w:val="196"/>
        </w:trPr>
        <w:tc>
          <w:tcPr>
            <w:tcW w:w="1340" w:type="dxa"/>
            <w:vAlign w:val="bottom"/>
          </w:tcPr>
          <w:p>
            <w:pPr>
              <w:spacing w:after="0"/>
              <w:rPr>
                <w:sz w:val="17"/>
                <w:szCs w:val="17"/>
                <w:color w:val="auto"/>
              </w:rPr>
            </w:pPr>
          </w:p>
        </w:tc>
        <w:tc>
          <w:tcPr>
            <w:tcW w:w="988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FF"/>
              </w:rPr>
              <w:t>Oxley Act of 2002</w:t>
            </w:r>
          </w:p>
        </w:tc>
      </w:tr>
      <w:tr>
        <w:trPr>
          <w:trHeight w:val="20"/>
        </w:trPr>
        <w:tc>
          <w:tcPr>
            <w:tcW w:w="13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130" w:lineRule="exact"/>
        <w:rPr>
          <w:sz w:val="20"/>
          <w:szCs w:val="20"/>
          <w:color w:val="auto"/>
        </w:rPr>
      </w:pPr>
    </w:p>
    <w:p>
      <w:pPr>
        <w:ind w:left="1360" w:right="420" w:hanging="1341"/>
        <w:spacing w:after="0" w:line="261" w:lineRule="auto"/>
        <w:tabs>
          <w:tab w:leader="none" w:pos="1360" w:val="left"/>
        </w:tabs>
        <w:numPr>
          <w:ilvl w:val="0"/>
          <w:numId w:val="35"/>
        </w:numPr>
        <w:rPr>
          <w:rFonts w:ascii="Times New Roman" w:cs="Times New Roman" w:eastAsia="Times New Roman" w:hAnsi="Times New Roman"/>
          <w:sz w:val="18"/>
          <w:szCs w:val="18"/>
          <w:color w:val="0000FF"/>
        </w:rPr>
      </w:pPr>
      <w:hyperlink r:id="rId432">
        <w:r>
          <w:rPr>
            <w:rFonts w:ascii="Times New Roman" w:cs="Times New Roman" w:eastAsia="Times New Roman" w:hAnsi="Times New Roman"/>
            <w:sz w:val="18"/>
            <w:szCs w:val="18"/>
            <w:color w:val="0000FF"/>
          </w:rPr>
          <w:t>Clawback Policy (incorporated by reference to Exhibit 97 of the Company’s Annual Report on Form 10-K for the fiscal year ended</w:t>
        </w:r>
      </w:hyperlink>
      <w:r>
        <w:rPr>
          <w:rFonts w:ascii="Times New Roman" w:cs="Times New Roman" w:eastAsia="Times New Roman" w:hAnsi="Times New Roman"/>
          <w:sz w:val="18"/>
          <w:szCs w:val="18"/>
          <w:color w:val="0000FF"/>
        </w:rPr>
        <w:t xml:space="preserve"> </w:t>
      </w:r>
      <w:hyperlink r:id="rId432">
        <w:r>
          <w:rPr>
            <w:rFonts w:ascii="Times New Roman" w:cs="Times New Roman" w:eastAsia="Times New Roman" w:hAnsi="Times New Roman"/>
            <w:sz w:val="18"/>
            <w:szCs w:val="18"/>
            <w:color w:val="0000FF"/>
          </w:rPr>
          <w:t>February 3, 2024)</w:t>
        </w:r>
      </w:hyperlink>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862330</wp:posOffset>
            </wp:positionH>
            <wp:positionV relativeFrom="paragraph">
              <wp:posOffset>-161925</wp:posOffset>
            </wp:positionV>
            <wp:extent cx="6037580"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33">
                      <a:extLst>
                        <a:ext uri="{28A0092B-C50C-407E-A947-70E740481C1C}"/>
                      </a:extLst>
                    </a:blip>
                    <a:srcRect/>
                    <a:stretch>
                      <a:fillRect/>
                    </a:stretch>
                  </pic:blipFill>
                  <pic:spPr bwMode="auto">
                    <a:xfrm>
                      <a:off x="0" y="0"/>
                      <a:ext cx="6037580" cy="8255"/>
                    </a:xfrm>
                    <a:prstGeom prst="rect">
                      <a:avLst/>
                    </a:prstGeom>
                    <a:noFill/>
                  </pic:spPr>
                </pic:pic>
              </a:graphicData>
            </a:graphic>
          </wp:anchor>
        </w:drawing>
        <w:drawing>
          <wp:anchor simplePos="0" relativeHeight="251657728" behindDoc="1" locked="0" layoutInCell="0" allowOverlap="1">
            <wp:simplePos x="0" y="0"/>
            <wp:positionH relativeFrom="column">
              <wp:posOffset>862330</wp:posOffset>
            </wp:positionH>
            <wp:positionV relativeFrom="paragraph">
              <wp:posOffset>-24765</wp:posOffset>
            </wp:positionV>
            <wp:extent cx="821690"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34">
                      <a:extLst>
                        <a:ext uri="{28A0092B-C50C-407E-A947-70E740481C1C}"/>
                      </a:extLst>
                    </a:blip>
                    <a:srcRect/>
                    <a:stretch>
                      <a:fillRect/>
                    </a:stretch>
                  </pic:blipFill>
                  <pic:spPr bwMode="auto">
                    <a:xfrm>
                      <a:off x="0" y="0"/>
                      <a:ext cx="821690" cy="8890"/>
                    </a:xfrm>
                    <a:prstGeom prst="rect">
                      <a:avLst/>
                    </a:prstGeom>
                    <a:noFill/>
                  </pic:spPr>
                </pic:pic>
              </a:graphicData>
            </a:graphic>
          </wp:anchor>
        </w:drawing>
      </w:r>
    </w:p>
    <w:tbl>
      <w:tblPr>
        <w:tblLayout w:type="fixed"/>
        <w:tblInd w:w="20" w:type="dxa"/>
        <w:tblCellMar>
          <w:top w:w="0" w:type="dxa"/>
          <w:left w:w="0" w:type="dxa"/>
          <w:bottom w:w="0" w:type="dxa"/>
          <w:right w:w="0" w:type="dxa"/>
        </w:tblCellMar>
      </w:tblPr>
      <w:tr>
        <w:trPr>
          <w:trHeight w:val="198"/>
        </w:trPr>
        <w:tc>
          <w:tcPr>
            <w:tcW w:w="10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101.INS</w:t>
            </w:r>
          </w:p>
        </w:tc>
        <w:tc>
          <w:tcPr>
            <w:tcW w:w="9580" w:type="dxa"/>
            <w:vAlign w:val="bottom"/>
          </w:tcPr>
          <w:p>
            <w:pPr>
              <w:ind w:left="340"/>
              <w:spacing w:after="0" w:line="198" w:lineRule="exact"/>
              <w:rPr>
                <w:sz w:val="20"/>
                <w:szCs w:val="20"/>
                <w:color w:val="auto"/>
              </w:rPr>
            </w:pPr>
            <w:r>
              <w:rPr>
                <w:rFonts w:ascii="Times New Roman" w:cs="Times New Roman" w:eastAsia="Times New Roman" w:hAnsi="Times New Roman"/>
                <w:sz w:val="18"/>
                <w:szCs w:val="18"/>
                <w:color w:val="auto"/>
                <w:w w:val="99"/>
              </w:rPr>
              <w:t>Inline XBRL Instance Document - the instance document does not appear in the Interactive Data File because its XBRL tags are</w:t>
            </w:r>
          </w:p>
        </w:tc>
      </w:tr>
      <w:tr>
        <w:trPr>
          <w:trHeight w:val="216"/>
        </w:trPr>
        <w:tc>
          <w:tcPr>
            <w:tcW w:w="1000" w:type="dxa"/>
            <w:vAlign w:val="bottom"/>
          </w:tcPr>
          <w:p>
            <w:pPr>
              <w:spacing w:after="0"/>
              <w:rPr>
                <w:sz w:val="18"/>
                <w:szCs w:val="18"/>
                <w:color w:val="auto"/>
              </w:rPr>
            </w:pPr>
          </w:p>
        </w:tc>
        <w:tc>
          <w:tcPr>
            <w:tcW w:w="9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embedded within the Inline XBRL document</w:t>
            </w:r>
          </w:p>
        </w:tc>
      </w:tr>
      <w:tr>
        <w:trPr>
          <w:trHeight w:val="23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9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 Documents</w:t>
            </w:r>
          </w:p>
        </w:tc>
      </w:tr>
    </w:tbl>
    <w:p>
      <w:pPr>
        <w:ind w:left="1360" w:hanging="1341"/>
        <w:spacing w:after="0"/>
        <w:tabs>
          <w:tab w:leader="none" w:pos="136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13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Filed herewith.</w:t>
      </w:r>
    </w:p>
    <w:p>
      <w:pPr>
        <w:spacing w:after="0" w:line="49" w:lineRule="exact"/>
        <w:rPr>
          <w:rFonts w:ascii="Times New Roman" w:cs="Times New Roman" w:eastAsia="Times New Roman" w:hAnsi="Times New Roman"/>
          <w:sz w:val="18"/>
          <w:szCs w:val="18"/>
          <w:color w:val="auto"/>
        </w:rPr>
      </w:pPr>
    </w:p>
    <w:p>
      <w:pPr>
        <w:ind w:right="320" w:firstLine="8"/>
        <w:spacing w:after="0" w:line="266" w:lineRule="auto"/>
        <w:tabs>
          <w:tab w:leader="none" w:pos="22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 and not deemed to be “filed” for purposes of Section 18 of the Securities Exchange Act of 1934, as amended, or incorporated by reference into any filing under the Securities Act of 1933, as amended, or the Securities Exchange Act of 1934, as amended.</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Management contract or compensatory plan or arrangement.</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-607695</wp:posOffset>
            </wp:positionV>
            <wp:extent cx="1903095"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35">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309"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21" w:lineRule="exact"/>
        <w:rPr>
          <w:rFonts w:ascii="Times New Roman" w:cs="Times New Roman" w:eastAsia="Times New Roman" w:hAnsi="Times New Roman"/>
          <w:sz w:val="18"/>
          <w:szCs w:val="18"/>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98"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5" w:name="page106"/>
    <w:bookmarkEnd w:id="105"/>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as amended, the Registrant has duly caused this Report to be signed on its behalf by the undersigned, thereunto duly authorized</w:t>
      </w:r>
      <w:r>
        <w:rPr>
          <w:rFonts w:ascii="Times New Roman" w:cs="Times New Roman" w:eastAsia="Times New Roman" w:hAnsi="Times New Roman"/>
          <w:sz w:val="18"/>
          <w:szCs w:val="18"/>
          <w:b w:val="1"/>
          <w:bCs w:val="1"/>
          <w:color w:val="auto"/>
        </w:rPr>
        <w:t>.</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8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57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Petco Health and Wellness Company, Inc.</w:t>
            </w:r>
          </w:p>
        </w:tc>
      </w:tr>
      <w:tr>
        <w:trPr>
          <w:trHeight w:val="432"/>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Date: March 13, 2026</w:t>
            </w:r>
          </w:p>
        </w:tc>
        <w:tc>
          <w:tcPr>
            <w:tcW w:w="2160" w:type="dxa"/>
            <w:vAlign w:val="bottom"/>
          </w:tcPr>
          <w:p>
            <w:pPr>
              <w:ind w:left="1800"/>
              <w:spacing w:after="0"/>
              <w:rPr>
                <w:sz w:val="20"/>
                <w:szCs w:val="20"/>
                <w:color w:val="auto"/>
              </w:rPr>
            </w:pPr>
            <w:r>
              <w:rPr>
                <w:rFonts w:ascii="Times New Roman" w:cs="Times New Roman" w:eastAsia="Times New Roman" w:hAnsi="Times New Roman"/>
                <w:sz w:val="18"/>
                <w:szCs w:val="18"/>
                <w:color w:val="auto"/>
              </w:rPr>
              <w:t>By:</w:t>
            </w:r>
          </w:p>
        </w:tc>
        <w:tc>
          <w:tcPr>
            <w:tcW w:w="220" w:type="dxa"/>
            <w:vAlign w:val="bottom"/>
          </w:tcPr>
          <w:p>
            <w:pPr>
              <w:spacing w:after="0"/>
              <w:rPr>
                <w:sz w:val="24"/>
                <w:szCs w:val="24"/>
                <w:color w:val="auto"/>
              </w:rPr>
            </w:pPr>
          </w:p>
        </w:tc>
        <w:tc>
          <w:tcPr>
            <w:tcW w:w="5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Joel D. Anderson</w:t>
            </w:r>
          </w:p>
        </w:tc>
      </w:tr>
      <w:tr>
        <w:trPr>
          <w:trHeight w:val="191"/>
        </w:trPr>
        <w:tc>
          <w:tcPr>
            <w:tcW w:w="338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Joel D. Anderson</w:t>
            </w:r>
          </w:p>
        </w:tc>
      </w:tr>
      <w:tr>
        <w:trPr>
          <w:trHeight w:val="234"/>
        </w:trPr>
        <w:tc>
          <w:tcPr>
            <w:tcW w:w="338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265"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this Report has been signed below by the following persons on behalf of the Registrant in the capacities and on the dates indicated.</w:t>
      </w:r>
    </w:p>
    <w:p>
      <w:pPr>
        <w:sectPr>
          <w:pgSz w:w="11900" w:h="16838" w:orient="portrait"/>
          <w:cols w:equalWidth="0" w:num="1">
            <w:col w:w="11240"/>
          </w:cols>
          <w:pgMar w:left="320" w:top="1413" w:right="339" w:bottom="1440" w:gutter="0" w:footer="0" w:header="0"/>
        </w:sectPr>
      </w:pP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9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100" w:type="dxa"/>
            <w:vAlign w:val="bottom"/>
          </w:tcPr>
          <w:p>
            <w:pPr>
              <w:spacing w:after="0"/>
              <w:rPr>
                <w:sz w:val="15"/>
                <w:szCs w:val="15"/>
                <w:color w:val="auto"/>
              </w:rPr>
            </w:pPr>
          </w:p>
        </w:tc>
        <w:tc>
          <w:tcPr>
            <w:tcW w:w="5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Title</w:t>
            </w:r>
          </w:p>
        </w:tc>
        <w:tc>
          <w:tcPr>
            <w:tcW w:w="0" w:type="dxa"/>
            <w:vAlign w:val="bottom"/>
          </w:tcPr>
          <w:p>
            <w:pPr>
              <w:spacing w:after="0"/>
              <w:rPr>
                <w:sz w:val="1"/>
                <w:szCs w:val="1"/>
                <w:color w:val="auto"/>
              </w:rPr>
            </w:pPr>
          </w:p>
        </w:tc>
      </w:tr>
      <w:tr>
        <w:trPr>
          <w:trHeight w:val="345"/>
        </w:trPr>
        <w:tc>
          <w:tcPr>
            <w:tcW w:w="29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/s/ Joel D. Anderson</w:t>
            </w:r>
          </w:p>
        </w:tc>
        <w:tc>
          <w:tcPr>
            <w:tcW w:w="100" w:type="dxa"/>
            <w:vAlign w:val="bottom"/>
          </w:tcPr>
          <w:p>
            <w:pPr>
              <w:spacing w:after="0"/>
              <w:rPr>
                <w:sz w:val="24"/>
                <w:szCs w:val="24"/>
                <w:color w:val="auto"/>
              </w:rPr>
            </w:pPr>
          </w:p>
        </w:tc>
        <w:tc>
          <w:tcPr>
            <w:tcW w:w="5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Executive Officer and Director</w:t>
            </w:r>
          </w:p>
        </w:tc>
        <w:tc>
          <w:tcPr>
            <w:tcW w:w="0" w:type="dxa"/>
            <w:vAlign w:val="bottom"/>
          </w:tcPr>
          <w:p>
            <w:pPr>
              <w:spacing w:after="0"/>
              <w:rPr>
                <w:sz w:val="1"/>
                <w:szCs w:val="1"/>
                <w:color w:val="auto"/>
              </w:rPr>
            </w:pPr>
          </w:p>
        </w:tc>
      </w:tr>
      <w:tr>
        <w:trPr>
          <w:trHeight w:val="228"/>
        </w:trPr>
        <w:tc>
          <w:tcPr>
            <w:tcW w:w="29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Joel D. Anderson</w:t>
            </w:r>
          </w:p>
        </w:tc>
        <w:tc>
          <w:tcPr>
            <w:tcW w:w="100" w:type="dxa"/>
            <w:vAlign w:val="bottom"/>
          </w:tcPr>
          <w:p>
            <w:pPr>
              <w:spacing w:after="0"/>
              <w:rPr>
                <w:sz w:val="19"/>
                <w:szCs w:val="19"/>
                <w:color w:val="auto"/>
              </w:rPr>
            </w:pPr>
          </w:p>
        </w:tc>
        <w:tc>
          <w:tcPr>
            <w:tcW w:w="5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0" w:type="dxa"/>
            <w:vAlign w:val="bottom"/>
          </w:tcPr>
          <w:p>
            <w:pPr>
              <w:spacing w:after="0"/>
              <w:rPr>
                <w:sz w:val="1"/>
                <w:szCs w:val="1"/>
                <w:color w:val="auto"/>
              </w:rPr>
            </w:pPr>
          </w:p>
        </w:tc>
      </w:tr>
      <w:tr>
        <w:trPr>
          <w:trHeight w:val="333"/>
        </w:trPr>
        <w:tc>
          <w:tcPr>
            <w:tcW w:w="29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rPr>
              <w:t>/s/ Sabrina Simmons</w:t>
            </w:r>
          </w:p>
        </w:tc>
        <w:tc>
          <w:tcPr>
            <w:tcW w:w="100" w:type="dxa"/>
            <w:vAlign w:val="bottom"/>
          </w:tcPr>
          <w:p>
            <w:pPr>
              <w:spacing w:after="0"/>
              <w:rPr>
                <w:sz w:val="24"/>
                <w:szCs w:val="24"/>
                <w:color w:val="auto"/>
              </w:rPr>
            </w:pPr>
          </w:p>
        </w:tc>
        <w:tc>
          <w:tcPr>
            <w:tcW w:w="5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Financial Officer</w:t>
            </w:r>
          </w:p>
        </w:tc>
        <w:tc>
          <w:tcPr>
            <w:tcW w:w="0" w:type="dxa"/>
            <w:vAlign w:val="bottom"/>
          </w:tcPr>
          <w:p>
            <w:pPr>
              <w:spacing w:after="0"/>
              <w:rPr>
                <w:sz w:val="1"/>
                <w:szCs w:val="1"/>
                <w:color w:val="auto"/>
              </w:rPr>
            </w:pPr>
          </w:p>
        </w:tc>
      </w:tr>
      <w:tr>
        <w:trPr>
          <w:trHeight w:val="228"/>
        </w:trPr>
        <w:tc>
          <w:tcPr>
            <w:tcW w:w="29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Sabrina Simmons</w:t>
            </w:r>
          </w:p>
        </w:tc>
        <w:tc>
          <w:tcPr>
            <w:tcW w:w="100" w:type="dxa"/>
            <w:vAlign w:val="bottom"/>
          </w:tcPr>
          <w:p>
            <w:pPr>
              <w:spacing w:after="0"/>
              <w:rPr>
                <w:sz w:val="19"/>
                <w:szCs w:val="19"/>
                <w:color w:val="auto"/>
              </w:rPr>
            </w:pPr>
          </w:p>
        </w:tc>
        <w:tc>
          <w:tcPr>
            <w:tcW w:w="5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c>
          <w:tcPr>
            <w:tcW w:w="0" w:type="dxa"/>
            <w:vAlign w:val="bottom"/>
          </w:tcPr>
          <w:p>
            <w:pPr>
              <w:spacing w:after="0"/>
              <w:rPr>
                <w:sz w:val="1"/>
                <w:szCs w:val="1"/>
                <w:color w:val="auto"/>
              </w:rPr>
            </w:pPr>
          </w:p>
        </w:tc>
      </w:tr>
      <w:tr>
        <w:trPr>
          <w:trHeight w:val="319"/>
        </w:trPr>
        <w:tc>
          <w:tcPr>
            <w:tcW w:w="29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/s/ Glenn Murphy</w:t>
            </w:r>
          </w:p>
        </w:tc>
        <w:tc>
          <w:tcPr>
            <w:tcW w:w="100" w:type="dxa"/>
            <w:vAlign w:val="bottom"/>
          </w:tcPr>
          <w:p>
            <w:pPr>
              <w:spacing w:after="0"/>
              <w:rPr>
                <w:sz w:val="24"/>
                <w:szCs w:val="24"/>
                <w:color w:val="auto"/>
              </w:rPr>
            </w:pPr>
          </w:p>
        </w:tc>
        <w:tc>
          <w:tcPr>
            <w:tcW w:w="51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Chairman</w:t>
            </w:r>
          </w:p>
        </w:tc>
        <w:tc>
          <w:tcPr>
            <w:tcW w:w="0" w:type="dxa"/>
            <w:vAlign w:val="bottom"/>
          </w:tcPr>
          <w:p>
            <w:pPr>
              <w:spacing w:after="0"/>
              <w:rPr>
                <w:sz w:val="1"/>
                <w:szCs w:val="1"/>
                <w:color w:val="auto"/>
              </w:rPr>
            </w:pPr>
          </w:p>
        </w:tc>
      </w:tr>
      <w:tr>
        <w:trPr>
          <w:trHeight w:val="228"/>
        </w:trPr>
        <w:tc>
          <w:tcPr>
            <w:tcW w:w="29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Glenn Murphy</w:t>
            </w:r>
          </w:p>
        </w:tc>
        <w:tc>
          <w:tcPr>
            <w:tcW w:w="100" w:type="dxa"/>
            <w:vAlign w:val="bottom"/>
          </w:tcPr>
          <w:p>
            <w:pPr>
              <w:spacing w:after="0"/>
              <w:rPr>
                <w:sz w:val="19"/>
                <w:szCs w:val="19"/>
                <w:color w:val="auto"/>
              </w:rPr>
            </w:pPr>
          </w:p>
        </w:tc>
        <w:tc>
          <w:tcPr>
            <w:tcW w:w="51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19"/>
        </w:trPr>
        <w:tc>
          <w:tcPr>
            <w:tcW w:w="29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rPr>
              <w:t>/s/ R. Michael Mohan</w:t>
            </w:r>
          </w:p>
        </w:tc>
        <w:tc>
          <w:tcPr>
            <w:tcW w:w="100" w:type="dxa"/>
            <w:vAlign w:val="bottom"/>
          </w:tcPr>
          <w:p>
            <w:pPr>
              <w:spacing w:after="0"/>
              <w:rPr>
                <w:sz w:val="24"/>
                <w:szCs w:val="24"/>
                <w:color w:val="auto"/>
              </w:rPr>
            </w:pPr>
          </w:p>
        </w:tc>
        <w:tc>
          <w:tcPr>
            <w:tcW w:w="51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0" w:type="dxa"/>
            <w:vAlign w:val="bottom"/>
          </w:tcPr>
          <w:p>
            <w:pPr>
              <w:spacing w:after="0"/>
              <w:rPr>
                <w:sz w:val="1"/>
                <w:szCs w:val="1"/>
                <w:color w:val="auto"/>
              </w:rPr>
            </w:pPr>
          </w:p>
        </w:tc>
      </w:tr>
      <w:tr>
        <w:trPr>
          <w:trHeight w:val="228"/>
        </w:trPr>
        <w:tc>
          <w:tcPr>
            <w:tcW w:w="29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R. Michael Mohan</w:t>
            </w:r>
          </w:p>
        </w:tc>
        <w:tc>
          <w:tcPr>
            <w:tcW w:w="100" w:type="dxa"/>
            <w:vAlign w:val="bottom"/>
          </w:tcPr>
          <w:p>
            <w:pPr>
              <w:spacing w:after="0"/>
              <w:rPr>
                <w:sz w:val="19"/>
                <w:szCs w:val="19"/>
                <w:color w:val="auto"/>
              </w:rPr>
            </w:pPr>
          </w:p>
        </w:tc>
        <w:tc>
          <w:tcPr>
            <w:tcW w:w="51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33"/>
        </w:trPr>
        <w:tc>
          <w:tcPr>
            <w:tcW w:w="29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/s/ David Lubek</w:t>
            </w:r>
          </w:p>
        </w:tc>
        <w:tc>
          <w:tcPr>
            <w:tcW w:w="100" w:type="dxa"/>
            <w:vAlign w:val="bottom"/>
          </w:tcPr>
          <w:p>
            <w:pPr>
              <w:spacing w:after="0"/>
              <w:rPr>
                <w:sz w:val="24"/>
                <w:szCs w:val="24"/>
                <w:color w:val="auto"/>
              </w:rPr>
            </w:pPr>
          </w:p>
        </w:tc>
        <w:tc>
          <w:tcPr>
            <w:tcW w:w="51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0" w:type="dxa"/>
            <w:vAlign w:val="bottom"/>
          </w:tcPr>
          <w:p>
            <w:pPr>
              <w:spacing w:after="0"/>
              <w:rPr>
                <w:sz w:val="1"/>
                <w:szCs w:val="1"/>
                <w:color w:val="auto"/>
              </w:rPr>
            </w:pPr>
          </w:p>
        </w:tc>
      </w:tr>
      <w:tr>
        <w:trPr>
          <w:trHeight w:val="228"/>
        </w:trPr>
        <w:tc>
          <w:tcPr>
            <w:tcW w:w="29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David Lubek</w:t>
            </w:r>
          </w:p>
        </w:tc>
        <w:tc>
          <w:tcPr>
            <w:tcW w:w="100" w:type="dxa"/>
            <w:vAlign w:val="bottom"/>
          </w:tcPr>
          <w:p>
            <w:pPr>
              <w:spacing w:after="0"/>
              <w:rPr>
                <w:sz w:val="19"/>
                <w:szCs w:val="19"/>
                <w:color w:val="auto"/>
              </w:rPr>
            </w:pPr>
          </w:p>
        </w:tc>
        <w:tc>
          <w:tcPr>
            <w:tcW w:w="51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33"/>
        </w:trPr>
        <w:tc>
          <w:tcPr>
            <w:tcW w:w="29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/s/ Cameron Breitner</w:t>
            </w:r>
          </w:p>
        </w:tc>
        <w:tc>
          <w:tcPr>
            <w:tcW w:w="100" w:type="dxa"/>
            <w:vAlign w:val="bottom"/>
          </w:tcPr>
          <w:p>
            <w:pPr>
              <w:spacing w:after="0"/>
              <w:rPr>
                <w:sz w:val="24"/>
                <w:szCs w:val="24"/>
                <w:color w:val="auto"/>
              </w:rPr>
            </w:pPr>
          </w:p>
        </w:tc>
        <w:tc>
          <w:tcPr>
            <w:tcW w:w="51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0" w:type="dxa"/>
            <w:vAlign w:val="bottom"/>
          </w:tcPr>
          <w:p>
            <w:pPr>
              <w:spacing w:after="0"/>
              <w:rPr>
                <w:sz w:val="1"/>
                <w:szCs w:val="1"/>
                <w:color w:val="auto"/>
              </w:rPr>
            </w:pPr>
          </w:p>
        </w:tc>
      </w:tr>
      <w:tr>
        <w:trPr>
          <w:trHeight w:val="228"/>
        </w:trPr>
        <w:tc>
          <w:tcPr>
            <w:tcW w:w="29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Cameron Breitner</w:t>
            </w:r>
          </w:p>
        </w:tc>
        <w:tc>
          <w:tcPr>
            <w:tcW w:w="100" w:type="dxa"/>
            <w:vAlign w:val="bottom"/>
          </w:tcPr>
          <w:p>
            <w:pPr>
              <w:spacing w:after="0"/>
              <w:rPr>
                <w:sz w:val="19"/>
                <w:szCs w:val="19"/>
                <w:color w:val="auto"/>
              </w:rPr>
            </w:pPr>
          </w:p>
        </w:tc>
        <w:tc>
          <w:tcPr>
            <w:tcW w:w="51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33"/>
        </w:trPr>
        <w:tc>
          <w:tcPr>
            <w:tcW w:w="29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/s/ Gary Briggs</w:t>
            </w:r>
          </w:p>
        </w:tc>
        <w:tc>
          <w:tcPr>
            <w:tcW w:w="100" w:type="dxa"/>
            <w:vAlign w:val="bottom"/>
          </w:tcPr>
          <w:p>
            <w:pPr>
              <w:spacing w:after="0"/>
              <w:rPr>
                <w:sz w:val="24"/>
                <w:szCs w:val="24"/>
                <w:color w:val="auto"/>
              </w:rPr>
            </w:pPr>
          </w:p>
        </w:tc>
        <w:tc>
          <w:tcPr>
            <w:tcW w:w="51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0" w:type="dxa"/>
            <w:vAlign w:val="bottom"/>
          </w:tcPr>
          <w:p>
            <w:pPr>
              <w:spacing w:after="0"/>
              <w:rPr>
                <w:sz w:val="1"/>
                <w:szCs w:val="1"/>
                <w:color w:val="auto"/>
              </w:rPr>
            </w:pPr>
          </w:p>
        </w:tc>
      </w:tr>
      <w:tr>
        <w:trPr>
          <w:trHeight w:val="228"/>
        </w:trPr>
        <w:tc>
          <w:tcPr>
            <w:tcW w:w="29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Gary Briggs</w:t>
            </w:r>
          </w:p>
        </w:tc>
        <w:tc>
          <w:tcPr>
            <w:tcW w:w="100" w:type="dxa"/>
            <w:vAlign w:val="bottom"/>
          </w:tcPr>
          <w:p>
            <w:pPr>
              <w:spacing w:after="0"/>
              <w:rPr>
                <w:sz w:val="19"/>
                <w:szCs w:val="19"/>
                <w:color w:val="auto"/>
              </w:rPr>
            </w:pPr>
          </w:p>
        </w:tc>
        <w:tc>
          <w:tcPr>
            <w:tcW w:w="51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33"/>
        </w:trPr>
        <w:tc>
          <w:tcPr>
            <w:tcW w:w="29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/s/ Nishad Chande</w:t>
            </w:r>
          </w:p>
        </w:tc>
        <w:tc>
          <w:tcPr>
            <w:tcW w:w="100" w:type="dxa"/>
            <w:vAlign w:val="bottom"/>
          </w:tcPr>
          <w:p>
            <w:pPr>
              <w:spacing w:after="0"/>
              <w:rPr>
                <w:sz w:val="24"/>
                <w:szCs w:val="24"/>
                <w:color w:val="auto"/>
              </w:rPr>
            </w:pPr>
          </w:p>
        </w:tc>
        <w:tc>
          <w:tcPr>
            <w:tcW w:w="51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0" w:type="dxa"/>
            <w:vAlign w:val="bottom"/>
          </w:tcPr>
          <w:p>
            <w:pPr>
              <w:spacing w:after="0"/>
              <w:rPr>
                <w:sz w:val="1"/>
                <w:szCs w:val="1"/>
                <w:color w:val="auto"/>
              </w:rPr>
            </w:pPr>
          </w:p>
        </w:tc>
      </w:tr>
      <w:tr>
        <w:trPr>
          <w:trHeight w:val="228"/>
        </w:trPr>
        <w:tc>
          <w:tcPr>
            <w:tcW w:w="29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Nishad Chande</w:t>
            </w:r>
          </w:p>
        </w:tc>
        <w:tc>
          <w:tcPr>
            <w:tcW w:w="100" w:type="dxa"/>
            <w:vAlign w:val="bottom"/>
          </w:tcPr>
          <w:p>
            <w:pPr>
              <w:spacing w:after="0"/>
              <w:rPr>
                <w:sz w:val="19"/>
                <w:szCs w:val="19"/>
                <w:color w:val="auto"/>
              </w:rPr>
            </w:pPr>
          </w:p>
        </w:tc>
        <w:tc>
          <w:tcPr>
            <w:tcW w:w="51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33"/>
        </w:trPr>
        <w:tc>
          <w:tcPr>
            <w:tcW w:w="29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rPr>
              <w:t>/s/ Mary Sullivan</w:t>
            </w:r>
          </w:p>
        </w:tc>
        <w:tc>
          <w:tcPr>
            <w:tcW w:w="100" w:type="dxa"/>
            <w:vAlign w:val="bottom"/>
          </w:tcPr>
          <w:p>
            <w:pPr>
              <w:spacing w:after="0"/>
              <w:rPr>
                <w:sz w:val="24"/>
                <w:szCs w:val="24"/>
                <w:color w:val="auto"/>
              </w:rPr>
            </w:pPr>
          </w:p>
        </w:tc>
        <w:tc>
          <w:tcPr>
            <w:tcW w:w="51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0" w:type="dxa"/>
            <w:vAlign w:val="bottom"/>
          </w:tcPr>
          <w:p>
            <w:pPr>
              <w:spacing w:after="0"/>
              <w:rPr>
                <w:sz w:val="1"/>
                <w:szCs w:val="1"/>
                <w:color w:val="auto"/>
              </w:rPr>
            </w:pPr>
          </w:p>
        </w:tc>
      </w:tr>
      <w:tr>
        <w:trPr>
          <w:trHeight w:val="228"/>
        </w:trPr>
        <w:tc>
          <w:tcPr>
            <w:tcW w:w="29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Mary Sullivan</w:t>
            </w:r>
          </w:p>
        </w:tc>
        <w:tc>
          <w:tcPr>
            <w:tcW w:w="100" w:type="dxa"/>
            <w:vAlign w:val="bottom"/>
          </w:tcPr>
          <w:p>
            <w:pPr>
              <w:spacing w:after="0"/>
              <w:rPr>
                <w:sz w:val="19"/>
                <w:szCs w:val="19"/>
                <w:color w:val="auto"/>
              </w:rPr>
            </w:pPr>
          </w:p>
        </w:tc>
        <w:tc>
          <w:tcPr>
            <w:tcW w:w="51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33"/>
        </w:trPr>
        <w:tc>
          <w:tcPr>
            <w:tcW w:w="2940" w:type="dxa"/>
            <w:vAlign w:val="bottom"/>
            <w:tcBorders>
              <w:bottom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9"/>
              </w:rPr>
              <w:t>/s/ Iris Yen</w:t>
            </w:r>
          </w:p>
        </w:tc>
        <w:tc>
          <w:tcPr>
            <w:tcW w:w="100" w:type="dxa"/>
            <w:vAlign w:val="bottom"/>
          </w:tcPr>
          <w:p>
            <w:pPr>
              <w:spacing w:after="0"/>
              <w:rPr>
                <w:sz w:val="24"/>
                <w:szCs w:val="24"/>
                <w:color w:val="auto"/>
              </w:rPr>
            </w:pPr>
          </w:p>
        </w:tc>
        <w:tc>
          <w:tcPr>
            <w:tcW w:w="51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0" w:type="dxa"/>
            <w:vAlign w:val="bottom"/>
          </w:tcPr>
          <w:p>
            <w:pPr>
              <w:spacing w:after="0"/>
              <w:rPr>
                <w:sz w:val="1"/>
                <w:szCs w:val="1"/>
                <w:color w:val="auto"/>
              </w:rPr>
            </w:pPr>
          </w:p>
        </w:tc>
      </w:tr>
      <w:tr>
        <w:trPr>
          <w:trHeight w:val="228"/>
        </w:trPr>
        <w:tc>
          <w:tcPr>
            <w:tcW w:w="29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Iris Yen</w:t>
            </w:r>
          </w:p>
        </w:tc>
        <w:tc>
          <w:tcPr>
            <w:tcW w:w="100" w:type="dxa"/>
            <w:vAlign w:val="bottom"/>
          </w:tcPr>
          <w:p>
            <w:pPr>
              <w:spacing w:after="0"/>
              <w:rPr>
                <w:sz w:val="19"/>
                <w:szCs w:val="19"/>
                <w:color w:val="auto"/>
              </w:rPr>
            </w:pPr>
          </w:p>
        </w:tc>
        <w:tc>
          <w:tcPr>
            <w:tcW w:w="51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19"/>
        </w:trPr>
        <w:tc>
          <w:tcPr>
            <w:tcW w:w="294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/s/ Christopher J. Stadler</w:t>
            </w:r>
          </w:p>
        </w:tc>
        <w:tc>
          <w:tcPr>
            <w:tcW w:w="100" w:type="dxa"/>
            <w:vAlign w:val="bottom"/>
          </w:tcPr>
          <w:p>
            <w:pPr>
              <w:spacing w:after="0"/>
              <w:rPr>
                <w:sz w:val="24"/>
                <w:szCs w:val="24"/>
                <w:color w:val="auto"/>
              </w:rPr>
            </w:pPr>
          </w:p>
        </w:tc>
        <w:tc>
          <w:tcPr>
            <w:tcW w:w="5180" w:type="dxa"/>
            <w:vAlign w:val="bottom"/>
            <w:vMerge w:val="restart"/>
          </w:tcPr>
          <w:p>
            <w:pPr>
              <w:ind w:left="234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28"/>
        </w:trPr>
        <w:tc>
          <w:tcPr>
            <w:tcW w:w="29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Christopher J. Stadler</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1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35" w:lineRule="exact"/>
        <w:rPr>
          <w:sz w:val="20"/>
          <w:szCs w:val="20"/>
          <w:color w:val="auto"/>
        </w:rPr>
      </w:pPr>
    </w:p>
    <w:p>
      <w:pPr>
        <w:jc w:val="center"/>
        <w:ind w:right="880"/>
        <w:spacing w:after="0"/>
        <w:rPr>
          <w:sz w:val="20"/>
          <w:szCs w:val="20"/>
          <w:color w:val="auto"/>
        </w:rPr>
      </w:pPr>
      <w:r>
        <w:rPr>
          <w:rFonts w:ascii="Times New Roman" w:cs="Times New Roman" w:eastAsia="Times New Roman" w:hAnsi="Times New Roman"/>
          <w:sz w:val="14"/>
          <w:szCs w:val="14"/>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-568325</wp:posOffset>
            </wp:positionH>
            <wp:positionV relativeFrom="paragraph">
              <wp:posOffset>7620</wp:posOffset>
            </wp:positionV>
            <wp:extent cx="1851660"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37">
                      <a:extLst>
                        <a:ext uri="{28A0092B-C50C-407E-A947-70E740481C1C}"/>
                      </a:extLst>
                    </a:blip>
                    <a:srcRect/>
                    <a:stretch>
                      <a:fillRect/>
                    </a:stretch>
                  </pic:blipFill>
                  <pic:spPr bwMode="auto">
                    <a:xfrm>
                      <a:off x="0" y="0"/>
                      <a:ext cx="1851660" cy="8890"/>
                    </a:xfrm>
                    <a:prstGeom prst="rect">
                      <a:avLst/>
                    </a:prstGeom>
                    <a:noFill/>
                  </pic:spPr>
                </pic:pic>
              </a:graphicData>
            </a:graphic>
          </wp:anchor>
        </w:drawing>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13, 2026</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13, 2026</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13, 2026</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13, 2026</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13, 2026</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13, 2026</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13, 2026</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13, 2026</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13, 2026</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13, 2026</w:t>
      </w:r>
    </w:p>
    <w:p>
      <w:pPr>
        <w:spacing w:after="0" w:line="3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March 13, 2026</w:t>
      </w:r>
    </w:p>
    <w:p>
      <w:pPr>
        <w:spacing w:after="0" w:line="486" w:lineRule="exact"/>
        <w:rPr>
          <w:sz w:val="20"/>
          <w:szCs w:val="20"/>
          <w:color w:val="auto"/>
        </w:rPr>
      </w:pPr>
    </w:p>
    <w:p>
      <w:pPr>
        <w:sectPr>
          <w:pgSz w:w="11900" w:h="16838" w:orient="portrait"/>
          <w:cols w:equalWidth="0" w:num="2">
            <w:col w:w="8500" w:space="720"/>
            <w:col w:w="2020"/>
          </w:cols>
          <w:pgMar w:left="320" w:top="1413"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type w:val="continuous"/>
        </w:sectPr>
      </w:pPr>
    </w:p>
    <w:bookmarkStart w:id="106" w:name="page107"/>
    <w:bookmarkEnd w:id="106"/>
    <w:p>
      <w:pPr>
        <w:spacing w:after="0"/>
        <w:tabs>
          <w:tab w:leader="none" w:pos="5180" w:val="left"/>
        </w:tabs>
        <w:rPr>
          <w:sz w:val="20"/>
          <w:szCs w:val="20"/>
          <w:color w:val="auto"/>
        </w:rPr>
      </w:pPr>
      <w:r>
        <w:rPr>
          <w:rFonts w:ascii="Times New Roman" w:cs="Times New Roman" w:eastAsia="Times New Roman" w:hAnsi="Times New Roman"/>
          <w:sz w:val="22"/>
          <w:szCs w:val="22"/>
          <w:b w:val="1"/>
          <w:bCs w:val="1"/>
          <w:i w:val="1"/>
          <w:iCs w:val="1"/>
          <w:color w:val="auto"/>
        </w:rPr>
        <w:t>2026 CEO Form</w:t>
      </w:r>
      <w:r>
        <w:rPr>
          <w:sz w:val="20"/>
          <w:szCs w:val="20"/>
          <w:color w:val="auto"/>
        </w:rPr>
        <w:tab/>
      </w:r>
      <w:r>
        <w:rPr>
          <w:rFonts w:ascii="Times New Roman" w:cs="Times New Roman" w:eastAsia="Times New Roman" w:hAnsi="Times New Roman"/>
          <w:sz w:val="21"/>
          <w:szCs w:val="21"/>
          <w:b w:val="1"/>
          <w:bCs w:val="1"/>
          <w:i w:val="1"/>
          <w:iCs w:val="1"/>
          <w:color w:val="auto"/>
        </w:rPr>
        <w:t>Exhibit 10.30</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PETCO HEALTH AND WELLNESS COMPANY, INC.</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2021 EQUITY INCENTIVE PLAN</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GRANT NOTICE FOR</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PERFORMANCE STOCK UNIT AWARD</w:t>
      </w:r>
    </w:p>
    <w:p>
      <w:pPr>
        <w:spacing w:after="0" w:line="217"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FOR GOOD AND VALUABLE CONSIDERATION, Petco Health and Wellness Company, Inc.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hereby grants to the Participant named below the target number of performance stock units (the “</w:t>
      </w:r>
      <w:r>
        <w:rPr>
          <w:rFonts w:ascii="Times New Roman" w:cs="Times New Roman" w:eastAsia="Times New Roman" w:hAnsi="Times New Roman"/>
          <w:sz w:val="22"/>
          <w:szCs w:val="22"/>
          <w:b w:val="1"/>
          <w:bCs w:val="1"/>
          <w:i w:val="1"/>
          <w:iCs w:val="1"/>
          <w:color w:val="auto"/>
        </w:rPr>
        <w:t>PSUs</w:t>
      </w:r>
      <w:r>
        <w:rPr>
          <w:rFonts w:ascii="Times New Roman" w:cs="Times New Roman" w:eastAsia="Times New Roman" w:hAnsi="Times New Roman"/>
          <w:sz w:val="22"/>
          <w:szCs w:val="22"/>
          <w:color w:val="auto"/>
        </w:rPr>
        <w:t>”) specified below (the “</w:t>
      </w:r>
      <w:r>
        <w:rPr>
          <w:rFonts w:ascii="Times New Roman" w:cs="Times New Roman" w:eastAsia="Times New Roman" w:hAnsi="Times New Roman"/>
          <w:sz w:val="22"/>
          <w:szCs w:val="22"/>
          <w:b w:val="1"/>
          <w:bCs w:val="1"/>
          <w:i w:val="1"/>
          <w:iCs w:val="1"/>
          <w:color w:val="auto"/>
        </w:rPr>
        <w:t>Award</w:t>
      </w:r>
      <w:r>
        <w:rPr>
          <w:rFonts w:ascii="Times New Roman" w:cs="Times New Roman" w:eastAsia="Times New Roman" w:hAnsi="Times New Roman"/>
          <w:sz w:val="22"/>
          <w:szCs w:val="22"/>
          <w:color w:val="auto"/>
        </w:rPr>
        <w:t>”) as performance-based Restricted Stock Units under the Petco Health and Wellness Company, Inc. 2021 Equity Incentive Plan (as amended from time to time, the “</w:t>
      </w:r>
      <w:r>
        <w:rPr>
          <w:rFonts w:ascii="Times New Roman" w:cs="Times New Roman" w:eastAsia="Times New Roman" w:hAnsi="Times New Roman"/>
          <w:sz w:val="22"/>
          <w:szCs w:val="22"/>
          <w:b w:val="1"/>
          <w:bCs w:val="1"/>
          <w:i w:val="1"/>
          <w:iCs w:val="1"/>
          <w:color w:val="auto"/>
        </w:rPr>
        <w:t>Plan</w:t>
      </w:r>
      <w:r>
        <w:rPr>
          <w:rFonts w:ascii="Times New Roman" w:cs="Times New Roman" w:eastAsia="Times New Roman" w:hAnsi="Times New Roman"/>
          <w:sz w:val="22"/>
          <w:szCs w:val="22"/>
          <w:color w:val="auto"/>
        </w:rPr>
        <w:t xml:space="preserve">”). Each Earned PSU represents the right to receive one share of Common Stock, upon the terms and subject to the conditions set forth in this Grant Notice (including </w:t>
      </w:r>
      <w:r>
        <w:rPr>
          <w:rFonts w:ascii="Times New Roman" w:cs="Times New Roman" w:eastAsia="Times New Roman" w:hAnsi="Times New Roman"/>
          <w:sz w:val="22"/>
          <w:szCs w:val="22"/>
          <w:u w:val="single" w:color="auto"/>
          <w:color w:val="auto"/>
        </w:rPr>
        <w:t>Exhibit C</w:t>
      </w:r>
      <w:r>
        <w:rPr>
          <w:rFonts w:ascii="Times New Roman" w:cs="Times New Roman" w:eastAsia="Times New Roman" w:hAnsi="Times New Roman"/>
          <w:sz w:val="22"/>
          <w:szCs w:val="22"/>
          <w:color w:val="auto"/>
        </w:rPr>
        <w:t>), the Plan and the Standard Terms and Conditions (the “</w:t>
      </w:r>
      <w:r>
        <w:rPr>
          <w:rFonts w:ascii="Times New Roman" w:cs="Times New Roman" w:eastAsia="Times New Roman" w:hAnsi="Times New Roman"/>
          <w:sz w:val="22"/>
          <w:szCs w:val="22"/>
          <w:b w:val="1"/>
          <w:bCs w:val="1"/>
          <w:i w:val="1"/>
          <w:iCs w:val="1"/>
          <w:color w:val="auto"/>
        </w:rPr>
        <w:t>Standard Terms and Conditions</w:t>
      </w:r>
      <w:r>
        <w:rPr>
          <w:rFonts w:ascii="Times New Roman" w:cs="Times New Roman" w:eastAsia="Times New Roman" w:hAnsi="Times New Roman"/>
          <w:sz w:val="22"/>
          <w:szCs w:val="22"/>
          <w:color w:val="auto"/>
        </w:rPr>
        <w:t xml:space="preserve">”) promulgated under such Plan and attached hereto as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and the Confidentiality and Inventions Agreement attached hereto as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 This Award is granted pursuant to the Plan and is subject to and qualified in its entirety by the Standard Terms and Conditions. Capitalized terms not otherwise defined herein shall have the meanings set forth in the Plan.</w:t>
      </w:r>
    </w:p>
    <w:p>
      <w:pPr>
        <w:spacing w:after="0" w:line="184" w:lineRule="exact"/>
        <w:rPr>
          <w:sz w:val="20"/>
          <w:szCs w:val="20"/>
          <w:color w:val="auto"/>
        </w:rPr>
      </w:pPr>
    </w:p>
    <w:tbl>
      <w:tblPr>
        <w:tblLayout w:type="fixed"/>
        <w:tblInd w:w="10" w:type="dxa"/>
        <w:tblCellMar>
          <w:top w:w="0" w:type="dxa"/>
          <w:left w:w="0" w:type="dxa"/>
          <w:bottom w:w="0" w:type="dxa"/>
          <w:right w:w="0" w:type="dxa"/>
        </w:tblCellMar>
      </w:tblPr>
      <w:tr>
        <w:trPr>
          <w:trHeight w:val="380"/>
        </w:trPr>
        <w:tc>
          <w:tcPr>
            <w:tcW w:w="268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Name of Participant:</w:t>
            </w:r>
          </w:p>
        </w:tc>
        <w:tc>
          <w:tcPr>
            <w:tcW w:w="360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3920" w:type="dxa"/>
            <w:vAlign w:val="bottom"/>
            <w:tcBorders>
              <w:top w:val="single" w:sz="8" w:color="auto"/>
              <w:right w:val="single" w:sz="8" w:color="auto"/>
            </w:tcBorders>
          </w:tcPr>
          <w:p>
            <w:pPr>
              <w:spacing w:after="0"/>
              <w:rPr>
                <w:sz w:val="24"/>
                <w:szCs w:val="24"/>
                <w:color w:val="auto"/>
              </w:rPr>
            </w:pPr>
          </w:p>
        </w:tc>
      </w:tr>
      <w:tr>
        <w:trPr>
          <w:trHeight w:val="93"/>
        </w:trPr>
        <w:tc>
          <w:tcPr>
            <w:tcW w:w="2680" w:type="dxa"/>
            <w:vAlign w:val="bottom"/>
            <w:tcBorders>
              <w:left w:val="single" w:sz="8" w:color="auto"/>
              <w:bottom w:val="single" w:sz="8" w:color="auto"/>
              <w:right w:val="single" w:sz="8" w:color="auto"/>
            </w:tcBorders>
          </w:tcPr>
          <w:p>
            <w:pPr>
              <w:spacing w:after="0"/>
              <w:rPr>
                <w:sz w:val="8"/>
                <w:szCs w:val="8"/>
                <w:color w:val="auto"/>
              </w:rPr>
            </w:pPr>
          </w:p>
        </w:tc>
        <w:tc>
          <w:tcPr>
            <w:tcW w:w="36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3920" w:type="dxa"/>
            <w:vAlign w:val="bottom"/>
            <w:tcBorders>
              <w:bottom w:val="single" w:sz="8" w:color="auto"/>
              <w:right w:val="single" w:sz="8" w:color="auto"/>
            </w:tcBorders>
          </w:tcPr>
          <w:p>
            <w:pPr>
              <w:spacing w:after="0"/>
              <w:rPr>
                <w:sz w:val="8"/>
                <w:szCs w:val="8"/>
                <w:color w:val="auto"/>
              </w:rPr>
            </w:pPr>
          </w:p>
        </w:tc>
      </w:tr>
      <w:tr>
        <w:trPr>
          <w:trHeight w:val="360"/>
        </w:trPr>
        <w:tc>
          <w:tcPr>
            <w:tcW w:w="26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Grant Date:</w:t>
            </w:r>
          </w:p>
        </w:tc>
        <w:tc>
          <w:tcPr>
            <w:tcW w:w="3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920" w:type="dxa"/>
            <w:vAlign w:val="bottom"/>
            <w:tcBorders>
              <w:right w:val="single" w:sz="8" w:color="auto"/>
            </w:tcBorders>
          </w:tcPr>
          <w:p>
            <w:pPr>
              <w:spacing w:after="0"/>
              <w:rPr>
                <w:sz w:val="24"/>
                <w:szCs w:val="24"/>
                <w:color w:val="auto"/>
              </w:rPr>
            </w:pPr>
          </w:p>
        </w:tc>
      </w:tr>
      <w:tr>
        <w:trPr>
          <w:trHeight w:val="96"/>
        </w:trPr>
        <w:tc>
          <w:tcPr>
            <w:tcW w:w="2680" w:type="dxa"/>
            <w:vAlign w:val="bottom"/>
            <w:tcBorders>
              <w:left w:val="single" w:sz="8" w:color="auto"/>
              <w:bottom w:val="single" w:sz="8" w:color="auto"/>
              <w:right w:val="single" w:sz="8" w:color="auto"/>
            </w:tcBorders>
          </w:tcPr>
          <w:p>
            <w:pPr>
              <w:spacing w:after="0"/>
              <w:rPr>
                <w:sz w:val="8"/>
                <w:szCs w:val="8"/>
                <w:color w:val="auto"/>
              </w:rPr>
            </w:pPr>
          </w:p>
        </w:tc>
        <w:tc>
          <w:tcPr>
            <w:tcW w:w="36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3920" w:type="dxa"/>
            <w:vAlign w:val="bottom"/>
            <w:tcBorders>
              <w:bottom w:val="single" w:sz="8" w:color="auto"/>
              <w:right w:val="single" w:sz="8" w:color="auto"/>
            </w:tcBorders>
          </w:tcPr>
          <w:p>
            <w:pPr>
              <w:spacing w:after="0"/>
              <w:rPr>
                <w:sz w:val="8"/>
                <w:szCs w:val="8"/>
                <w:color w:val="auto"/>
              </w:rPr>
            </w:pPr>
          </w:p>
        </w:tc>
      </w:tr>
      <w:tr>
        <w:trPr>
          <w:trHeight w:val="357"/>
        </w:trPr>
        <w:tc>
          <w:tcPr>
            <w:tcW w:w="26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Target Number of PSUs:</w:t>
            </w:r>
          </w:p>
        </w:tc>
        <w:tc>
          <w:tcPr>
            <w:tcW w:w="8560" w:type="dxa"/>
            <w:vAlign w:val="bottom"/>
            <w:tcBorders>
              <w:right w:val="single" w:sz="8" w:color="auto"/>
            </w:tcBorders>
            <w:gridSpan w:val="5"/>
          </w:tcPr>
          <w:p>
            <w:pPr>
              <w:ind w:left="80"/>
              <w:spacing w:after="0"/>
              <w:rPr>
                <w:sz w:val="20"/>
                <w:szCs w:val="20"/>
                <w:color w:val="auto"/>
              </w:rPr>
            </w:pPr>
            <w:r>
              <w:rPr>
                <w:rFonts w:ascii="Times New Roman" w:cs="Times New Roman" w:eastAsia="Times New Roman" w:hAnsi="Times New Roman"/>
                <w:sz w:val="22"/>
                <w:szCs w:val="22"/>
                <w:color w:val="auto"/>
              </w:rPr>
              <w:t>[●] (the “</w:t>
            </w:r>
            <w:r>
              <w:rPr>
                <w:rFonts w:ascii="Times New Roman" w:cs="Times New Roman" w:eastAsia="Times New Roman" w:hAnsi="Times New Roman"/>
                <w:sz w:val="22"/>
                <w:szCs w:val="22"/>
                <w:b w:val="1"/>
                <w:bCs w:val="1"/>
                <w:i w:val="1"/>
                <w:iCs w:val="1"/>
                <w:color w:val="auto"/>
              </w:rPr>
              <w:t>Target PSUs</w:t>
            </w:r>
            <w:r>
              <w:rPr>
                <w:rFonts w:ascii="Times New Roman" w:cs="Times New Roman" w:eastAsia="Times New Roman" w:hAnsi="Times New Roman"/>
                <w:sz w:val="22"/>
                <w:szCs w:val="22"/>
                <w:color w:val="auto"/>
              </w:rPr>
              <w:t>”)</w:t>
            </w:r>
          </w:p>
        </w:tc>
      </w:tr>
      <w:tr>
        <w:trPr>
          <w:trHeight w:val="96"/>
        </w:trPr>
        <w:tc>
          <w:tcPr>
            <w:tcW w:w="2680" w:type="dxa"/>
            <w:vAlign w:val="bottom"/>
            <w:tcBorders>
              <w:left w:val="single" w:sz="8" w:color="auto"/>
              <w:bottom w:val="single" w:sz="8" w:color="auto"/>
              <w:right w:val="single" w:sz="8" w:color="auto"/>
            </w:tcBorders>
          </w:tcPr>
          <w:p>
            <w:pPr>
              <w:spacing w:after="0"/>
              <w:rPr>
                <w:sz w:val="8"/>
                <w:szCs w:val="8"/>
                <w:color w:val="auto"/>
              </w:rPr>
            </w:pPr>
          </w:p>
        </w:tc>
        <w:tc>
          <w:tcPr>
            <w:tcW w:w="36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3920" w:type="dxa"/>
            <w:vAlign w:val="bottom"/>
            <w:tcBorders>
              <w:bottom w:val="single" w:sz="8" w:color="auto"/>
              <w:right w:val="single" w:sz="8" w:color="auto"/>
            </w:tcBorders>
          </w:tcPr>
          <w:p>
            <w:pPr>
              <w:spacing w:after="0"/>
              <w:rPr>
                <w:sz w:val="8"/>
                <w:szCs w:val="8"/>
                <w:color w:val="auto"/>
              </w:rPr>
            </w:pPr>
          </w:p>
        </w:tc>
      </w:tr>
      <w:tr>
        <w:trPr>
          <w:trHeight w:val="317"/>
        </w:trPr>
        <w:tc>
          <w:tcPr>
            <w:tcW w:w="26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Award Type:</w:t>
            </w:r>
          </w:p>
        </w:tc>
        <w:tc>
          <w:tcPr>
            <w:tcW w:w="8560" w:type="dxa"/>
            <w:vAlign w:val="bottom"/>
            <w:tcBorders>
              <w:right w:val="single" w:sz="8" w:color="auto"/>
            </w:tcBorders>
            <w:gridSpan w:val="5"/>
          </w:tcPr>
          <w:p>
            <w:pPr>
              <w:ind w:left="80"/>
              <w:spacing w:after="0"/>
              <w:rPr>
                <w:sz w:val="20"/>
                <w:szCs w:val="20"/>
                <w:color w:val="auto"/>
              </w:rPr>
            </w:pPr>
            <w:r>
              <w:rPr>
                <w:rFonts w:ascii="Times New Roman" w:cs="Times New Roman" w:eastAsia="Times New Roman" w:hAnsi="Times New Roman"/>
                <w:sz w:val="22"/>
                <w:szCs w:val="22"/>
                <w:color w:val="auto"/>
              </w:rPr>
              <w:t>The Award represents the right to receive shares of Common Stock in an amount from [●]% to</w:t>
            </w:r>
          </w:p>
        </w:tc>
      </w:tr>
      <w:tr>
        <w:trPr>
          <w:trHeight w:val="243"/>
        </w:trPr>
        <w:tc>
          <w:tcPr>
            <w:tcW w:w="2680" w:type="dxa"/>
            <w:vAlign w:val="bottom"/>
            <w:tcBorders>
              <w:left w:val="single" w:sz="8" w:color="auto"/>
              <w:right w:val="single" w:sz="8" w:color="auto"/>
            </w:tcBorders>
          </w:tcPr>
          <w:p>
            <w:pPr>
              <w:spacing w:after="0"/>
              <w:rPr>
                <w:sz w:val="21"/>
                <w:szCs w:val="21"/>
                <w:color w:val="auto"/>
              </w:rPr>
            </w:pPr>
          </w:p>
        </w:tc>
        <w:tc>
          <w:tcPr>
            <w:tcW w:w="8560" w:type="dxa"/>
            <w:vAlign w:val="bottom"/>
            <w:tcBorders>
              <w:right w:val="single" w:sz="8" w:color="auto"/>
            </w:tcBorders>
            <w:gridSpan w:val="5"/>
          </w:tcPr>
          <w:p>
            <w:pPr>
              <w:ind w:left="80"/>
              <w:spacing w:after="0" w:line="243" w:lineRule="exact"/>
              <w:rPr>
                <w:sz w:val="20"/>
                <w:szCs w:val="20"/>
                <w:color w:val="auto"/>
              </w:rPr>
            </w:pPr>
            <w:r>
              <w:rPr>
                <w:rFonts w:ascii="Times New Roman" w:cs="Times New Roman" w:eastAsia="Times New Roman" w:hAnsi="Times New Roman"/>
                <w:sz w:val="22"/>
                <w:szCs w:val="22"/>
                <w:color w:val="auto"/>
              </w:rPr>
              <w:t>[●]% of the Target PSUs. The Award shall vest and become earned and nonforfeitable upon (i)</w:t>
            </w:r>
          </w:p>
        </w:tc>
      </w:tr>
      <w:tr>
        <w:trPr>
          <w:trHeight w:val="243"/>
        </w:trPr>
        <w:tc>
          <w:tcPr>
            <w:tcW w:w="2680" w:type="dxa"/>
            <w:vAlign w:val="bottom"/>
            <w:tcBorders>
              <w:left w:val="single" w:sz="8" w:color="auto"/>
              <w:right w:val="single" w:sz="8" w:color="auto"/>
            </w:tcBorders>
          </w:tcPr>
          <w:p>
            <w:pPr>
              <w:spacing w:after="0"/>
              <w:rPr>
                <w:sz w:val="21"/>
                <w:szCs w:val="21"/>
                <w:color w:val="auto"/>
              </w:rPr>
            </w:pPr>
          </w:p>
        </w:tc>
        <w:tc>
          <w:tcPr>
            <w:tcW w:w="8560" w:type="dxa"/>
            <w:vAlign w:val="bottom"/>
            <w:tcBorders>
              <w:right w:val="single" w:sz="8" w:color="auto"/>
            </w:tcBorders>
            <w:gridSpan w:val="5"/>
          </w:tcPr>
          <w:p>
            <w:pPr>
              <w:ind w:left="80"/>
              <w:spacing w:after="0" w:line="243" w:lineRule="exact"/>
              <w:rPr>
                <w:sz w:val="20"/>
                <w:szCs w:val="20"/>
                <w:color w:val="auto"/>
              </w:rPr>
            </w:pPr>
            <w:r>
              <w:rPr>
                <w:rFonts w:ascii="Times New Roman" w:cs="Times New Roman" w:eastAsia="Times New Roman" w:hAnsi="Times New Roman"/>
                <w:sz w:val="22"/>
                <w:szCs w:val="22"/>
                <w:color w:val="auto"/>
              </w:rPr>
              <w:t>the Participant’s satisfaction of the Service Requirement (as defined below) and (ii) the</w:t>
            </w:r>
          </w:p>
        </w:tc>
      </w:tr>
      <w:tr>
        <w:trPr>
          <w:trHeight w:val="243"/>
        </w:trPr>
        <w:tc>
          <w:tcPr>
            <w:tcW w:w="2680" w:type="dxa"/>
            <w:vAlign w:val="bottom"/>
            <w:tcBorders>
              <w:left w:val="single" w:sz="8" w:color="auto"/>
              <w:right w:val="single" w:sz="8" w:color="auto"/>
            </w:tcBorders>
          </w:tcPr>
          <w:p>
            <w:pPr>
              <w:spacing w:after="0"/>
              <w:rPr>
                <w:sz w:val="21"/>
                <w:szCs w:val="21"/>
                <w:color w:val="auto"/>
              </w:rPr>
            </w:pPr>
          </w:p>
        </w:tc>
        <w:tc>
          <w:tcPr>
            <w:tcW w:w="8560" w:type="dxa"/>
            <w:vAlign w:val="bottom"/>
            <w:tcBorders>
              <w:right w:val="single" w:sz="8" w:color="auto"/>
            </w:tcBorders>
            <w:gridSpan w:val="5"/>
          </w:tcPr>
          <w:p>
            <w:pPr>
              <w:ind w:left="80"/>
              <w:spacing w:after="0" w:line="243" w:lineRule="exact"/>
              <w:rPr>
                <w:sz w:val="20"/>
                <w:szCs w:val="20"/>
                <w:color w:val="auto"/>
              </w:rPr>
            </w:pPr>
            <w:r>
              <w:rPr>
                <w:rFonts w:ascii="Times New Roman" w:cs="Times New Roman" w:eastAsia="Times New Roman" w:hAnsi="Times New Roman"/>
                <w:sz w:val="22"/>
                <w:szCs w:val="22"/>
                <w:color w:val="auto"/>
              </w:rPr>
              <w:t>Committee’s certification of the final level of achievement of the Performance Goal (as defined</w:t>
            </w:r>
          </w:p>
        </w:tc>
      </w:tr>
      <w:tr>
        <w:trPr>
          <w:trHeight w:val="237"/>
        </w:trPr>
        <w:tc>
          <w:tcPr>
            <w:tcW w:w="2680" w:type="dxa"/>
            <w:vAlign w:val="bottom"/>
            <w:tcBorders>
              <w:left w:val="single" w:sz="8" w:color="auto"/>
              <w:right w:val="single" w:sz="8" w:color="auto"/>
            </w:tcBorders>
          </w:tcPr>
          <w:p>
            <w:pPr>
              <w:spacing w:after="0"/>
              <w:rPr>
                <w:sz w:val="20"/>
                <w:szCs w:val="20"/>
                <w:color w:val="auto"/>
              </w:rPr>
            </w:pPr>
          </w:p>
        </w:tc>
        <w:tc>
          <w:tcPr>
            <w:tcW w:w="8560" w:type="dxa"/>
            <w:vAlign w:val="bottom"/>
            <w:tcBorders>
              <w:right w:val="single" w:sz="8" w:color="auto"/>
            </w:tcBorders>
            <w:gridSpan w:val="5"/>
          </w:tcPr>
          <w:p>
            <w:pPr>
              <w:ind w:left="80"/>
              <w:spacing w:after="0" w:line="237" w:lineRule="exact"/>
              <w:rPr>
                <w:sz w:val="20"/>
                <w:szCs w:val="20"/>
                <w:color w:val="auto"/>
              </w:rPr>
            </w:pPr>
            <w:r>
              <w:rPr>
                <w:rFonts w:ascii="Times New Roman" w:cs="Times New Roman" w:eastAsia="Times New Roman" w:hAnsi="Times New Roman"/>
                <w:sz w:val="22"/>
                <w:szCs w:val="22"/>
                <w:color w:val="auto"/>
              </w:rPr>
              <w:t>below). PSUs that become earned upon satisfaction of the Service Requirement and the</w:t>
            </w:r>
          </w:p>
        </w:tc>
      </w:tr>
      <w:tr>
        <w:trPr>
          <w:trHeight w:val="288"/>
        </w:trPr>
        <w:tc>
          <w:tcPr>
            <w:tcW w:w="2680" w:type="dxa"/>
            <w:vAlign w:val="bottom"/>
            <w:tcBorders>
              <w:left w:val="single" w:sz="8" w:color="auto"/>
              <w:right w:val="single" w:sz="8" w:color="auto"/>
            </w:tcBorders>
          </w:tcPr>
          <w:p>
            <w:pPr>
              <w:spacing w:after="0"/>
              <w:rPr>
                <w:sz w:val="24"/>
                <w:szCs w:val="24"/>
                <w:color w:val="auto"/>
              </w:rPr>
            </w:pPr>
          </w:p>
        </w:tc>
        <w:tc>
          <w:tcPr>
            <w:tcW w:w="8560" w:type="dxa"/>
            <w:vAlign w:val="bottom"/>
            <w:tcBorders>
              <w:right w:val="single" w:sz="8" w:color="auto"/>
            </w:tcBorders>
            <w:gridSpan w:val="5"/>
          </w:tcPr>
          <w:p>
            <w:pPr>
              <w:ind w:left="80"/>
              <w:spacing w:after="0"/>
              <w:rPr>
                <w:sz w:val="20"/>
                <w:szCs w:val="20"/>
                <w:color w:val="auto"/>
              </w:rPr>
            </w:pPr>
            <w:r>
              <w:rPr>
                <w:rFonts w:ascii="Times New Roman" w:cs="Times New Roman" w:eastAsia="Times New Roman" w:hAnsi="Times New Roman"/>
                <w:sz w:val="22"/>
                <w:szCs w:val="22"/>
                <w:color w:val="auto"/>
              </w:rPr>
              <w:t>Performance Goal are referred to herein as “</w:t>
            </w:r>
            <w:r>
              <w:rPr>
                <w:rFonts w:ascii="Times New Roman" w:cs="Times New Roman" w:eastAsia="Times New Roman" w:hAnsi="Times New Roman"/>
                <w:sz w:val="22"/>
                <w:szCs w:val="22"/>
                <w:b w:val="1"/>
                <w:bCs w:val="1"/>
                <w:i w:val="1"/>
                <w:iCs w:val="1"/>
                <w:color w:val="auto"/>
              </w:rPr>
              <w:t>Earned PSUs</w:t>
            </w:r>
            <w:r>
              <w:rPr>
                <w:rFonts w:ascii="Times New Roman" w:cs="Times New Roman" w:eastAsia="Times New Roman" w:hAnsi="Times New Roman"/>
                <w:sz w:val="22"/>
                <w:szCs w:val="22"/>
                <w:color w:val="auto"/>
              </w:rPr>
              <w:t>.”</w:t>
            </w:r>
          </w:p>
        </w:tc>
      </w:tr>
      <w:tr>
        <w:trPr>
          <w:trHeight w:val="96"/>
        </w:trPr>
        <w:tc>
          <w:tcPr>
            <w:tcW w:w="2680" w:type="dxa"/>
            <w:vAlign w:val="bottom"/>
            <w:tcBorders>
              <w:left w:val="single" w:sz="8" w:color="auto"/>
              <w:bottom w:val="single" w:sz="8" w:color="auto"/>
              <w:right w:val="single" w:sz="8" w:color="auto"/>
            </w:tcBorders>
          </w:tcPr>
          <w:p>
            <w:pPr>
              <w:spacing w:after="0"/>
              <w:rPr>
                <w:sz w:val="8"/>
                <w:szCs w:val="8"/>
                <w:color w:val="auto"/>
              </w:rPr>
            </w:pPr>
          </w:p>
        </w:tc>
        <w:tc>
          <w:tcPr>
            <w:tcW w:w="36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3920" w:type="dxa"/>
            <w:vAlign w:val="bottom"/>
            <w:tcBorders>
              <w:bottom w:val="single" w:sz="8" w:color="auto"/>
              <w:right w:val="single" w:sz="8" w:color="auto"/>
            </w:tcBorders>
          </w:tcPr>
          <w:p>
            <w:pPr>
              <w:spacing w:after="0"/>
              <w:rPr>
                <w:sz w:val="8"/>
                <w:szCs w:val="8"/>
                <w:color w:val="auto"/>
              </w:rPr>
            </w:pPr>
          </w:p>
        </w:tc>
      </w:tr>
      <w:tr>
        <w:trPr>
          <w:trHeight w:val="356"/>
        </w:trPr>
        <w:tc>
          <w:tcPr>
            <w:tcW w:w="26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Performance Period:</w:t>
            </w:r>
          </w:p>
        </w:tc>
        <w:tc>
          <w:tcPr>
            <w:tcW w:w="3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920" w:type="dxa"/>
            <w:vAlign w:val="bottom"/>
            <w:tcBorders>
              <w:right w:val="single" w:sz="8" w:color="auto"/>
            </w:tcBorders>
          </w:tcPr>
          <w:p>
            <w:pPr>
              <w:spacing w:after="0"/>
              <w:rPr>
                <w:sz w:val="24"/>
                <w:szCs w:val="24"/>
                <w:color w:val="auto"/>
              </w:rPr>
            </w:pPr>
          </w:p>
        </w:tc>
      </w:tr>
      <w:tr>
        <w:trPr>
          <w:trHeight w:val="96"/>
        </w:trPr>
        <w:tc>
          <w:tcPr>
            <w:tcW w:w="2680" w:type="dxa"/>
            <w:vAlign w:val="bottom"/>
            <w:tcBorders>
              <w:left w:val="single" w:sz="8" w:color="auto"/>
              <w:bottom w:val="single" w:sz="8" w:color="auto"/>
              <w:right w:val="single" w:sz="8" w:color="auto"/>
            </w:tcBorders>
          </w:tcPr>
          <w:p>
            <w:pPr>
              <w:spacing w:after="0"/>
              <w:rPr>
                <w:sz w:val="8"/>
                <w:szCs w:val="8"/>
                <w:color w:val="auto"/>
              </w:rPr>
            </w:pPr>
          </w:p>
        </w:tc>
        <w:tc>
          <w:tcPr>
            <w:tcW w:w="36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3920" w:type="dxa"/>
            <w:vAlign w:val="bottom"/>
            <w:tcBorders>
              <w:bottom w:val="single" w:sz="8" w:color="auto"/>
              <w:right w:val="single" w:sz="8" w:color="auto"/>
            </w:tcBorders>
          </w:tcPr>
          <w:p>
            <w:pPr>
              <w:spacing w:after="0"/>
              <w:rPr>
                <w:sz w:val="8"/>
                <w:szCs w:val="8"/>
                <w:color w:val="auto"/>
              </w:rPr>
            </w:pPr>
          </w:p>
        </w:tc>
      </w:tr>
      <w:tr>
        <w:trPr>
          <w:trHeight w:val="304"/>
        </w:trPr>
        <w:tc>
          <w:tcPr>
            <w:tcW w:w="26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Service Requirement:</w:t>
            </w:r>
          </w:p>
        </w:tc>
        <w:tc>
          <w:tcPr>
            <w:tcW w:w="8560" w:type="dxa"/>
            <w:vAlign w:val="bottom"/>
            <w:tcBorders>
              <w:right w:val="single" w:sz="8" w:color="auto"/>
            </w:tcBorders>
            <w:gridSpan w:val="5"/>
          </w:tcPr>
          <w:p>
            <w:pPr>
              <w:ind w:left="80"/>
              <w:spacing w:after="0"/>
              <w:rPr>
                <w:sz w:val="20"/>
                <w:szCs w:val="20"/>
                <w:color w:val="auto"/>
              </w:rPr>
            </w:pPr>
            <w:r>
              <w:rPr>
                <w:rFonts w:ascii="Times New Roman" w:cs="Times New Roman" w:eastAsia="Times New Roman" w:hAnsi="Times New Roman"/>
                <w:sz w:val="22"/>
                <w:szCs w:val="22"/>
                <w:color w:val="auto"/>
              </w:rPr>
              <w:t>The “</w:t>
            </w:r>
            <w:r>
              <w:rPr>
                <w:rFonts w:ascii="Times New Roman" w:cs="Times New Roman" w:eastAsia="Times New Roman" w:hAnsi="Times New Roman"/>
                <w:sz w:val="22"/>
                <w:szCs w:val="22"/>
                <w:b w:val="1"/>
                <w:bCs w:val="1"/>
                <w:i w:val="1"/>
                <w:iCs w:val="1"/>
                <w:color w:val="auto"/>
              </w:rPr>
              <w:t>Service Requirement</w:t>
            </w:r>
            <w:r>
              <w:rPr>
                <w:rFonts w:ascii="Times New Roman" w:cs="Times New Roman" w:eastAsia="Times New Roman" w:hAnsi="Times New Roman"/>
                <w:sz w:val="22"/>
                <w:szCs w:val="22"/>
                <w:color w:val="auto"/>
              </w:rPr>
              <w:t>” is set forth on Exhibit C attached hereto.</w:t>
            </w:r>
          </w:p>
        </w:tc>
      </w:tr>
      <w:tr>
        <w:trPr>
          <w:trHeight w:val="155"/>
        </w:trPr>
        <w:tc>
          <w:tcPr>
            <w:tcW w:w="2680" w:type="dxa"/>
            <w:vAlign w:val="bottom"/>
            <w:tcBorders>
              <w:left w:val="single" w:sz="8" w:color="auto"/>
              <w:bottom w:val="single" w:sz="8" w:color="auto"/>
              <w:right w:val="single" w:sz="8" w:color="auto"/>
            </w:tcBorders>
          </w:tcPr>
          <w:p>
            <w:pPr>
              <w:spacing w:after="0"/>
              <w:rPr>
                <w:sz w:val="13"/>
                <w:szCs w:val="13"/>
                <w:color w:val="auto"/>
              </w:rPr>
            </w:pPr>
          </w:p>
        </w:tc>
        <w:tc>
          <w:tcPr>
            <w:tcW w:w="36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3920" w:type="dxa"/>
            <w:vAlign w:val="bottom"/>
            <w:tcBorders>
              <w:bottom w:val="single" w:sz="8" w:color="auto"/>
              <w:right w:val="single" w:sz="8" w:color="auto"/>
            </w:tcBorders>
          </w:tcPr>
          <w:p>
            <w:pPr>
              <w:spacing w:after="0"/>
              <w:rPr>
                <w:sz w:val="13"/>
                <w:szCs w:val="13"/>
                <w:color w:val="auto"/>
              </w:rPr>
            </w:pPr>
          </w:p>
        </w:tc>
      </w:tr>
      <w:tr>
        <w:trPr>
          <w:trHeight w:val="304"/>
        </w:trPr>
        <w:tc>
          <w:tcPr>
            <w:tcW w:w="26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Performance Goal:</w:t>
            </w:r>
          </w:p>
        </w:tc>
        <w:tc>
          <w:tcPr>
            <w:tcW w:w="8560" w:type="dxa"/>
            <w:vAlign w:val="bottom"/>
            <w:tcBorders>
              <w:right w:val="single" w:sz="8" w:color="auto"/>
            </w:tcBorders>
            <w:gridSpan w:val="5"/>
          </w:tcPr>
          <w:p>
            <w:pPr>
              <w:ind w:left="80"/>
              <w:spacing w:after="0"/>
              <w:rPr>
                <w:sz w:val="20"/>
                <w:szCs w:val="20"/>
                <w:color w:val="auto"/>
              </w:rPr>
            </w:pPr>
            <w:r>
              <w:rPr>
                <w:rFonts w:ascii="Times New Roman" w:cs="Times New Roman" w:eastAsia="Times New Roman" w:hAnsi="Times New Roman"/>
                <w:sz w:val="22"/>
                <w:szCs w:val="22"/>
                <w:color w:val="auto"/>
              </w:rPr>
              <w:t>The “</w:t>
            </w:r>
            <w:r>
              <w:rPr>
                <w:rFonts w:ascii="Times New Roman" w:cs="Times New Roman" w:eastAsia="Times New Roman" w:hAnsi="Times New Roman"/>
                <w:sz w:val="22"/>
                <w:szCs w:val="22"/>
                <w:b w:val="1"/>
                <w:bCs w:val="1"/>
                <w:i w:val="1"/>
                <w:iCs w:val="1"/>
                <w:color w:val="auto"/>
              </w:rPr>
              <w:t>Performance Goal</w:t>
            </w:r>
            <w:r>
              <w:rPr>
                <w:rFonts w:ascii="Times New Roman" w:cs="Times New Roman" w:eastAsia="Times New Roman" w:hAnsi="Times New Roman"/>
                <w:sz w:val="22"/>
                <w:szCs w:val="22"/>
                <w:color w:val="auto"/>
              </w:rPr>
              <w:t>” is set forth on Exhibit C attached hereto.</w:t>
            </w:r>
          </w:p>
        </w:tc>
      </w:tr>
      <w:tr>
        <w:trPr>
          <w:trHeight w:val="155"/>
        </w:trPr>
        <w:tc>
          <w:tcPr>
            <w:tcW w:w="2680" w:type="dxa"/>
            <w:vAlign w:val="bottom"/>
            <w:tcBorders>
              <w:left w:val="single" w:sz="8" w:color="auto"/>
              <w:bottom w:val="single" w:sz="8" w:color="auto"/>
              <w:right w:val="single" w:sz="8" w:color="auto"/>
            </w:tcBorders>
          </w:tcPr>
          <w:p>
            <w:pPr>
              <w:spacing w:after="0"/>
              <w:rPr>
                <w:sz w:val="13"/>
                <w:szCs w:val="13"/>
                <w:color w:val="auto"/>
              </w:rPr>
            </w:pPr>
          </w:p>
        </w:tc>
        <w:tc>
          <w:tcPr>
            <w:tcW w:w="3600" w:type="dxa"/>
            <w:vAlign w:val="bottom"/>
            <w:tcBorders>
              <w:bottom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3920" w:type="dxa"/>
            <w:vAlign w:val="bottom"/>
            <w:tcBorders>
              <w:bottom w:val="single" w:sz="8" w:color="auto"/>
              <w:right w:val="single" w:sz="8" w:color="auto"/>
            </w:tcBorders>
          </w:tcPr>
          <w:p>
            <w:pPr>
              <w:spacing w:after="0"/>
              <w:rPr>
                <w:sz w:val="13"/>
                <w:szCs w:val="13"/>
                <w:color w:val="auto"/>
              </w:rPr>
            </w:pPr>
          </w:p>
        </w:tc>
      </w:tr>
      <w:tr>
        <w:trPr>
          <w:trHeight w:val="1620"/>
        </w:trPr>
        <w:tc>
          <w:tcPr>
            <w:tcW w:w="2680" w:type="dxa"/>
            <w:vAlign w:val="bottom"/>
            <w:tcBorders>
              <w:bottom w:val="single" w:sz="8" w:color="9A9A9A"/>
            </w:tcBorders>
          </w:tcPr>
          <w:p>
            <w:pPr>
              <w:spacing w:after="0"/>
              <w:rPr>
                <w:sz w:val="24"/>
                <w:szCs w:val="24"/>
                <w:color w:val="auto"/>
              </w:rPr>
            </w:pPr>
          </w:p>
        </w:tc>
        <w:tc>
          <w:tcPr>
            <w:tcW w:w="36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3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54" w:right="339" w:bottom="1440" w:gutter="0" w:footer="0" w:header="0"/>
        </w:sectPr>
      </w:pPr>
    </w:p>
    <w:bookmarkStart w:id="107" w:name="page108"/>
    <w:bookmarkEnd w:id="107"/>
    <w:p>
      <w:pPr>
        <w:spacing w:after="0" w:line="104"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IN ORDER TO RECEIVE THE BENEFITS OF THIS AGREEMENT, PARTICIPANT MUST EXECUTE AND RETURN THIS GRANT NOTICE (THE “</w:t>
      </w:r>
      <w:r>
        <w:rPr>
          <w:rFonts w:ascii="Times New Roman" w:cs="Times New Roman" w:eastAsia="Times New Roman" w:hAnsi="Times New Roman"/>
          <w:sz w:val="22"/>
          <w:szCs w:val="22"/>
          <w:b w:val="1"/>
          <w:bCs w:val="1"/>
          <w:i w:val="1"/>
          <w:iCs w:val="1"/>
          <w:color w:val="auto"/>
        </w:rPr>
        <w:t>ACCEPTANCE REQUIREMENTS</w:t>
      </w:r>
      <w:r>
        <w:rPr>
          <w:rFonts w:ascii="Times New Roman" w:cs="Times New Roman" w:eastAsia="Times New Roman" w:hAnsi="Times New Roman"/>
          <w:sz w:val="22"/>
          <w:szCs w:val="22"/>
          <w:color w:val="auto"/>
        </w:rPr>
        <w:t>”). IF PARTICIPANT FAILS TO SATISFY THE ACCEPTANCE REQUIREMENTS WITHIN 60 DAYS AFTER THE GRANT DATE, THEN (1) THIS GRANT NOTICE WILL BE OF NO FORCE OR EFFECT AND THIS AWARD WILL BE AUTOMATICALLY FORFEITED TO THE COMPANY WITHOUT CONSIDERATION, AND (2) NEITHER PARTICIPANT NOR THE COMPANY WILL HAVE ANY FUTURE RIGHTS OR OBLIGATIONS UNDER THIS GRANT NOTICE OR THE STANDARD TERMS AND CONDITIONS.</w:t>
      </w:r>
    </w:p>
    <w:p>
      <w:pPr>
        <w:spacing w:after="0" w:line="8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 xml:space="preserve">By accepting this Grant Notice, Participant acknowledges that Participant has received and read, and agrees that this Award shall be subject to, the terms of this Grant Notice (including </w:t>
      </w:r>
      <w:r>
        <w:rPr>
          <w:rFonts w:ascii="Times New Roman" w:cs="Times New Roman" w:eastAsia="Times New Roman" w:hAnsi="Times New Roman"/>
          <w:sz w:val="22"/>
          <w:szCs w:val="22"/>
          <w:u w:val="single" w:color="auto"/>
          <w:color w:val="auto"/>
        </w:rPr>
        <w:t>Exhibit C</w:t>
      </w:r>
      <w:r>
        <w:rPr>
          <w:rFonts w:ascii="Times New Roman" w:cs="Times New Roman" w:eastAsia="Times New Roman" w:hAnsi="Times New Roman"/>
          <w:sz w:val="22"/>
          <w:szCs w:val="22"/>
          <w:color w:val="auto"/>
        </w:rPr>
        <w:t>), the Plan, and the Standard Terms and Conditions and the Confidentiality and Inventions Agreement.</w:t>
      </w:r>
    </w:p>
    <w:p>
      <w:pPr>
        <w:spacing w:after="0" w:line="200" w:lineRule="exact"/>
        <w:rPr>
          <w:sz w:val="20"/>
          <w:szCs w:val="20"/>
          <w:color w:val="auto"/>
        </w:rPr>
      </w:pPr>
    </w:p>
    <w:p>
      <w:pPr>
        <w:spacing w:after="0" w:line="239"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2"/>
          <w:szCs w:val="22"/>
          <w:b w:val="1"/>
          <w:bCs w:val="1"/>
          <w:color w:val="auto"/>
        </w:rPr>
        <w:t>PETCO HEALTH AND WELLNESS COMPANY, INC.</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3293745</wp:posOffset>
            </wp:positionH>
            <wp:positionV relativeFrom="paragraph">
              <wp:posOffset>-13970</wp:posOffset>
            </wp:positionV>
            <wp:extent cx="1722120"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41">
                      <a:extLst>
                        <a:ext uri="{28A0092B-C50C-407E-A947-70E740481C1C}"/>
                      </a:extLst>
                    </a:blip>
                    <a:srcRect/>
                    <a:stretch>
                      <a:fillRect/>
                    </a:stretch>
                  </pic:blipFill>
                  <pic:spPr bwMode="auto">
                    <a:xfrm>
                      <a:off x="0" y="0"/>
                      <a:ext cx="1722120" cy="8255"/>
                    </a:xfrm>
                    <a:prstGeom prst="rect">
                      <a:avLst/>
                    </a:prstGeom>
                    <a:noFill/>
                  </pic:spPr>
                </pic:pic>
              </a:graphicData>
            </a:graphic>
          </wp:anchor>
        </w:drawing>
      </w:r>
    </w:p>
    <w:p>
      <w:pPr>
        <w:ind w:left="4880"/>
        <w:spacing w:after="0"/>
        <w:rPr>
          <w:sz w:val="20"/>
          <w:szCs w:val="20"/>
          <w:color w:val="auto"/>
        </w:rPr>
      </w:pPr>
      <w:r>
        <w:rPr>
          <w:rFonts w:ascii="Times New Roman" w:cs="Times New Roman" w:eastAsia="Times New Roman" w:hAnsi="Times New Roman"/>
          <w:sz w:val="22"/>
          <w:szCs w:val="22"/>
          <w:color w:val="auto"/>
        </w:rPr>
        <w:t>Name:</w:t>
      </w:r>
    </w:p>
    <w:p>
      <w:pPr>
        <w:ind w:left="4880"/>
        <w:spacing w:after="0"/>
        <w:rPr>
          <w:sz w:val="20"/>
          <w:szCs w:val="20"/>
          <w:color w:val="auto"/>
        </w:rPr>
      </w:pPr>
      <w:r>
        <w:rPr>
          <w:rFonts w:ascii="Times New Roman" w:cs="Times New Roman" w:eastAsia="Times New Roman" w:hAnsi="Times New Roman"/>
          <w:sz w:val="22"/>
          <w:szCs w:val="22"/>
          <w:color w:val="auto"/>
        </w:rPr>
        <w:t>Title:</w:t>
      </w: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3095625</wp:posOffset>
            </wp:positionH>
            <wp:positionV relativeFrom="paragraph">
              <wp:posOffset>605155</wp:posOffset>
            </wp:positionV>
            <wp:extent cx="1920240"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42">
                      <a:extLst>
                        <a:ext uri="{28A0092B-C50C-407E-A947-70E740481C1C}"/>
                      </a:extLst>
                    </a:blip>
                    <a:srcRect/>
                    <a:stretch>
                      <a:fillRect/>
                    </a:stretch>
                  </pic:blipFill>
                  <pic:spPr bwMode="auto">
                    <a:xfrm>
                      <a:off x="0" y="0"/>
                      <a:ext cx="19202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S</w:t>
      </w:r>
      <w:r>
        <w:rPr>
          <w:rFonts w:ascii="Times New Roman" w:cs="Times New Roman" w:eastAsia="Times New Roman" w:hAnsi="Times New Roman"/>
          <w:sz w:val="14"/>
          <w:szCs w:val="14"/>
          <w:color w:val="auto"/>
        </w:rPr>
        <w:t>ignature</w:t>
      </w:r>
      <w:r>
        <w:rPr>
          <w:rFonts w:ascii="Times New Roman" w:cs="Times New Roman" w:eastAsia="Times New Roman" w:hAnsi="Times New Roman"/>
          <w:sz w:val="22"/>
          <w:szCs w:val="22"/>
          <w:color w:val="auto"/>
        </w:rPr>
        <w:t xml:space="preserve"> P</w:t>
      </w:r>
      <w:r>
        <w:rPr>
          <w:rFonts w:ascii="Times New Roman" w:cs="Times New Roman" w:eastAsia="Times New Roman" w:hAnsi="Times New Roman"/>
          <w:sz w:val="14"/>
          <w:szCs w:val="14"/>
          <w:color w:val="auto"/>
        </w:rPr>
        <w:t>age to</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G</w:t>
      </w:r>
      <w:r>
        <w:rPr>
          <w:rFonts w:ascii="Times New Roman" w:cs="Times New Roman" w:eastAsia="Times New Roman" w:hAnsi="Times New Roman"/>
          <w:sz w:val="14"/>
          <w:szCs w:val="14"/>
          <w:color w:val="auto"/>
        </w:rPr>
        <w:t>rant</w:t>
      </w:r>
      <w:r>
        <w:rPr>
          <w:rFonts w:ascii="Times New Roman" w:cs="Times New Roman" w:eastAsia="Times New Roman" w:hAnsi="Times New Roman"/>
          <w:sz w:val="22"/>
          <w:szCs w:val="22"/>
          <w:color w:val="auto"/>
        </w:rPr>
        <w:t xml:space="preserve"> N</w:t>
      </w:r>
      <w:r>
        <w:rPr>
          <w:rFonts w:ascii="Times New Roman" w:cs="Times New Roman" w:eastAsia="Times New Roman" w:hAnsi="Times New Roman"/>
          <w:sz w:val="14"/>
          <w:szCs w:val="14"/>
          <w:color w:val="auto"/>
        </w:rPr>
        <w:t>otice for</w:t>
      </w:r>
    </w:p>
    <w:p>
      <w:pPr>
        <w:jc w:val="center"/>
        <w:spacing w:after="0"/>
        <w:rPr>
          <w:sz w:val="20"/>
          <w:szCs w:val="20"/>
          <w:color w:val="auto"/>
        </w:rPr>
      </w:pPr>
      <w:r>
        <w:rPr>
          <w:rFonts w:ascii="Times New Roman" w:cs="Times New Roman" w:eastAsia="Times New Roman" w:hAnsi="Times New Roman"/>
          <w:sz w:val="22"/>
          <w:szCs w:val="22"/>
          <w:color w:val="auto"/>
        </w:rPr>
        <w:t>P</w:t>
      </w:r>
      <w:r>
        <w:rPr>
          <w:rFonts w:ascii="Times New Roman" w:cs="Times New Roman" w:eastAsia="Times New Roman" w:hAnsi="Times New Roman"/>
          <w:sz w:val="14"/>
          <w:szCs w:val="14"/>
          <w:color w:val="auto"/>
        </w:rPr>
        <w:t>erformance</w:t>
      </w:r>
      <w:r>
        <w:rPr>
          <w:rFonts w:ascii="Times New Roman" w:cs="Times New Roman" w:eastAsia="Times New Roman" w:hAnsi="Times New Roman"/>
          <w:sz w:val="22"/>
          <w:szCs w:val="22"/>
          <w:color w:val="auto"/>
        </w:rPr>
        <w:t xml:space="preserve"> S</w:t>
      </w:r>
      <w:r>
        <w:rPr>
          <w:rFonts w:ascii="Times New Roman" w:cs="Times New Roman" w:eastAsia="Times New Roman" w:hAnsi="Times New Roman"/>
          <w:sz w:val="14"/>
          <w:szCs w:val="14"/>
          <w:color w:val="auto"/>
        </w:rPr>
        <w:t>tock</w:t>
      </w:r>
      <w:r>
        <w:rPr>
          <w:rFonts w:ascii="Times New Roman" w:cs="Times New Roman" w:eastAsia="Times New Roman" w:hAnsi="Times New Roman"/>
          <w:sz w:val="22"/>
          <w:szCs w:val="22"/>
          <w:color w:val="auto"/>
        </w:rPr>
        <w:t xml:space="preserve"> U</w:t>
      </w:r>
      <w:r>
        <w:rPr>
          <w:rFonts w:ascii="Times New Roman" w:cs="Times New Roman" w:eastAsia="Times New Roman" w:hAnsi="Times New Roman"/>
          <w:sz w:val="14"/>
          <w:szCs w:val="14"/>
          <w:color w:val="auto"/>
        </w:rPr>
        <w:t>nit</w:t>
      </w:r>
      <w:r>
        <w:rPr>
          <w:rFonts w:ascii="Times New Roman" w:cs="Times New Roman" w:eastAsia="Times New Roman" w:hAnsi="Times New Roman"/>
          <w:sz w:val="22"/>
          <w:szCs w:val="22"/>
          <w:color w:val="auto"/>
        </w:rPr>
        <w:t xml:space="preserve"> A</w:t>
      </w:r>
      <w:r>
        <w:rPr>
          <w:rFonts w:ascii="Times New Roman" w:cs="Times New Roman" w:eastAsia="Times New Roman" w:hAnsi="Times New Roman"/>
          <w:sz w:val="14"/>
          <w:szCs w:val="14"/>
          <w:color w:val="auto"/>
        </w:rPr>
        <w:t>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462915</wp:posOffset>
            </wp:positionV>
            <wp:extent cx="7157720" cy="425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8" w:name="page109"/>
    <w:bookmarkEnd w:id="108"/>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EXHIBIT A</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PETCO HEALTH AND WELLNESS COMPANY, INC.</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2021 EQUITY INCENTIVE PLAN</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STANDARD TERMS AND CONDITIONS FOR</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PERFORMANCE STOCK UNITS</w:t>
      </w:r>
    </w:p>
    <w:p>
      <w:pPr>
        <w:spacing w:after="0" w:line="22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1"/>
          <w:szCs w:val="21"/>
          <w:color w:val="auto"/>
        </w:rPr>
        <w:t>These Standard Terms and Conditions apply to the Award of performance stock units granted pursuant to the Petco Health and Wellness Company, Inc. 2021 Equity Incentive Plan (the “</w:t>
      </w:r>
      <w:r>
        <w:rPr>
          <w:rFonts w:ascii="Times New Roman" w:cs="Times New Roman" w:eastAsia="Times New Roman" w:hAnsi="Times New Roman"/>
          <w:sz w:val="21"/>
          <w:szCs w:val="21"/>
          <w:b w:val="1"/>
          <w:bCs w:val="1"/>
          <w:i w:val="1"/>
          <w:iCs w:val="1"/>
          <w:color w:val="auto"/>
        </w:rPr>
        <w:t>Plan</w:t>
      </w:r>
      <w:r>
        <w:rPr>
          <w:rFonts w:ascii="Times New Roman" w:cs="Times New Roman" w:eastAsia="Times New Roman" w:hAnsi="Times New Roman"/>
          <w:sz w:val="21"/>
          <w:szCs w:val="21"/>
          <w:color w:val="auto"/>
        </w:rPr>
        <w:t>”), which are evidenced by a Grant Notice or an action of the Committee that specifically refers to these Standard Terms and Conditions. In addition to these Standard Terms and Conditions, the performance stock units shall be subject to the terms of the Plan, which are incorporated into these Standard Terms and Conditions by this reference. Capitalized terms not otherwise defined herein shall have the meaning set forth in the Plan.</w:t>
      </w:r>
    </w:p>
    <w:p>
      <w:pPr>
        <w:spacing w:after="0" w:line="164" w:lineRule="exact"/>
        <w:rPr>
          <w:sz w:val="20"/>
          <w:szCs w:val="20"/>
          <w:color w:val="auto"/>
        </w:rPr>
      </w:pPr>
    </w:p>
    <w:p>
      <w:pPr>
        <w:ind w:left="760" w:hanging="752"/>
        <w:spacing w:after="0"/>
        <w:tabs>
          <w:tab w:leader="none" w:pos="760" w:val="left"/>
        </w:tabs>
        <w:numPr>
          <w:ilvl w:val="0"/>
          <w:numId w:val="3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TERMS OF PERFORMANCE STOCK UNITS</w:t>
      </w:r>
    </w:p>
    <w:p>
      <w:pPr>
        <w:spacing w:after="0" w:line="12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Petco Health and Wellness Company, Inc.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has granted to the Participant named in the Grant Notice provided to said Participant herewith (the “</w:t>
      </w:r>
      <w:r>
        <w:rPr>
          <w:rFonts w:ascii="Times New Roman" w:cs="Times New Roman" w:eastAsia="Times New Roman" w:hAnsi="Times New Roman"/>
          <w:sz w:val="22"/>
          <w:szCs w:val="22"/>
          <w:b w:val="1"/>
          <w:bCs w:val="1"/>
          <w:i w:val="1"/>
          <w:iCs w:val="1"/>
          <w:color w:val="auto"/>
        </w:rPr>
        <w:t>Grant Notice</w:t>
      </w:r>
      <w:r>
        <w:rPr>
          <w:rFonts w:ascii="Times New Roman" w:cs="Times New Roman" w:eastAsia="Times New Roman" w:hAnsi="Times New Roman"/>
          <w:sz w:val="22"/>
          <w:szCs w:val="22"/>
          <w:color w:val="auto"/>
        </w:rPr>
        <w:t>”) an award of performance stock units (the “</w:t>
      </w:r>
      <w:r>
        <w:rPr>
          <w:rFonts w:ascii="Times New Roman" w:cs="Times New Roman" w:eastAsia="Times New Roman" w:hAnsi="Times New Roman"/>
          <w:sz w:val="22"/>
          <w:szCs w:val="22"/>
          <w:b w:val="1"/>
          <w:bCs w:val="1"/>
          <w:i w:val="1"/>
          <w:iCs w:val="1"/>
          <w:color w:val="auto"/>
        </w:rPr>
        <w:t>Award</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i w:val="1"/>
          <w:iCs w:val="1"/>
          <w:color w:val="auto"/>
        </w:rPr>
        <w:t>PSUs</w:t>
      </w:r>
      <w:r>
        <w:rPr>
          <w:rFonts w:ascii="Times New Roman" w:cs="Times New Roman" w:eastAsia="Times New Roman" w:hAnsi="Times New Roman"/>
          <w:sz w:val="22"/>
          <w:szCs w:val="22"/>
          <w:color w:val="auto"/>
        </w:rPr>
        <w:t>”) specified in the Grant Notice, with each Earned PSU representing the right to receive one share of Common Stock. The Award is subject to the conditions set forth in the Grant Notice, these Standard Terms and Conditions and the Plan. For purposes of these Standard Terms and Conditions and the Grant Notice, any reference to the Company shall include a reference to any Subsidiary.</w:t>
      </w:r>
    </w:p>
    <w:p>
      <w:pPr>
        <w:spacing w:after="0" w:line="173" w:lineRule="exact"/>
        <w:rPr>
          <w:sz w:val="20"/>
          <w:szCs w:val="20"/>
          <w:color w:val="auto"/>
        </w:rPr>
      </w:pPr>
    </w:p>
    <w:p>
      <w:pPr>
        <w:ind w:left="760" w:hanging="752"/>
        <w:spacing w:after="0"/>
        <w:tabs>
          <w:tab w:leader="none" w:pos="760" w:val="left"/>
        </w:tabs>
        <w:numPr>
          <w:ilvl w:val="0"/>
          <w:numId w:val="3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VESTING AND SETTLEMENT OF PERFORMANCE STOCK UNITS</w:t>
      </w:r>
    </w:p>
    <w:p>
      <w:pPr>
        <w:spacing w:after="0" w:line="115" w:lineRule="exact"/>
        <w:rPr>
          <w:rFonts w:ascii="Times New Roman" w:cs="Times New Roman" w:eastAsia="Times New Roman" w:hAnsi="Times New Roman"/>
          <w:sz w:val="22"/>
          <w:szCs w:val="22"/>
          <w:b w:val="1"/>
          <w:bCs w:val="1"/>
          <w:color w:val="auto"/>
        </w:rPr>
      </w:pPr>
    </w:p>
    <w:p>
      <w:pPr>
        <w:jc w:val="both"/>
        <w:ind w:firstLine="757"/>
        <w:spacing w:after="0" w:line="239" w:lineRule="auto"/>
        <w:tabs>
          <w:tab w:leader="none" w:pos="1018" w:val="left"/>
        </w:tabs>
        <w:numPr>
          <w:ilvl w:val="1"/>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Award shall not be vested as of the Grant Date set forth in the Grant Notice and shall be forfeitable unless and until otherwise vested pursuant to the terms of the Grant Notice and these Standard Terms and Conditions. After the Grant Date, subject to termination or acceleration as provided in these Standard Terms and Conditions and the Plan, the Award shall become vested and earned as described in the Grant Notice with respect to the Target PSUs as set forth in the Grant Notice.</w:t>
      </w:r>
    </w:p>
    <w:p>
      <w:pPr>
        <w:spacing w:after="0" w:line="180"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 xml:space="preserve">(b)As soon as administratively practicable following the date a PSU becomes an Earned PSU pursuant to the Grant Notice and this </w:t>
      </w:r>
      <w:r>
        <w:rPr>
          <w:rFonts w:ascii="Times New Roman" w:cs="Times New Roman" w:eastAsia="Times New Roman" w:hAnsi="Times New Roman"/>
          <w:sz w:val="22"/>
          <w:szCs w:val="22"/>
          <w:u w:val="single" w:color="auto"/>
          <w:color w:val="auto"/>
        </w:rPr>
        <w:t>Section 2</w:t>
      </w:r>
      <w:r>
        <w:rPr>
          <w:rFonts w:ascii="Times New Roman" w:cs="Times New Roman" w:eastAsia="Times New Roman" w:hAnsi="Times New Roman"/>
          <w:sz w:val="22"/>
          <w:szCs w:val="22"/>
          <w:color w:val="auto"/>
        </w:rPr>
        <w:t xml:space="preserve">, but in no event later than two and one-half months following the Vesting Date (or, if earlier, the date on which a Termination of Employment described in </w:t>
      </w:r>
      <w:r>
        <w:rPr>
          <w:rFonts w:ascii="Times New Roman" w:cs="Times New Roman" w:eastAsia="Times New Roman" w:hAnsi="Times New Roman"/>
          <w:sz w:val="22"/>
          <w:szCs w:val="22"/>
          <w:u w:val="single" w:color="auto"/>
          <w:color w:val="auto"/>
        </w:rPr>
        <w:t>Section 2(c)</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2(f)</w:t>
      </w:r>
      <w:r>
        <w:rPr>
          <w:rFonts w:ascii="Times New Roman" w:cs="Times New Roman" w:eastAsia="Times New Roman" w:hAnsi="Times New Roman"/>
          <w:sz w:val="22"/>
          <w:szCs w:val="22"/>
          <w:color w:val="auto"/>
        </w:rPr>
        <w:t xml:space="preserve"> occurs), the Company shall deliver to the Participant a number of shares of Common Stock equal to the number of Earned PSUs ; provided, however, that to the extent insufficient shares of Common Stock are available for issuance under the Plan and the number of Earned PSUs is in excess of the number of Target PSUs, as soon as administratively practicable following the date a PSU becomes an Earned PSU pursuant to the Grant Notice and this </w:t>
      </w:r>
      <w:r>
        <w:rPr>
          <w:rFonts w:ascii="Times New Roman" w:cs="Times New Roman" w:eastAsia="Times New Roman" w:hAnsi="Times New Roman"/>
          <w:sz w:val="22"/>
          <w:szCs w:val="22"/>
          <w:u w:val="single" w:color="auto"/>
          <w:color w:val="auto"/>
        </w:rPr>
        <w:t>Section 2</w:t>
      </w:r>
      <w:r>
        <w:rPr>
          <w:rFonts w:ascii="Times New Roman" w:cs="Times New Roman" w:eastAsia="Times New Roman" w:hAnsi="Times New Roman"/>
          <w:sz w:val="22"/>
          <w:szCs w:val="22"/>
          <w:color w:val="auto"/>
        </w:rPr>
        <w:t xml:space="preserve">, but in no event later than two and one-half months following the Vesting Date (or, if earlier, the date on which a Termination of Employment described in </w:t>
      </w:r>
      <w:r>
        <w:rPr>
          <w:rFonts w:ascii="Times New Roman" w:cs="Times New Roman" w:eastAsia="Times New Roman" w:hAnsi="Times New Roman"/>
          <w:sz w:val="22"/>
          <w:szCs w:val="22"/>
          <w:u w:val="single" w:color="auto"/>
          <w:color w:val="auto"/>
        </w:rPr>
        <w:t>Section 2(c)</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2(f)</w:t>
      </w:r>
      <w:r>
        <w:rPr>
          <w:rFonts w:ascii="Times New Roman" w:cs="Times New Roman" w:eastAsia="Times New Roman" w:hAnsi="Times New Roman"/>
          <w:sz w:val="22"/>
          <w:szCs w:val="22"/>
          <w:color w:val="auto"/>
        </w:rPr>
        <w:t xml:space="preserve"> occurs), the Company shall deliver to the Participant (i) a number of shares of Common Stock equal to the number of Target PSUs and (ii) a lump sum cash payment equal to (A) the Fair</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w:t>
      </w:r>
      <w:r>
        <w:rPr>
          <w:rFonts w:ascii="Times New Roman" w:cs="Times New Roman" w:eastAsia="Times New Roman" w:hAnsi="Times New Roman"/>
          <w:sz w:val="14"/>
          <w:szCs w:val="14"/>
          <w:color w:val="auto"/>
        </w:rPr>
        <w:t>xhibit</w:t>
      </w:r>
      <w:r>
        <w:rPr>
          <w:rFonts w:ascii="Times New Roman" w:cs="Times New Roman" w:eastAsia="Times New Roman" w:hAnsi="Times New Roman"/>
          <w:sz w:val="22"/>
          <w:szCs w:val="22"/>
          <w:color w:val="auto"/>
        </w:rPr>
        <w:t xml:space="preserve"> A</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w:t>
      </w:r>
      <w:r>
        <w:rPr>
          <w:rFonts w:ascii="Times New Roman" w:cs="Times New Roman" w:eastAsia="Times New Roman" w:hAnsi="Times New Roman"/>
          <w:sz w:val="14"/>
          <w:szCs w:val="14"/>
          <w:color w:val="auto"/>
        </w:rPr>
        <w:t>tandard</w:t>
      </w:r>
      <w:r>
        <w:rPr>
          <w:rFonts w:ascii="Times New Roman" w:cs="Times New Roman" w:eastAsia="Times New Roman" w:hAnsi="Times New Roman"/>
          <w:sz w:val="22"/>
          <w:szCs w:val="22"/>
          <w:color w:val="auto"/>
        </w:rPr>
        <w:t xml:space="preserve"> T</w:t>
      </w:r>
      <w:r>
        <w:rPr>
          <w:rFonts w:ascii="Times New Roman" w:cs="Times New Roman" w:eastAsia="Times New Roman" w:hAnsi="Times New Roman"/>
          <w:sz w:val="14"/>
          <w:szCs w:val="14"/>
          <w:color w:val="auto"/>
        </w:rPr>
        <w:t>erms and</w:t>
      </w:r>
      <w:r>
        <w:rPr>
          <w:rFonts w:ascii="Times New Roman" w:cs="Times New Roman" w:eastAsia="Times New Roman" w:hAnsi="Times New Roman"/>
          <w:sz w:val="22"/>
          <w:szCs w:val="22"/>
          <w:color w:val="auto"/>
        </w:rPr>
        <w:t xml:space="preserve"> C</w:t>
      </w:r>
      <w:r>
        <w:rPr>
          <w:rFonts w:ascii="Times New Roman" w:cs="Times New Roman" w:eastAsia="Times New Roman" w:hAnsi="Times New Roman"/>
          <w:sz w:val="14"/>
          <w:szCs w:val="14"/>
          <w:color w:val="auto"/>
        </w:rPr>
        <w:t>onditions for</w:t>
      </w:r>
    </w:p>
    <w:p>
      <w:pPr>
        <w:jc w:val="center"/>
        <w:spacing w:after="0"/>
        <w:rPr>
          <w:sz w:val="20"/>
          <w:szCs w:val="20"/>
          <w:color w:val="auto"/>
        </w:rPr>
      </w:pPr>
      <w:r>
        <w:rPr>
          <w:rFonts w:ascii="Times New Roman" w:cs="Times New Roman" w:eastAsia="Times New Roman" w:hAnsi="Times New Roman"/>
          <w:sz w:val="22"/>
          <w:szCs w:val="22"/>
          <w:color w:val="auto"/>
        </w:rPr>
        <w:t>P</w:t>
      </w:r>
      <w:r>
        <w:rPr>
          <w:rFonts w:ascii="Times New Roman" w:cs="Times New Roman" w:eastAsia="Times New Roman" w:hAnsi="Times New Roman"/>
          <w:sz w:val="14"/>
          <w:szCs w:val="14"/>
          <w:color w:val="auto"/>
        </w:rPr>
        <w:t>erformance</w:t>
      </w:r>
      <w:r>
        <w:rPr>
          <w:rFonts w:ascii="Times New Roman" w:cs="Times New Roman" w:eastAsia="Times New Roman" w:hAnsi="Times New Roman"/>
          <w:sz w:val="22"/>
          <w:szCs w:val="22"/>
          <w:color w:val="auto"/>
        </w:rPr>
        <w:t xml:space="preserve"> S</w:t>
      </w:r>
      <w:r>
        <w:rPr>
          <w:rFonts w:ascii="Times New Roman" w:cs="Times New Roman" w:eastAsia="Times New Roman" w:hAnsi="Times New Roman"/>
          <w:sz w:val="14"/>
          <w:szCs w:val="14"/>
          <w:color w:val="auto"/>
        </w:rPr>
        <w:t>tock</w:t>
      </w:r>
      <w:r>
        <w:rPr>
          <w:rFonts w:ascii="Times New Roman" w:cs="Times New Roman" w:eastAsia="Times New Roman" w:hAnsi="Times New Roman"/>
          <w:sz w:val="22"/>
          <w:szCs w:val="22"/>
          <w:color w:val="auto"/>
        </w:rPr>
        <w:t xml:space="preserve"> U</w:t>
      </w:r>
      <w:r>
        <w:rPr>
          <w:rFonts w:ascii="Times New Roman" w:cs="Times New Roman" w:eastAsia="Times New Roman" w:hAnsi="Times New Roman"/>
          <w:sz w:val="14"/>
          <w:szCs w:val="14"/>
          <w:color w:val="auto"/>
        </w:rPr>
        <w:t>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462915</wp:posOffset>
            </wp:positionV>
            <wp:extent cx="7157720" cy="425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09" w:name="page110"/>
    <w:bookmarkEnd w:id="109"/>
    <w:p>
      <w:pPr>
        <w:ind w:right="20"/>
        <w:spacing w:after="0" w:line="258" w:lineRule="auto"/>
        <w:rPr>
          <w:sz w:val="20"/>
          <w:szCs w:val="20"/>
          <w:color w:val="auto"/>
        </w:rPr>
      </w:pPr>
      <w:r>
        <w:rPr>
          <w:rFonts w:ascii="Times New Roman" w:cs="Times New Roman" w:eastAsia="Times New Roman" w:hAnsi="Times New Roman"/>
          <w:sz w:val="22"/>
          <w:szCs w:val="22"/>
          <w:color w:val="auto"/>
        </w:rPr>
        <w:t xml:space="preserve">Market Value of a share of Common Stock on the Vesting Date (or, if earlier, the date on which a Termination of Employment described in </w:t>
      </w:r>
      <w:r>
        <w:rPr>
          <w:rFonts w:ascii="Times New Roman" w:cs="Times New Roman" w:eastAsia="Times New Roman" w:hAnsi="Times New Roman"/>
          <w:sz w:val="22"/>
          <w:szCs w:val="22"/>
          <w:u w:val="single" w:color="auto"/>
          <w:color w:val="auto"/>
        </w:rPr>
        <w:t>Section 2(c)</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2(f)</w:t>
      </w:r>
      <w:r>
        <w:rPr>
          <w:rFonts w:ascii="Times New Roman" w:cs="Times New Roman" w:eastAsia="Times New Roman" w:hAnsi="Times New Roman"/>
          <w:sz w:val="22"/>
          <w:szCs w:val="22"/>
          <w:color w:val="auto"/>
        </w:rPr>
        <w:t xml:space="preserve"> occurs), </w:t>
      </w:r>
      <w:r>
        <w:rPr>
          <w:rFonts w:ascii="Times New Roman" w:cs="Times New Roman" w:eastAsia="Times New Roman" w:hAnsi="Times New Roman"/>
          <w:sz w:val="22"/>
          <w:szCs w:val="22"/>
          <w:i w:val="1"/>
          <w:iCs w:val="1"/>
          <w:color w:val="auto"/>
        </w:rPr>
        <w:t>multiplied by</w:t>
      </w:r>
      <w:r>
        <w:rPr>
          <w:rFonts w:ascii="Times New Roman" w:cs="Times New Roman" w:eastAsia="Times New Roman" w:hAnsi="Times New Roman"/>
          <w:sz w:val="22"/>
          <w:szCs w:val="22"/>
          <w:color w:val="auto"/>
        </w:rPr>
        <w:t xml:space="preserve"> (B) the number of Earned PSUs that exceed the Target PSUs.</w:t>
      </w:r>
    </w:p>
    <w:p>
      <w:pPr>
        <w:spacing w:after="0" w:line="158" w:lineRule="exact"/>
        <w:rPr>
          <w:sz w:val="20"/>
          <w:szCs w:val="20"/>
          <w:color w:val="auto"/>
        </w:rPr>
      </w:pPr>
    </w:p>
    <w:p>
      <w:pPr>
        <w:jc w:val="both"/>
        <w:ind w:firstLine="757"/>
        <w:spacing w:after="0" w:line="235" w:lineRule="auto"/>
        <w:tabs>
          <w:tab w:leader="none" w:pos="1018"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Participant experiences a Termination of Employment as a result of the Participant’s death or Disability, then, subject to the Participant’s (or the Participant’s personal representative’s) execution and nonrevocation of a general release of claims in a form provided by the Company, (i) if the Termination Date is prior to the end of the Performance Period, the outstanding Target PSUs shall become Earned PSUs effective as of the date of such Termination of Employment and (ii) if the Termination Date is after the end of the Performance Period, then the outstanding Target PSUs will remain outstanding and eligible to become Earned PSUs based on achievement of the Performance Goals and settlement of such Earned PSUs shall not be accelerated.</w:t>
      </w:r>
    </w:p>
    <w:p>
      <w:pPr>
        <w:spacing w:after="0" w:line="183"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(d)If the Participant experiences a Termination of Employment as a result of the Participant’s Retirement (as defined below), then, subject to the Participant’s execution and nonrevocation of a general release of claims in a form provided by the Company, the Pro-Rata Portion of the Target PSUs shall remain outstanding and eligible to become Earned PSUs based on achievement of the Performance Goals and settlement of such Earned PSUs shall not be accelerated.</w:t>
      </w:r>
    </w:p>
    <w:p>
      <w:pPr>
        <w:spacing w:after="0" w:line="180" w:lineRule="exact"/>
        <w:rPr>
          <w:sz w:val="20"/>
          <w:szCs w:val="20"/>
          <w:color w:val="auto"/>
        </w:rPr>
      </w:pPr>
    </w:p>
    <w:p>
      <w:pPr>
        <w:jc w:val="both"/>
        <w:ind w:firstLine="757"/>
        <w:spacing w:after="0" w:line="238" w:lineRule="auto"/>
        <w:tabs>
          <w:tab w:leader="none" w:pos="1018"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the consummation of a Change in Control prior to the end of the Performance Period, the Performance Goal shall be measured over a truncated Performance Period ending on the date of the Change in Control and the Target PSUs that become earned based on achievement of such Performance Goal shall vest and become Earned PSUs on the third anniversary of the Grant Date, subject to the Participant’s continued employment by or service to the Company or its Subsidiaries through such date.</w:t>
      </w:r>
    </w:p>
    <w:p>
      <w:pPr>
        <w:spacing w:after="0" w:line="176" w:lineRule="exact"/>
        <w:rPr>
          <w:rFonts w:ascii="Times New Roman" w:cs="Times New Roman" w:eastAsia="Times New Roman" w:hAnsi="Times New Roman"/>
          <w:sz w:val="22"/>
          <w:szCs w:val="22"/>
          <w:color w:val="auto"/>
        </w:rPr>
      </w:pPr>
    </w:p>
    <w:p>
      <w:pPr>
        <w:jc w:val="both"/>
        <w:ind w:firstLine="757"/>
        <w:spacing w:after="0" w:line="255" w:lineRule="auto"/>
        <w:tabs>
          <w:tab w:leader="none" w:pos="1018" w:val="left"/>
        </w:tabs>
        <w:numPr>
          <w:ilvl w:val="0"/>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Notwithstanding </w:t>
      </w:r>
      <w:r>
        <w:rPr>
          <w:rFonts w:ascii="Times New Roman" w:cs="Times New Roman" w:eastAsia="Times New Roman" w:hAnsi="Times New Roman"/>
          <w:sz w:val="21"/>
          <w:szCs w:val="21"/>
          <w:u w:val="single" w:color="auto"/>
          <w:color w:val="auto"/>
        </w:rPr>
        <w:t>Section 2(e)</w:t>
      </w:r>
      <w:r>
        <w:rPr>
          <w:rFonts w:ascii="Times New Roman" w:cs="Times New Roman" w:eastAsia="Times New Roman" w:hAnsi="Times New Roman"/>
          <w:sz w:val="21"/>
          <w:szCs w:val="21"/>
          <w:color w:val="auto"/>
        </w:rPr>
        <w:t xml:space="preserve"> above, if the Participant experiences a Termination of Employment as a result of an Involuntary Termination (as defined below) at any time following a Change in Control, then subject to the Participant’s execution and nonrevocation of a general release of claims in a form provided by the Company, any Target PSUs that remain outstanding shall become Earned PSUs in accordance with </w:t>
      </w:r>
      <w:r>
        <w:rPr>
          <w:rFonts w:ascii="Times New Roman" w:cs="Times New Roman" w:eastAsia="Times New Roman" w:hAnsi="Times New Roman"/>
          <w:sz w:val="21"/>
          <w:szCs w:val="21"/>
          <w:u w:val="single" w:color="auto"/>
          <w:color w:val="auto"/>
        </w:rPr>
        <w:t>Section 2(e)</w:t>
      </w:r>
      <w:r>
        <w:rPr>
          <w:rFonts w:ascii="Times New Roman" w:cs="Times New Roman" w:eastAsia="Times New Roman" w:hAnsi="Times New Roman"/>
          <w:sz w:val="21"/>
          <w:szCs w:val="21"/>
          <w:color w:val="auto"/>
        </w:rPr>
        <w:t xml:space="preserve"> effective as of the date of such Termination of Employment.</w:t>
      </w:r>
    </w:p>
    <w:p>
      <w:pPr>
        <w:spacing w:after="0" w:line="162"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 xml:space="preserve">(g)If the Participant’s Termination of Employment is as a result of an Involuntary Termination at any time prior to a Change in Control and during the second year of the Performance Period, subject to the Participant’s execution and nonrevocation of a general release of claims in a form provided by the Company, (i) the Pro-Rata Portion of the Target PSUs shall remain outstanding and eligible to become Earned PSUs based on achievement of the Performance Goals and settlement of such Earned PSUs shall not be accelerated, and (ii) in the event of a Change in Control following such termination, such Pro-Rata Portion of the Target PSUs that remain outstanding will be treated in accordance with </w:t>
      </w:r>
      <w:r>
        <w:rPr>
          <w:rFonts w:ascii="Times New Roman" w:cs="Times New Roman" w:eastAsia="Times New Roman" w:hAnsi="Times New Roman"/>
          <w:sz w:val="22"/>
          <w:szCs w:val="22"/>
          <w:u w:val="single" w:color="auto"/>
          <w:color w:val="auto"/>
        </w:rPr>
        <w:t>Section 2(e)</w:t>
      </w:r>
      <w:r>
        <w:rPr>
          <w:rFonts w:ascii="Times New Roman" w:cs="Times New Roman" w:eastAsia="Times New Roman" w:hAnsi="Times New Roman"/>
          <w:sz w:val="22"/>
          <w:szCs w:val="22"/>
          <w:color w:val="auto"/>
        </w:rPr>
        <w:t xml:space="preserve"> above and be settled on the third anniversary of the Grant Date (or as soon as administratively practicable thereafter, but in no event later than two and one-half months following such date).</w:t>
      </w:r>
    </w:p>
    <w:p>
      <w:pPr>
        <w:spacing w:after="0" w:line="17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(h)If the Participant’s Termination of Employment is as a result of an Involuntary</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10" w:name="page111"/>
    <w:bookmarkEnd w:id="110"/>
    <w:p>
      <w:pPr>
        <w:jc w:val="both"/>
        <w:spacing w:after="0" w:line="235" w:lineRule="auto"/>
        <w:rPr>
          <w:sz w:val="20"/>
          <w:szCs w:val="20"/>
          <w:color w:val="auto"/>
        </w:rPr>
      </w:pPr>
      <w:r>
        <w:rPr>
          <w:rFonts w:ascii="Times New Roman" w:cs="Times New Roman" w:eastAsia="Times New Roman" w:hAnsi="Times New Roman"/>
          <w:sz w:val="22"/>
          <w:szCs w:val="22"/>
          <w:color w:val="auto"/>
        </w:rPr>
        <w:t xml:space="preserve">Termination at any time prior to a Change in Control and during the third year of the Performance Period, subject to the Participant’s execution and nonrevocation of a general release of claims in a form provided by the Company, (i) the Target PSUs shall remain outstanding and eligible to become Earned PSUs based on achievement of the Performance Goals and settlement of such Earned PSUs shall not be accelerated, and (ii) in the event of a Change in Control following such termination, such Target PSUs that remain outstanding will be treated in accordance with </w:t>
      </w:r>
      <w:r>
        <w:rPr>
          <w:rFonts w:ascii="Times New Roman" w:cs="Times New Roman" w:eastAsia="Times New Roman" w:hAnsi="Times New Roman"/>
          <w:sz w:val="22"/>
          <w:szCs w:val="22"/>
          <w:u w:val="single" w:color="auto"/>
          <w:color w:val="auto"/>
        </w:rPr>
        <w:t>Section 2(e)</w:t>
      </w:r>
      <w:r>
        <w:rPr>
          <w:rFonts w:ascii="Times New Roman" w:cs="Times New Roman" w:eastAsia="Times New Roman" w:hAnsi="Times New Roman"/>
          <w:sz w:val="22"/>
          <w:szCs w:val="22"/>
          <w:color w:val="auto"/>
        </w:rPr>
        <w:t xml:space="preserve"> above and be settled on the third anniversary of the Grant Date (or as soon as administratively practicable thereafter, but in no event later than two and one-half months following such date).</w:t>
      </w:r>
    </w:p>
    <w:p>
      <w:pPr>
        <w:spacing w:after="0" w:line="183" w:lineRule="exact"/>
        <w:rPr>
          <w:sz w:val="20"/>
          <w:szCs w:val="20"/>
          <w:color w:val="auto"/>
        </w:rPr>
      </w:pPr>
    </w:p>
    <w:p>
      <w:pPr>
        <w:ind w:firstLine="757"/>
        <w:spacing w:after="0" w:line="258" w:lineRule="auto"/>
        <w:tabs>
          <w:tab w:leader="none" w:pos="1018" w:val="left"/>
        </w:tabs>
        <w:numPr>
          <w:ilvl w:val="1"/>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Upon the Participant’s Termination of Employment for any other reason not set forth in </w:t>
      </w:r>
      <w:r>
        <w:rPr>
          <w:rFonts w:ascii="Times New Roman" w:cs="Times New Roman" w:eastAsia="Times New Roman" w:hAnsi="Times New Roman"/>
          <w:sz w:val="22"/>
          <w:szCs w:val="22"/>
          <w:u w:val="single" w:color="auto"/>
          <w:color w:val="auto"/>
        </w:rPr>
        <w:t>Section 2(c)</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2(f)</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2(g)</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2(h)</w:t>
      </w:r>
      <w:r>
        <w:rPr>
          <w:rFonts w:ascii="Times New Roman" w:cs="Times New Roman" w:eastAsia="Times New Roman" w:hAnsi="Times New Roman"/>
          <w:sz w:val="22"/>
          <w:szCs w:val="22"/>
          <w:color w:val="auto"/>
        </w:rPr>
        <w:t>, any PSUs that have not become Earned PSUs shall be forfeited and canceled as of the Termination Date.</w:t>
      </w:r>
    </w:p>
    <w:p>
      <w:pPr>
        <w:spacing w:after="0" w:line="158" w:lineRule="exact"/>
        <w:rPr>
          <w:rFonts w:ascii="Times New Roman" w:cs="Times New Roman" w:eastAsia="Times New Roman" w:hAnsi="Times New Roman"/>
          <w:sz w:val="22"/>
          <w:szCs w:val="22"/>
          <w:color w:val="auto"/>
        </w:rPr>
      </w:pPr>
    </w:p>
    <w:p>
      <w:pPr>
        <w:ind w:left="1020" w:hanging="263"/>
        <w:spacing w:after="0"/>
        <w:tabs>
          <w:tab w:leader="none" w:pos="1020" w:val="left"/>
        </w:tabs>
        <w:numPr>
          <w:ilvl w:val="1"/>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As used in this </w:t>
      </w:r>
      <w:r>
        <w:rPr>
          <w:rFonts w:ascii="Times New Roman" w:cs="Times New Roman" w:eastAsia="Times New Roman" w:hAnsi="Times New Roman"/>
          <w:sz w:val="22"/>
          <w:szCs w:val="22"/>
          <w:u w:val="single" w:color="auto"/>
          <w:color w:val="auto"/>
        </w:rPr>
        <w:t>Section 2</w:t>
      </w:r>
      <w:r>
        <w:rPr>
          <w:rFonts w:ascii="Times New Roman" w:cs="Times New Roman" w:eastAsia="Times New Roman" w:hAnsi="Times New Roman"/>
          <w:sz w:val="22"/>
          <w:szCs w:val="22"/>
          <w:color w:val="auto"/>
        </w:rPr>
        <w:t>:</w:t>
      </w:r>
    </w:p>
    <w:p>
      <w:pPr>
        <w:spacing w:after="0" w:line="200" w:lineRule="exact"/>
        <w:rPr>
          <w:rFonts w:ascii="Times New Roman" w:cs="Times New Roman" w:eastAsia="Times New Roman" w:hAnsi="Times New Roman"/>
          <w:sz w:val="22"/>
          <w:szCs w:val="22"/>
          <w:color w:val="auto"/>
        </w:rPr>
      </w:pPr>
    </w:p>
    <w:p>
      <w:pPr>
        <w:jc w:val="both"/>
        <w:ind w:firstLine="1505"/>
        <w:spacing w:after="0" w:line="234" w:lineRule="auto"/>
        <w:tabs>
          <w:tab w:leader="none" w:pos="2036" w:val="left"/>
        </w:tabs>
        <w:numPr>
          <w:ilvl w:val="2"/>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Good Reason</w:t>
      </w:r>
      <w:r>
        <w:rPr>
          <w:rFonts w:ascii="Times New Roman" w:cs="Times New Roman" w:eastAsia="Times New Roman" w:hAnsi="Times New Roman"/>
          <w:sz w:val="22"/>
          <w:szCs w:val="22"/>
          <w:color w:val="auto"/>
        </w:rPr>
        <w:t>” has the meaning set forth in the written employment, offer, services or severance agreement or letter between the Participant and the Company or an Affiliate, or if there is no such agreement or no such term is defined in such agreement, means, without the Participant’s consent: (A) a material diminution in the Participant’s authority, duties or responsibilities with the Company or an Affiliate; (B) a material diminution in the Participant’s base salary; (C) a relocation of the Participant’s principal place of employment by more than 50 miles; or (D) a material breach by the Company of any of its obligations under these Standard Terms and Conditions. Notwithstanding the foregoing, any assertion by the Participant of a termination for Good Reason shall not be effective unless (1) the Participant provides written notice to the Company of the existence of one or more of the foregoing conditions within 30 days after the initial occurrence of such condition(s); (2) the condition(s) specified in such notice must remain uncorrected for 30 days following the Company’s receipt of such written notice; and (3) the date of the termination of the Participant’s employment must occur within 90 days after the initial occurrence of the condition(s) specified in such notice.</w:t>
      </w:r>
    </w:p>
    <w:p>
      <w:pPr>
        <w:spacing w:after="0" w:line="175" w:lineRule="exact"/>
        <w:rPr>
          <w:rFonts w:ascii="Times New Roman" w:cs="Times New Roman" w:eastAsia="Times New Roman" w:hAnsi="Times New Roman"/>
          <w:sz w:val="22"/>
          <w:szCs w:val="22"/>
          <w:color w:val="auto"/>
        </w:rPr>
      </w:pPr>
    </w:p>
    <w:p>
      <w:pPr>
        <w:ind w:right="20" w:firstLine="1505"/>
        <w:spacing w:after="0" w:line="264" w:lineRule="auto"/>
        <w:tabs>
          <w:tab w:leader="none" w:pos="2036" w:val="left"/>
        </w:tabs>
        <w:numPr>
          <w:ilvl w:val="2"/>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Involuntary Termination</w:t>
      </w:r>
      <w:r>
        <w:rPr>
          <w:rFonts w:ascii="Times New Roman" w:cs="Times New Roman" w:eastAsia="Times New Roman" w:hAnsi="Times New Roman"/>
          <w:sz w:val="22"/>
          <w:szCs w:val="22"/>
          <w:color w:val="auto"/>
        </w:rPr>
        <w:t>” means a Termination of Employment by the Company without Cause (and not as a result of death or Disability) or by the Participant for Good Reason.</w:t>
      </w:r>
    </w:p>
    <w:p>
      <w:pPr>
        <w:spacing w:after="0" w:line="145" w:lineRule="exact"/>
        <w:rPr>
          <w:rFonts w:ascii="Times New Roman" w:cs="Times New Roman" w:eastAsia="Times New Roman" w:hAnsi="Times New Roman"/>
          <w:sz w:val="22"/>
          <w:szCs w:val="22"/>
          <w:color w:val="auto"/>
        </w:rPr>
      </w:pPr>
    </w:p>
    <w:p>
      <w:pPr>
        <w:jc w:val="both"/>
        <w:ind w:firstLine="1505"/>
        <w:spacing w:after="0" w:line="247" w:lineRule="auto"/>
        <w:tabs>
          <w:tab w:leader="none" w:pos="2036" w:val="left"/>
        </w:tabs>
        <w:numPr>
          <w:ilvl w:val="2"/>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Pro-Rata Portion</w:t>
      </w:r>
      <w:r>
        <w:rPr>
          <w:rFonts w:ascii="Times New Roman" w:cs="Times New Roman" w:eastAsia="Times New Roman" w:hAnsi="Times New Roman"/>
          <w:sz w:val="22"/>
          <w:szCs w:val="22"/>
          <w:color w:val="auto"/>
        </w:rPr>
        <w:t xml:space="preserve">” means (A) the Target PSUs, </w:t>
      </w:r>
      <w:r>
        <w:rPr>
          <w:rFonts w:ascii="Times New Roman" w:cs="Times New Roman" w:eastAsia="Times New Roman" w:hAnsi="Times New Roman"/>
          <w:sz w:val="22"/>
          <w:szCs w:val="22"/>
          <w:i w:val="1"/>
          <w:iCs w:val="1"/>
          <w:color w:val="auto"/>
        </w:rPr>
        <w:t>multiplied by</w:t>
      </w:r>
      <w:r>
        <w:rPr>
          <w:rFonts w:ascii="Times New Roman" w:cs="Times New Roman" w:eastAsia="Times New Roman" w:hAnsi="Times New Roman"/>
          <w:sz w:val="22"/>
          <w:szCs w:val="22"/>
          <w:color w:val="auto"/>
        </w:rPr>
        <w:t xml:space="preserve"> (B) a fraction, the numerator of which is the number of days between the start of the Performance Period and the Termination Date and the denominator of which is the number of days in the Performance Period.</w:t>
      </w:r>
    </w:p>
    <w:p>
      <w:pPr>
        <w:spacing w:after="0" w:line="163" w:lineRule="exact"/>
        <w:rPr>
          <w:rFonts w:ascii="Times New Roman" w:cs="Times New Roman" w:eastAsia="Times New Roman" w:hAnsi="Times New Roman"/>
          <w:sz w:val="22"/>
          <w:szCs w:val="22"/>
          <w:color w:val="auto"/>
        </w:rPr>
      </w:pPr>
    </w:p>
    <w:p>
      <w:pPr>
        <w:ind w:firstLine="1505"/>
        <w:spacing w:after="0" w:line="264" w:lineRule="auto"/>
        <w:tabs>
          <w:tab w:leader="none" w:pos="2036" w:val="left"/>
        </w:tabs>
        <w:numPr>
          <w:ilvl w:val="2"/>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Retirement</w:t>
      </w:r>
      <w:r>
        <w:rPr>
          <w:rFonts w:ascii="Times New Roman" w:cs="Times New Roman" w:eastAsia="Times New Roman" w:hAnsi="Times New Roman"/>
          <w:sz w:val="22"/>
          <w:szCs w:val="22"/>
          <w:color w:val="auto"/>
        </w:rPr>
        <w:t>” means a Termination of Employment by the Participant upon achieving (A) 55 or more years of age and (B) five or more consecutive years of service with the Company and its Affiliates.</w:t>
      </w:r>
    </w:p>
    <w:p>
      <w:pPr>
        <w:spacing w:after="0" w:line="145"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2"/>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Termination Date</w:t>
      </w:r>
      <w:r>
        <w:rPr>
          <w:rFonts w:ascii="Times New Roman" w:cs="Times New Roman" w:eastAsia="Times New Roman" w:hAnsi="Times New Roman"/>
          <w:sz w:val="22"/>
          <w:szCs w:val="22"/>
          <w:color w:val="auto"/>
        </w:rPr>
        <w:t>” means the date of the Participant’s Termination of Employment.</w:t>
      </w:r>
    </w:p>
    <w:p>
      <w:pPr>
        <w:spacing w:after="0" w:line="208" w:lineRule="exact"/>
        <w:rPr>
          <w:rFonts w:ascii="Times New Roman" w:cs="Times New Roman" w:eastAsia="Times New Roman" w:hAnsi="Times New Roman"/>
          <w:sz w:val="22"/>
          <w:szCs w:val="22"/>
          <w:color w:val="auto"/>
        </w:rPr>
      </w:pPr>
    </w:p>
    <w:p>
      <w:pPr>
        <w:ind w:left="760" w:hanging="752"/>
        <w:spacing w:after="0"/>
        <w:tabs>
          <w:tab w:leader="none" w:pos="760" w:val="left"/>
        </w:tabs>
        <w:numPr>
          <w:ilvl w:val="0"/>
          <w:numId w:val="4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RIGHTS AS STOCKHOLDER; DIVIDEND EQUIVALENTS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11" w:name="page112"/>
    <w:bookmarkEnd w:id="111"/>
    <w:p>
      <w:pPr>
        <w:spacing w:after="0" w:line="104" w:lineRule="exact"/>
        <w:rPr>
          <w:sz w:val="20"/>
          <w:szCs w:val="20"/>
          <w:color w:val="auto"/>
        </w:rPr>
      </w:pPr>
    </w:p>
    <w:p>
      <w:pPr>
        <w:jc w:val="both"/>
        <w:ind w:firstLine="757"/>
        <w:spacing w:after="0" w:line="244" w:lineRule="auto"/>
        <w:tabs>
          <w:tab w:leader="none" w:pos="1018"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Participant shall not be, nor have any of the rights or privileges of, a stockholder of the Company in respect of any PSUs unless and until shares of Common Stock settled for Earned PSUs shall have been issued by the Company to Participant (as evidenced by the appropriate entry on the books of the Company or of a duly authorized transfer agent of the Company).</w:t>
      </w:r>
    </w:p>
    <w:p>
      <w:pPr>
        <w:spacing w:after="0" w:line="173"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1"/>
          <w:szCs w:val="21"/>
          <w:color w:val="auto"/>
        </w:rPr>
        <w:t>(b)Notwithstanding the foregoing, from and after the Grant Date and until the earlier of (i) the Participant’s receipt of Common Stock upon payment of Earned PSUs and (ii) the time when the Participant’s right to receive Common Stock upon payment of PSUs is forfeited, on the date that the Company pays a cash dividend (if any) to holders of Common Stock generally, the Participant shall be entitled, as a Dividend Equivalent, to a number of additional whole Target PSUs determined by dividing</w:t>
      </w:r>
    </w:p>
    <w:p>
      <w:pPr>
        <w:spacing w:after="0" w:line="2" w:lineRule="exact"/>
        <w:rPr>
          <w:sz w:val="20"/>
          <w:szCs w:val="20"/>
          <w:color w:val="auto"/>
        </w:rPr>
      </w:pPr>
    </w:p>
    <w:p>
      <w:pPr>
        <w:jc w:val="both"/>
        <w:ind w:firstLine="8"/>
        <w:spacing w:after="0" w:line="230" w:lineRule="auto"/>
        <w:tabs>
          <w:tab w:leader="none" w:pos="280"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product of (A) the dollar amount of the cash dividend paid per share of Common Stock on such date and (B) the total number of Target PSUs (including dividend equivalents paid thereon) previously credited to the Participant as of such date, by</w:t>
      </w:r>
    </w:p>
    <w:p>
      <w:pPr>
        <w:spacing w:after="0" w:line="1" w:lineRule="exact"/>
        <w:rPr>
          <w:rFonts w:ascii="Times New Roman" w:cs="Times New Roman" w:eastAsia="Times New Roman" w:hAnsi="Times New Roman"/>
          <w:sz w:val="22"/>
          <w:szCs w:val="22"/>
          <w:color w:val="auto"/>
        </w:rPr>
      </w:pPr>
    </w:p>
    <w:p>
      <w:pPr>
        <w:jc w:val="both"/>
        <w:ind w:firstLine="8"/>
        <w:spacing w:after="0" w:line="235" w:lineRule="auto"/>
        <w:tabs>
          <w:tab w:leader="none" w:pos="331"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Fair Market Value per share of Common Stock on such date. Such Dividend Equivalents (if any) shall be subject to the same terms and conditions and shall be settled or forfeited in the same manner and at the same time as the Target PSUs to which the Dividend Equivalents were credited.</w:t>
      </w:r>
    </w:p>
    <w:p>
      <w:pPr>
        <w:spacing w:after="0" w:line="174" w:lineRule="exact"/>
        <w:rPr>
          <w:sz w:val="20"/>
          <w:szCs w:val="20"/>
          <w:color w:val="auto"/>
        </w:rPr>
      </w:pPr>
    </w:p>
    <w:p>
      <w:pPr>
        <w:ind w:left="760" w:hanging="752"/>
        <w:spacing w:after="0"/>
        <w:tabs>
          <w:tab w:leader="none" w:pos="760" w:val="left"/>
        </w:tabs>
        <w:numPr>
          <w:ilvl w:val="0"/>
          <w:numId w:val="4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RESTRICTIONS ON RESALES OF SHARES</w:t>
      </w:r>
    </w:p>
    <w:p>
      <w:pPr>
        <w:spacing w:after="0" w:line="11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Company may impose such restrictions, conditions or limitations as it determines appropriate as to the timing and manner of any resales by the Participant or other subsequent transfers by the Participant of any shares of Common Stock issued pursuant to Earned PSUs, including (a) restrictions under an insider trading policy, (b) restrictions designed to delay and/or coordinate the timing and manner of sales by Participant and other holders and (c) restrictions as to the use of a specified brokerage firm for such resales or other transfers.</w:t>
      </w:r>
    </w:p>
    <w:p>
      <w:pPr>
        <w:spacing w:after="0" w:line="173" w:lineRule="exact"/>
        <w:rPr>
          <w:sz w:val="20"/>
          <w:szCs w:val="20"/>
          <w:color w:val="auto"/>
        </w:rPr>
      </w:pPr>
    </w:p>
    <w:p>
      <w:pPr>
        <w:ind w:left="760" w:hanging="752"/>
        <w:spacing w:after="0"/>
        <w:tabs>
          <w:tab w:leader="none" w:pos="760" w:val="left"/>
        </w:tabs>
        <w:numPr>
          <w:ilvl w:val="0"/>
          <w:numId w:val="4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INCOME TAXES</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1"/>
          <w:szCs w:val="21"/>
          <w:color w:val="auto"/>
        </w:rPr>
        <w:t>To the extent required by applicable federal, state, local or foreign law, the Participant shall make arrangements satisfactory to the Company for the satisfaction of any withholding tax obligations that arise by reason of the grant or vesting of the PSUs. The Company shall not be required to issue shares or to recognize the disposition of such shares until such obligations are satisfied.</w:t>
      </w:r>
    </w:p>
    <w:p>
      <w:pPr>
        <w:spacing w:after="0" w:line="153" w:lineRule="exact"/>
        <w:rPr>
          <w:sz w:val="20"/>
          <w:szCs w:val="20"/>
          <w:color w:val="auto"/>
        </w:rPr>
      </w:pPr>
    </w:p>
    <w:p>
      <w:pPr>
        <w:ind w:left="760" w:hanging="752"/>
        <w:spacing w:after="0"/>
        <w:tabs>
          <w:tab w:leader="none" w:pos="760" w:val="left"/>
        </w:tabs>
        <w:numPr>
          <w:ilvl w:val="0"/>
          <w:numId w:val="4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NONTRANSFERABILITY­ OF AWARD</w:t>
      </w:r>
    </w:p>
    <w:p>
      <w:pPr>
        <w:spacing w:after="0" w:line="116"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The Participant understands, acknowledges and agrees that, except as otherwise provided in the Plan or as permitted by the Committee, the Award may not be sold, assigned, transferred, pledged or otherwise directly or indirectly encumbered or disposed of other than by will or the laws of descent and distribution. Notwithstanding the foregoing, (a) the Participant shall be permitted to transfer the Award as a gift to an Assignee Entity in accordance with and subject to the limits of Section 17 of the Plan and (b) if not previously so transferred, any shares of Common Stock that become issuable hereunder but which otherwise remain unissued at the time of the Participant’s death shall be transferred to the Participant’s designated beneficiary or, if none, to the Participant’s estate.</w:t>
      </w:r>
    </w:p>
    <w:p>
      <w:pPr>
        <w:spacing w:after="0" w:line="179" w:lineRule="exact"/>
        <w:rPr>
          <w:sz w:val="20"/>
          <w:szCs w:val="20"/>
          <w:color w:val="auto"/>
        </w:rPr>
      </w:pPr>
    </w:p>
    <w:p>
      <w:pPr>
        <w:ind w:left="760" w:hanging="752"/>
        <w:spacing w:after="0"/>
        <w:tabs>
          <w:tab w:leader="none" w:pos="760" w:val="left"/>
        </w:tabs>
        <w:numPr>
          <w:ilvl w:val="0"/>
          <w:numId w:val="4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OTHER AGREEMENTS SUPERSEDED</w:t>
      </w:r>
    </w:p>
    <w:p>
      <w:pPr>
        <w:spacing w:after="0" w:line="1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The Grant Notice, these Standard Terms and Conditions, the Confidentiality and Inventions Agreement and the Plan constitute the entire understanding between the Participant and the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2" w:name="page113"/>
    <w:bookmarkEnd w:id="112"/>
    <w:p>
      <w:pPr>
        <w:spacing w:after="0" w:line="10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Company regarding the Award. Any prior agreements, commitments or negotiations concerning the Award are superseded; provided, however, that the terms of the Confidentiality and Inventions Agreement are in addition to and complement (and do not replace or supersede) all other agreements and obligations between the Company and any of its affiliates and the Participant with respect to confidentiality and intellectual property.</w:t>
      </w:r>
    </w:p>
    <w:p>
      <w:pPr>
        <w:spacing w:after="0" w:line="176" w:lineRule="exact"/>
        <w:rPr>
          <w:sz w:val="20"/>
          <w:szCs w:val="20"/>
          <w:color w:val="auto"/>
        </w:rPr>
      </w:pPr>
    </w:p>
    <w:p>
      <w:pPr>
        <w:ind w:left="760" w:hanging="752"/>
        <w:spacing w:after="0"/>
        <w:tabs>
          <w:tab w:leader="none" w:pos="760" w:val="left"/>
        </w:tabs>
        <w:numPr>
          <w:ilvl w:val="0"/>
          <w:numId w:val="5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LIMITATION OF INTEREST IN SHARES SUBJECT TO PERFORMANCE STOCK UNITS</w:t>
      </w:r>
    </w:p>
    <w:p>
      <w:pPr>
        <w:spacing w:after="0" w:line="116"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Neither the Participant (individually or as a member of a group) nor any beneficiary or other person claiming under or through the Participant shall have any right, title, interest, or privilege in or to any shares of Common Stock allocated or reserved for the purpose of the Plan or subject to the Grant Notice or these Standard Terms and Conditions except as to such shares of Common Stock, if any, as shall have been issued to such person in connection with the Award. Nothing in the Plan, in the Grant Notice, these Standard Terms and Conditions or any other instrument executed pursuant to the Plan shall confer upon the Participant any right to continue in the Company’s employ or service nor limit in any way the Company’s right to terminate the Participant’s employment at any time for any reason.</w:t>
      </w:r>
    </w:p>
    <w:p>
      <w:pPr>
        <w:spacing w:after="0" w:line="179" w:lineRule="exact"/>
        <w:rPr>
          <w:sz w:val="20"/>
          <w:szCs w:val="20"/>
          <w:color w:val="auto"/>
        </w:rPr>
      </w:pPr>
    </w:p>
    <w:p>
      <w:pPr>
        <w:ind w:left="760" w:hanging="752"/>
        <w:spacing w:after="0"/>
        <w:tabs>
          <w:tab w:leader="none" w:pos="760" w:val="left"/>
        </w:tabs>
        <w:numPr>
          <w:ilvl w:val="0"/>
          <w:numId w:val="5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GENERAL</w:t>
      </w:r>
    </w:p>
    <w:p>
      <w:pPr>
        <w:spacing w:after="0" w:line="129" w:lineRule="exact"/>
        <w:rPr>
          <w:rFonts w:ascii="Times New Roman" w:cs="Times New Roman" w:eastAsia="Times New Roman" w:hAnsi="Times New Roman"/>
          <w:sz w:val="22"/>
          <w:szCs w:val="22"/>
          <w:b w:val="1"/>
          <w:bCs w:val="1"/>
          <w:color w:val="auto"/>
        </w:rPr>
      </w:pPr>
    </w:p>
    <w:p>
      <w:pPr>
        <w:jc w:val="both"/>
        <w:ind w:firstLine="757"/>
        <w:spacing w:after="0" w:line="255" w:lineRule="auto"/>
        <w:tabs>
          <w:tab w:leader="none" w:pos="1018" w:val="left"/>
        </w:tabs>
        <w:numPr>
          <w:ilvl w:val="1"/>
          <w:numId w:val="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event that any provision of these Standard Terms and Conditions is declared to be illegal, invalid or otherwise unenforceable by a court of competent jurisdiction, such provision shall be reformed, if possible, to the extent necessary to render it legal, valid and enforceable, or otherwise deleted, and the remainder of these Standard Terms and Conditions shall not be affected except to the extent necessary to reform or delete such illegal, invalid or unenforceable provision.</w:t>
      </w:r>
    </w:p>
    <w:p>
      <w:pPr>
        <w:spacing w:after="0" w:line="162"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color w:val="auto"/>
        </w:rPr>
        <w:t>(b)The headings preceding the text of the sections hereof are inserted solely for convenience of reference, and shall not constitute a part of these Standard Terms and Conditions, nor shall they affect its meaning, construction or effect. Words in the masculine gender shall include the feminine gender, and where appropriate, the plural shall include the singular and the singular shall include the plural. The use herein of the word “including” following any general statement, term or matter shall not be construed to limit such statement, term or matter to the specific items or matters set forth immediately following such word or to similar items or matters, whether or not non-limiting language (such as “without limitation”, “but not limited to”, or words of similar import) is used with reference thereto, but rather shall be deemed to refer to all other items or matters that could reasonably fall within the broadest possible scope of such general statement, term or matter. References herein to any agreement, instrument or other document means such agreement, instrument or other document as amended, supplemented and modified from time to time to the extent permitted by the provisions thereof and not prohibited by the Plan or these Standard Terms and Conditions.</w:t>
      </w:r>
    </w:p>
    <w:p>
      <w:pPr>
        <w:spacing w:after="0" w:line="187" w:lineRule="exact"/>
        <w:rPr>
          <w:sz w:val="20"/>
          <w:szCs w:val="20"/>
          <w:color w:val="auto"/>
        </w:rPr>
      </w:pPr>
    </w:p>
    <w:p>
      <w:pPr>
        <w:ind w:right="20" w:firstLine="757"/>
        <w:spacing w:after="0" w:line="258" w:lineRule="auto"/>
        <w:tabs>
          <w:tab w:leader="none" w:pos="1018"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These Standard Terms and Conditions shall inure to the benefit of and be binding upon the parties hereto and their respective permitted heirs, beneficiaries, successors and assigns.</w:t>
      </w:r>
    </w:p>
    <w:p>
      <w:pPr>
        <w:spacing w:after="0" w:line="158"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22"/>
          <w:szCs w:val="22"/>
          <w:color w:val="auto"/>
        </w:rPr>
        <w:t>(d)These Standard Terms and Conditions shall be construed in accordance with and governed by the laws of the State of Delaware, without regard to principles of conflicts of law.</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3" w:name="page114"/>
    <w:bookmarkEnd w:id="113"/>
    <w:p>
      <w:pPr>
        <w:spacing w:after="0" w:line="104" w:lineRule="exact"/>
        <w:rPr>
          <w:sz w:val="20"/>
          <w:szCs w:val="20"/>
          <w:color w:val="auto"/>
        </w:rPr>
      </w:pPr>
    </w:p>
    <w:p>
      <w:pPr>
        <w:jc w:val="both"/>
        <w:ind w:firstLine="757"/>
        <w:spacing w:after="0" w:line="244" w:lineRule="auto"/>
        <w:tabs>
          <w:tab w:leader="none" w:pos="1018"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of any conflict between the Grant Notice, these Standard Terms and Conditions and the Plan, the Grant Notice and these Standard Terms and Conditions shall control. In the event of any conflict between the Grant Notice and these Standard Terms and Conditions, the Grant Notice shall control.</w:t>
      </w:r>
    </w:p>
    <w:p>
      <w:pPr>
        <w:spacing w:after="0" w:line="173" w:lineRule="exact"/>
        <w:rPr>
          <w:rFonts w:ascii="Times New Roman" w:cs="Times New Roman" w:eastAsia="Times New Roman" w:hAnsi="Times New Roman"/>
          <w:sz w:val="22"/>
          <w:szCs w:val="22"/>
          <w:color w:val="auto"/>
        </w:rPr>
      </w:pPr>
    </w:p>
    <w:p>
      <w:pPr>
        <w:ind w:firstLine="757"/>
        <w:spacing w:after="0" w:line="258" w:lineRule="auto"/>
        <w:tabs>
          <w:tab w:leader="none" w:pos="1018"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questions arising under the Plan or under these Standard Terms and Conditions shall be decided by the Committee in its total and absolute discretion.</w:t>
      </w:r>
    </w:p>
    <w:p>
      <w:pPr>
        <w:spacing w:after="0" w:line="154" w:lineRule="exact"/>
        <w:rPr>
          <w:sz w:val="20"/>
          <w:szCs w:val="20"/>
          <w:color w:val="auto"/>
        </w:rPr>
      </w:pPr>
    </w:p>
    <w:p>
      <w:pPr>
        <w:ind w:left="760" w:hanging="752"/>
        <w:spacing w:after="0"/>
        <w:tabs>
          <w:tab w:leader="none" w:pos="760" w:val="left"/>
        </w:tabs>
        <w:numPr>
          <w:ilvl w:val="0"/>
          <w:numId w:val="5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CLAWBACK</w:t>
      </w:r>
    </w:p>
    <w:p>
      <w:pPr>
        <w:spacing w:after="0" w:line="11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1"/>
          <w:szCs w:val="21"/>
          <w:color w:val="auto"/>
        </w:rPr>
        <w:t>The PSUs and any shares of Common Stock issued pursuant to the Earned PSUs are subject to recoupment in accordance with any recoupment policy that the Company may adopt from time to time, to the extent any such policy is applicable to the Participant and to such compensation, including the Petco Health and Wellness Company, Inc. Clawback Policy (as amended from time to time), designed to comply with the requirements of Rule 10D-1 promulgated under the Act, as well as any recoupment provisions required under applicable law. For purposes of the foregoing, the Participant expressly and explicitly authorizes (x) the Company to issue instructions, on the Participant’s behalf, to any brokerage firm and/or third party administrator engaged by the Company to hold shares of Common Stock and other amounts acquired under the Award or the Plan to re-convey, transfer or otherwise return such shares and/or other amounts to the Company and (y) the Company’s recovery of any covered compensation through any method of recovery that the Company deems appropriate, including by reducing any amount that is or may become payable to the Participant. The Participant further agrees to comply with any request or demand for repayment by any affiliate of the Company in order to comply with such policies or applicable law. To the extent that the Standard Terms and Conditions and any Company recoupment policy conflict, the terms of the recoupment policy shall prevail.</w:t>
      </w:r>
    </w:p>
    <w:p>
      <w:pPr>
        <w:spacing w:after="0" w:line="170" w:lineRule="exact"/>
        <w:rPr>
          <w:sz w:val="20"/>
          <w:szCs w:val="20"/>
          <w:color w:val="auto"/>
        </w:rPr>
      </w:pPr>
    </w:p>
    <w:p>
      <w:pPr>
        <w:ind w:left="760" w:hanging="752"/>
        <w:spacing w:after="0"/>
        <w:tabs>
          <w:tab w:leader="none" w:pos="760" w:val="left"/>
        </w:tabs>
        <w:numPr>
          <w:ilvl w:val="0"/>
          <w:numId w:val="5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ELECTRONIC DELIVERY</w:t>
      </w:r>
    </w:p>
    <w:p>
      <w:pPr>
        <w:spacing w:after="0" w:line="12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By executing the Grant Notice, the Participant hereby consents to the delivery of information (including, without limitation, information required to be delivered to the Participant pursuant to applicable securities laws) regarding the Company and the Subsidiaries, the Plan, and the PSUs via Company web site or other electronic delivery.</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4" w:name="page115"/>
    <w:bookmarkEnd w:id="114"/>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EXHIBIT B</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CONFIDENTIALITY AND INVENTIONS AGREEMENT</w:t>
      </w:r>
    </w:p>
    <w:p>
      <w:pPr>
        <w:spacing w:after="0" w:line="21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As a condition to the receipt of the Award granted pursuant to the Grant Notice to which this Confidentiality and Inventions Agreement is attached and in consideration of the Participant’s continued employment with the Company, the Participant hereby confirms the Participant’s agreement as follows:</w:t>
      </w:r>
    </w:p>
    <w:p>
      <w:pPr>
        <w:spacing w:after="0" w:line="169" w:lineRule="exact"/>
        <w:rPr>
          <w:sz w:val="20"/>
          <w:szCs w:val="20"/>
          <w:color w:val="auto"/>
        </w:rPr>
      </w:pPr>
    </w:p>
    <w:p>
      <w:pPr>
        <w:ind w:left="520" w:hanging="512"/>
        <w:spacing w:after="0"/>
        <w:tabs>
          <w:tab w:leader="none" w:pos="520" w:val="left"/>
        </w:tabs>
        <w:numPr>
          <w:ilvl w:val="0"/>
          <w:numId w:val="5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GENERAL</w:t>
      </w:r>
    </w:p>
    <w:p>
      <w:pPr>
        <w:spacing w:after="0" w:line="210"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1"/>
          <w:szCs w:val="21"/>
          <w:color w:val="auto"/>
        </w:rPr>
        <w:t>The Participant’s employment by the Company is in a capacity in which he or she may have access to, or contribute to the production of, Confidential Information and the Company Work Product (both as defined below). The Participant’s employment creates a relationship of confidence and trust between the Company and the Participant with respect to the Confidential Information and the Company Work Product as set forth herein. This Confidentiality and Inventions Agreement are subject to the terms of the Standard Terms and Conditions attached as Exhibit A to the Grant Notice to which this Confidentiality and Inventions Agreement is attached; provided however, that in the event of any conflict between the Standard Terms and Conditions and this Confidentiality and Inventions Agreement, this Confidentiality and Inventions Agreement shall control.</w:t>
      </w:r>
    </w:p>
    <w:p>
      <w:pPr>
        <w:spacing w:after="0" w:line="166" w:lineRule="exact"/>
        <w:rPr>
          <w:sz w:val="20"/>
          <w:szCs w:val="20"/>
          <w:color w:val="auto"/>
        </w:rPr>
      </w:pPr>
    </w:p>
    <w:p>
      <w:pPr>
        <w:ind w:left="520" w:hanging="512"/>
        <w:spacing w:after="0"/>
        <w:tabs>
          <w:tab w:leader="none" w:pos="520" w:val="left"/>
        </w:tabs>
        <w:numPr>
          <w:ilvl w:val="0"/>
          <w:numId w:val="5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DEFINITIONS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Capitalized terms not otherwise defined herein shall have the meaning set forth in the Petco Health and Wellness Company, Inc.</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2021 Equity Incentive Plan, as amended from time to time. For purposes of this Confidentiality and Inventions Agreement:</w:t>
      </w:r>
    </w:p>
    <w:p>
      <w:pPr>
        <w:spacing w:after="0" w:line="95" w:lineRule="exact"/>
        <w:rPr>
          <w:sz w:val="20"/>
          <w:szCs w:val="20"/>
          <w:color w:val="auto"/>
        </w:rPr>
      </w:pPr>
    </w:p>
    <w:p>
      <w:pPr>
        <w:jc w:val="both"/>
        <w:ind w:firstLine="757"/>
        <w:spacing w:after="0" w:line="244" w:lineRule="auto"/>
        <w:tabs>
          <w:tab w:leader="none" w:pos="1018" w:val="left"/>
        </w:tabs>
        <w:numPr>
          <w:ilvl w:val="0"/>
          <w:numId w:val="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Confidential Information</w:t>
      </w:r>
      <w:r>
        <w:rPr>
          <w:rFonts w:ascii="Times New Roman" w:cs="Times New Roman" w:eastAsia="Times New Roman" w:hAnsi="Times New Roman"/>
          <w:sz w:val="21"/>
          <w:szCs w:val="21"/>
          <w:color w:val="auto"/>
        </w:rPr>
        <w:t>” shall mean information or material (i) that is proprietary to the Company or confidential to the Company, whether or not designated or labeled as such, and (ii) that the Participant creates, discovers or develops, or of which the Participant obtains knowledge of or access to, in the course of the Participant’s employment with the Company. Confidential Information may include, but is not limited to, designs, works of authorship, formulae, ideas, concepts, techniques, inventions, devices, improvements, know-how, methods, processes, drawings, specifications, models, data, diagrams, flow charts, research, procedures, computer programs, marketing techniques and materials, business, marketing, development and product plans, financial information, customer lists and contact information, personnel information, and other confidential business or technical information created on behalf of the Company or obtained as a result of or in the course of employment with the Company. For purposes of this Confidentiality and Inventions Agreement, the “</w:t>
      </w:r>
      <w:r>
        <w:rPr>
          <w:rFonts w:ascii="Times New Roman" w:cs="Times New Roman" w:eastAsia="Times New Roman" w:hAnsi="Times New Roman"/>
          <w:sz w:val="21"/>
          <w:szCs w:val="21"/>
          <w:b w:val="1"/>
          <w:bCs w:val="1"/>
          <w:i w:val="1"/>
          <w:iCs w:val="1"/>
          <w:color w:val="auto"/>
        </w:rPr>
        <w:t>Company</w:t>
      </w:r>
      <w:r>
        <w:rPr>
          <w:rFonts w:ascii="Times New Roman" w:cs="Times New Roman" w:eastAsia="Times New Roman" w:hAnsi="Times New Roman"/>
          <w:sz w:val="21"/>
          <w:szCs w:val="21"/>
          <w:color w:val="auto"/>
        </w:rPr>
        <w:t>” shall mean the Company or any of its Affiliates. To the extent that the participant can demonstrate by competent proof that one of the following exceptions applies, the Participant shall have no obligation under this Confidentiality and Inventions Agreement to maintain in confidence any: (I)</w:t>
      </w:r>
    </w:p>
    <w:p>
      <w:pPr>
        <w:spacing w:after="0" w:line="2" w:lineRule="exact"/>
        <w:rPr>
          <w:rFonts w:ascii="Times New Roman" w:cs="Times New Roman" w:eastAsia="Times New Roman" w:hAnsi="Times New Roman"/>
          <w:sz w:val="21"/>
          <w:szCs w:val="21"/>
          <w:color w:val="auto"/>
        </w:rPr>
      </w:pPr>
    </w:p>
    <w:p>
      <w:pPr>
        <w:jc w:val="both"/>
        <w:spacing w:after="0" w:line="233"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INFORMATION THAT IS OR BECOMES GENERALLY PUBLICLY KNOWN OTHER THAN AS A RESULT OF THE PARTICIPANT’S DISCLOSURE IN VIOLATION OF THIS AGREEMENT, (II) INFORMATION THAT WAS KNOWN BY THE PARTICIPANT OR AVAILABLE TO THE PARTICIPANT WITHOUT RESTRICTION PRIOR TO DISCLOSURE TO THE PARTICIPANT BY THE COMPANY, (III) INFORMATION THAT BECOMES AVAILABLE TO THE PARTICIPANT ON A NON-CONFIDENTIAL BASIS FROM A THIRD PARTY</w:t>
      </w: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w:t>
      </w:r>
      <w:r>
        <w:rPr>
          <w:rFonts w:ascii="Times New Roman" w:cs="Times New Roman" w:eastAsia="Times New Roman" w:hAnsi="Times New Roman"/>
          <w:sz w:val="14"/>
          <w:szCs w:val="14"/>
          <w:color w:val="auto"/>
        </w:rPr>
        <w:t>xhibit</w:t>
      </w:r>
      <w:r>
        <w:rPr>
          <w:rFonts w:ascii="Times New Roman" w:cs="Times New Roman" w:eastAsia="Times New Roman" w:hAnsi="Times New Roman"/>
          <w:sz w:val="22"/>
          <w:szCs w:val="22"/>
          <w:color w:val="auto"/>
        </w:rPr>
        <w:t xml:space="preserve"> B</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w:t>
      </w:r>
      <w:r>
        <w:rPr>
          <w:rFonts w:ascii="Times New Roman" w:cs="Times New Roman" w:eastAsia="Times New Roman" w:hAnsi="Times New Roman"/>
          <w:sz w:val="14"/>
          <w:szCs w:val="14"/>
          <w:color w:val="auto"/>
        </w:rPr>
        <w:t>onfidentiality and</w:t>
      </w:r>
      <w:r>
        <w:rPr>
          <w:rFonts w:ascii="Times New Roman" w:cs="Times New Roman" w:eastAsia="Times New Roman" w:hAnsi="Times New Roman"/>
          <w:sz w:val="22"/>
          <w:szCs w:val="22"/>
          <w:color w:val="auto"/>
        </w:rPr>
        <w:t xml:space="preserve"> I</w:t>
      </w:r>
      <w:r>
        <w:rPr>
          <w:rFonts w:ascii="Times New Roman" w:cs="Times New Roman" w:eastAsia="Times New Roman" w:hAnsi="Times New Roman"/>
          <w:sz w:val="14"/>
          <w:szCs w:val="14"/>
          <w:color w:val="auto"/>
        </w:rPr>
        <w:t>nventions</w:t>
      </w:r>
      <w:r>
        <w:rPr>
          <w:rFonts w:ascii="Times New Roman" w:cs="Times New Roman" w:eastAsia="Times New Roman" w:hAnsi="Times New Roman"/>
          <w:sz w:val="22"/>
          <w:szCs w:val="22"/>
          <w:color w:val="auto"/>
        </w:rPr>
        <w:t xml:space="preserve"> A</w:t>
      </w:r>
      <w:r>
        <w:rPr>
          <w:rFonts w:ascii="Times New Roman" w:cs="Times New Roman" w:eastAsia="Times New Roman" w:hAnsi="Times New Roman"/>
          <w:sz w:val="14"/>
          <w:szCs w:val="14"/>
          <w:color w:val="auto"/>
        </w:rPr>
        <w:t>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462915</wp:posOffset>
            </wp:positionV>
            <wp:extent cx="7157720" cy="425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15" w:name="page116"/>
    <w:bookmarkEnd w:id="115"/>
    <w:p>
      <w:pPr>
        <w:spacing w:after="0" w:line="10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THAT IS NOT SUBJECT TO CONFIDENTIALITY OBLIGATIONS IN FAVOR, OR THAT INURE TO THE BENEFIT, OF THE COMPANY, AND (IV) INFORMATION THAT WAS DEVELOPED INDEPENDENTLY BY OR FOR THE PARTICIPANT WITHOUT REFERENCE TO THE CONFIDENTIAL INFORMATION, USE OF COMPANY RESOURCES OR BREACH OF THIS AGREEMENT, INCLUDING, WITHOUT LIMITATION, THE “PRE-EMPLOYMENT WORK PRODUCT” (AS DEFINED BELOW).</w:t>
      </w:r>
    </w:p>
    <w:p>
      <w:pPr>
        <w:spacing w:after="0" w:line="171"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1"/>
          <w:szCs w:val="21"/>
          <w:color w:val="auto"/>
        </w:rPr>
        <w:t>(b)“</w:t>
      </w:r>
      <w:r>
        <w:rPr>
          <w:rFonts w:ascii="Times New Roman" w:cs="Times New Roman" w:eastAsia="Times New Roman" w:hAnsi="Times New Roman"/>
          <w:sz w:val="21"/>
          <w:szCs w:val="21"/>
          <w:b w:val="1"/>
          <w:bCs w:val="1"/>
          <w:i w:val="1"/>
          <w:iCs w:val="1"/>
          <w:color w:val="auto"/>
        </w:rPr>
        <w:t>Work Product</w:t>
      </w:r>
      <w:r>
        <w:rPr>
          <w:rFonts w:ascii="Times New Roman" w:cs="Times New Roman" w:eastAsia="Times New Roman" w:hAnsi="Times New Roman"/>
          <w:sz w:val="21"/>
          <w:szCs w:val="21"/>
          <w:color w:val="auto"/>
        </w:rPr>
        <w:t>” shall mean inventions, data, ideas, designs, drawings, works of authorship, trademarks, service marks, trade names, service names, logos, developments, formulae, concepts, techniques, devices, improvements, know-how, methods, processes, programs and discoveries, whether or not patentable or protectable under applicable copyright or trademark law, or under other similar law, and whether or not reduced to practice or tangible form, together with any improvements thereon or thereto, derivative works therefrom, and intellectual property rights therein created on behalf of the Company as part of the obligation of employment in performing work for the Company or otherwise in the course of employment with the Company.</w:t>
      </w:r>
    </w:p>
    <w:p>
      <w:pPr>
        <w:spacing w:after="0" w:line="167" w:lineRule="exact"/>
        <w:rPr>
          <w:sz w:val="20"/>
          <w:szCs w:val="20"/>
          <w:color w:val="auto"/>
        </w:rPr>
      </w:pPr>
    </w:p>
    <w:p>
      <w:pPr>
        <w:ind w:left="520" w:hanging="512"/>
        <w:spacing w:after="0"/>
        <w:tabs>
          <w:tab w:leader="none" w:pos="520" w:val="left"/>
        </w:tabs>
        <w:numPr>
          <w:ilvl w:val="0"/>
          <w:numId w:val="5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CONFIDENTIALITY</w:t>
      </w:r>
    </w:p>
    <w:p>
      <w:pPr>
        <w:spacing w:after="0" w:line="115" w:lineRule="exact"/>
        <w:rPr>
          <w:rFonts w:ascii="Times New Roman" w:cs="Times New Roman" w:eastAsia="Times New Roman" w:hAnsi="Times New Roman"/>
          <w:sz w:val="22"/>
          <w:szCs w:val="22"/>
          <w:b w:val="1"/>
          <w:bCs w:val="1"/>
          <w:color w:val="auto"/>
        </w:rPr>
      </w:pPr>
    </w:p>
    <w:p>
      <w:pPr>
        <w:jc w:val="both"/>
        <w:ind w:firstLine="757"/>
        <w:spacing w:after="0" w:line="233" w:lineRule="auto"/>
        <w:tabs>
          <w:tab w:leader="none" w:pos="1018" w:val="left"/>
        </w:tabs>
        <w:numPr>
          <w:ilvl w:val="1"/>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the term of the Participant’s employment by the Company and at all times thereafter, the Participant will keep in strict confidence and trust all Confidential Information, and the Participant will not, directly or indirectly, disclose, distribute, sell, transfer, use, lecture upon or publish any Confidential Information, except as may be necessary in the course of performing the Participant’s duties as an employee of the Company or as the Company authorizes or permits. Notwithstanding the foregoing, the Participant shall be entitled to continue to use Confidential Information of the Company transferred to a purchaser (“</w:t>
      </w:r>
      <w:r>
        <w:rPr>
          <w:rFonts w:ascii="Times New Roman" w:cs="Times New Roman" w:eastAsia="Times New Roman" w:hAnsi="Times New Roman"/>
          <w:sz w:val="22"/>
          <w:szCs w:val="22"/>
          <w:b w:val="1"/>
          <w:bCs w:val="1"/>
          <w:i w:val="1"/>
          <w:iCs w:val="1"/>
          <w:color w:val="auto"/>
        </w:rPr>
        <w:t>Purchaser</w:t>
      </w:r>
      <w:r>
        <w:rPr>
          <w:rFonts w:ascii="Times New Roman" w:cs="Times New Roman" w:eastAsia="Times New Roman" w:hAnsi="Times New Roman"/>
          <w:sz w:val="22"/>
          <w:szCs w:val="22"/>
          <w:color w:val="auto"/>
        </w:rPr>
        <w:t>”) of all or substantially all of the assets of a business (“</w:t>
      </w:r>
      <w:r>
        <w:rPr>
          <w:rFonts w:ascii="Times New Roman" w:cs="Times New Roman" w:eastAsia="Times New Roman" w:hAnsi="Times New Roman"/>
          <w:sz w:val="22"/>
          <w:szCs w:val="22"/>
          <w:b w:val="1"/>
          <w:bCs w:val="1"/>
          <w:i w:val="1"/>
          <w:iCs w:val="1"/>
          <w:color w:val="auto"/>
        </w:rPr>
        <w:t>Business</w:t>
      </w:r>
      <w:r>
        <w:rPr>
          <w:rFonts w:ascii="Times New Roman" w:cs="Times New Roman" w:eastAsia="Times New Roman" w:hAnsi="Times New Roman"/>
          <w:sz w:val="22"/>
          <w:szCs w:val="22"/>
          <w:color w:val="auto"/>
        </w:rPr>
        <w:t>”) of Company (an “</w:t>
      </w:r>
      <w:r>
        <w:rPr>
          <w:rFonts w:ascii="Times New Roman" w:cs="Times New Roman" w:eastAsia="Times New Roman" w:hAnsi="Times New Roman"/>
          <w:sz w:val="22"/>
          <w:szCs w:val="22"/>
          <w:b w:val="1"/>
          <w:bCs w:val="1"/>
          <w:i w:val="1"/>
          <w:iCs w:val="1"/>
          <w:color w:val="auto"/>
        </w:rPr>
        <w:t>Acquisition</w:t>
      </w:r>
      <w:r>
        <w:rPr>
          <w:rFonts w:ascii="Times New Roman" w:cs="Times New Roman" w:eastAsia="Times New Roman" w:hAnsi="Times New Roman"/>
          <w:sz w:val="22"/>
          <w:szCs w:val="22"/>
          <w:color w:val="auto"/>
        </w:rPr>
        <w:t>”) solely to the extent that the Participant becomes an employee of such Purchaser or Purchaser’s designated affiliate upon consummation of the Acquisition and such Confidential Information is used in the Business prior to consummation of the Acquisition. The Participant acknowledges and agrees that, upon consummation of the Acquisition, the Confidential Information shall be deemed the Confidential Information of the Purchaser and subject to the Participant’s applicable employment, confidentiality and inventions assignment agreement with such Purchaser.</w:t>
      </w:r>
    </w:p>
    <w:p>
      <w:pPr>
        <w:spacing w:after="0" w:line="187"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(b)The Participant recognizes that the Company has received and in the future will receive information from third parties which is subject to an obligation on the Company’s part to maintain the confidentiality of such information and to use it only for certain limited purposes. The Participant agrees, during the term of the Participant’s employment and thereafter, to hold all such confidential or proprietary information of third parties in the strictest confidence and not to disclose or use it, except as necessary in performing the Participant’s duties as an employee of the Company consistent with the Company’s agreement with such third party. The Participant agrees that such information will be subject to the terms of this Confidentiality and Inventions Agreement as Confidential Information.</w:t>
      </w:r>
    </w:p>
    <w:p>
      <w:pPr>
        <w:spacing w:after="0" w:line="183" w:lineRule="exact"/>
        <w:rPr>
          <w:sz w:val="20"/>
          <w:szCs w:val="20"/>
          <w:color w:val="auto"/>
        </w:rPr>
      </w:pPr>
    </w:p>
    <w:p>
      <w:pPr>
        <w:jc w:val="both"/>
        <w:ind w:firstLine="757"/>
        <w:spacing w:after="0" w:line="261" w:lineRule="auto"/>
        <w:tabs>
          <w:tab w:leader="none" w:pos="1018" w:val="left"/>
        </w:tabs>
        <w:numPr>
          <w:ilvl w:val="0"/>
          <w:numId w:val="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Protected Disclosures</w:t>
      </w:r>
      <w:r>
        <w:rPr>
          <w:rFonts w:ascii="Times New Roman" w:cs="Times New Roman" w:eastAsia="Times New Roman" w:hAnsi="Times New Roman"/>
          <w:sz w:val="21"/>
          <w:szCs w:val="21"/>
          <w:color w:val="auto"/>
        </w:rPr>
        <w:t>. 18 U.S.C. § 1833(b) provides: “An individual shall not be held criminally or civilly liable under any Federal or State trade secret law for the disclosure of a trade secret that—(A) is made—(i) in confidence to a Federal, State, or local government official, either directly or indirectly, or to an attorney; and (ii) solely for the purpose of reporting or</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6" w:name="page117"/>
    <w:bookmarkEnd w:id="116"/>
    <w:p>
      <w:pPr>
        <w:jc w:val="both"/>
        <w:spacing w:after="0" w:line="233" w:lineRule="auto"/>
        <w:rPr>
          <w:sz w:val="20"/>
          <w:szCs w:val="20"/>
          <w:color w:val="auto"/>
        </w:rPr>
      </w:pPr>
      <w:r>
        <w:rPr>
          <w:rFonts w:ascii="Times New Roman" w:cs="Times New Roman" w:eastAsia="Times New Roman" w:hAnsi="Times New Roman"/>
          <w:sz w:val="22"/>
          <w:szCs w:val="22"/>
          <w:color w:val="auto"/>
        </w:rPr>
        <w:t>investigating a suspected violation of law; or (B) is made in a complaint or other document filed in a lawsuit or other proceeding, if such filing is made under seal.” Nothing in this Agreement is intended to conflict with 18 U.S.C. § 1833(b) or create liability for disclosures of trade secrets that are expressly allowed by 18 U.S.C. § 1833(b). Accordingly, the parties to this Agreement have the right to disclose in confidence trade secrets to federal, state, and local government officials, or to an attorney, for the sole purpose of reporting or investigating a suspected violation of law. The parties also have the right to disclose trade secrets in a document filed in a lawsuit or other proceeding, but only if the filing is made under seal and protected from public disclosure. Nothing in this Confidentiality and Inventions Agreement prevents the Participant from discussing or disclosing information about unlawful acts in the workplace, such as harassment or discrimination or any other conduct that the Participant has reason to believe is unlawful. Furthermore, and for the avoidance of doubt, nothing in this Confidentiality and Inventions Agreement limits or restricts the Participant’s ability to communicate with the Securities and Exchange Commission or any other federal, state or local governmental agency or commission (each a “</w:t>
      </w:r>
      <w:r>
        <w:rPr>
          <w:rFonts w:ascii="Times New Roman" w:cs="Times New Roman" w:eastAsia="Times New Roman" w:hAnsi="Times New Roman"/>
          <w:sz w:val="22"/>
          <w:szCs w:val="22"/>
          <w:b w:val="1"/>
          <w:bCs w:val="1"/>
          <w:i w:val="1"/>
          <w:iCs w:val="1"/>
          <w:color w:val="auto"/>
        </w:rPr>
        <w:t>Government Agency</w:t>
      </w:r>
      <w:r>
        <w:rPr>
          <w:rFonts w:ascii="Times New Roman" w:cs="Times New Roman" w:eastAsia="Times New Roman" w:hAnsi="Times New Roman"/>
          <w:sz w:val="22"/>
          <w:szCs w:val="22"/>
          <w:color w:val="auto"/>
        </w:rPr>
        <w:t>”) or otherwise participate in any investigation or proceeding that may be conducted by any Government Agency, including providing documents or other information and reporting possible violations of law or regulation or other disclosures protected under the whistleblower provisions of applicable law or regulation, without notice to the Company.</w:t>
      </w:r>
    </w:p>
    <w:p>
      <w:pPr>
        <w:spacing w:after="0" w:line="176" w:lineRule="exact"/>
        <w:rPr>
          <w:sz w:val="20"/>
          <w:szCs w:val="20"/>
          <w:color w:val="auto"/>
        </w:rPr>
      </w:pPr>
    </w:p>
    <w:p>
      <w:pPr>
        <w:ind w:left="520" w:hanging="512"/>
        <w:spacing w:after="0"/>
        <w:tabs>
          <w:tab w:leader="none" w:pos="520" w:val="left"/>
        </w:tabs>
        <w:numPr>
          <w:ilvl w:val="0"/>
          <w:numId w:val="6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COMPANY PROPERTY</w:t>
      </w:r>
    </w:p>
    <w:p>
      <w:pPr>
        <w:spacing w:after="0" w:line="210"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1"/>
          <w:szCs w:val="21"/>
          <w:color w:val="auto"/>
        </w:rPr>
        <w:t>All apparatus, computers, computer files and media, notes, data, documents, reference materials, sketches, memoranda, records, drawings, engineering log books, equipment, lab/inventor notebooks, programs, prototypes, samples, equipment, tangible embodiments of information, and other physical property, whether or not pertaining to Confidential Information, furnished to the Participant or produced by the Participant or others in connection with the Participant’s employment, shall be and remain the sole property of the Company and any such property actually in the Participant’s possession or control shall be returned promptly to the Company as and when requested in writing by the Company. Should the Company not so request, the Participant shall return and deliver all such property to the Company upon termination of the Participant’s employment. The Participant may not retain any such property or any reproduction of such property upon such termination. The Participant further agrees that any property situated on the Company’s premises and owned, leased, maintained or otherwise contracted for by the Company, including, but not limited to, computers, computer files, e-mail, voicemail, disks and other electronic storage media, filing cabinets, desks or other work areas, are subject to inspection by the Company’s representatives at any time with or without notice.</w:t>
      </w:r>
    </w:p>
    <w:p>
      <w:pPr>
        <w:spacing w:after="0" w:line="173" w:lineRule="exact"/>
        <w:rPr>
          <w:sz w:val="20"/>
          <w:szCs w:val="20"/>
          <w:color w:val="auto"/>
        </w:rPr>
      </w:pPr>
    </w:p>
    <w:p>
      <w:pPr>
        <w:ind w:left="520" w:hanging="512"/>
        <w:spacing w:after="0"/>
        <w:tabs>
          <w:tab w:leader="none" w:pos="520" w:val="left"/>
        </w:tabs>
        <w:numPr>
          <w:ilvl w:val="0"/>
          <w:numId w:val="6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COMPANY WORK PRODUCT</w:t>
      </w:r>
    </w:p>
    <w:p>
      <w:pPr>
        <w:spacing w:after="0" w:line="21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Subject to Section 6 and 7 below, the Participant agrees that any Work Product, in whole or in part, conceived, developed, made or reduced to practice by the Participant (either solely or in conjunction with others) during the term of his or her employment with the Company (collectively, the “</w:t>
      </w:r>
      <w:r>
        <w:rPr>
          <w:rFonts w:ascii="Times New Roman" w:cs="Times New Roman" w:eastAsia="Times New Roman" w:hAnsi="Times New Roman"/>
          <w:sz w:val="22"/>
          <w:szCs w:val="22"/>
          <w:b w:val="1"/>
          <w:bCs w:val="1"/>
          <w:i w:val="1"/>
          <w:iCs w:val="1"/>
          <w:color w:val="auto"/>
        </w:rPr>
        <w:t>Company Work Product</w:t>
      </w:r>
      <w:r>
        <w:rPr>
          <w:rFonts w:ascii="Times New Roman" w:cs="Times New Roman" w:eastAsia="Times New Roman" w:hAnsi="Times New Roman"/>
          <w:sz w:val="22"/>
          <w:szCs w:val="22"/>
          <w:color w:val="auto"/>
        </w:rPr>
        <w:t>”) shall be owned exclusively by the Company (or, to the extent applicable, a Purchaser pursuant to an Acquisition). Without limiting the foregoing, the Participant agrees that any of the Company Work Product shall be deemed to be “works made for hire” as defined in U.S. Copyright Act §101, and all right, title, and interest therein shall vest solely in the Company from conception. The Participant hereby irrevocably assigns and transfers, and agrees</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17" w:name="page118"/>
    <w:bookmarkEnd w:id="117"/>
    <w:p>
      <w:pPr>
        <w:spacing w:after="0" w:line="185"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1"/>
          <w:szCs w:val="21"/>
          <w:color w:val="auto"/>
        </w:rPr>
        <w:t>to assign and transfer in the future on the Company’s request, to the Company all right, title and interest in and to any Company Work Product, including, but not limited to, patents, copyrights and other intellectual property rights therein. The Participant shall treat any such Company Work Product as Confidential Information. The Participant will execute all applications, assignments, instruments and other documents and perform all acts consistent herewith as the Company or its counsel may deem necessary or desirable to obtain, perfect or enforce any patents, copyright registrations or other protections on such Company Work Product and to otherwise protect the interests of the Company therein. The Participant’s obligation to reasonably assist the Company in obtaining and enforcing the intellectual property and other rights in the Company Work Product in any and all jurisdictions shall continue beyond the termination of the Participant’s employment. The Participant acknowledges that the Company may need to secure the Participant’s signature for lawful and necessary documents required to apply for, maintain or enforce intellectual property and other rights with respect to the Company Work Product (including, but not limited to, renewals, extensions, continuations, divisions or continuations in part of patent applications). The Participant hereby irrevocably designates and appoints the Company and its duly authorized officers and agents, as the Participant’s agents and attorneys-in-fact, to act for and on the Participant’s behalf and instead of the Participant, to execute and file any such document(s) and to do all other lawfully permitted acts to further the prosecution, issuance and enforcement of patents, copyright registrations and other protections on the Company Work Product with the same legal force and effect as if executed by the Participant. The Participant further hereby waives and relinquishes any and all moral rights that the Participant may have in the Company Work Product.</w:t>
      </w:r>
    </w:p>
    <w:p>
      <w:pPr>
        <w:spacing w:after="0" w:line="172" w:lineRule="exact"/>
        <w:rPr>
          <w:sz w:val="20"/>
          <w:szCs w:val="20"/>
          <w:color w:val="auto"/>
        </w:rPr>
      </w:pPr>
    </w:p>
    <w:p>
      <w:pPr>
        <w:ind w:left="520" w:hanging="512"/>
        <w:spacing w:after="0"/>
        <w:tabs>
          <w:tab w:leader="none" w:pos="520" w:val="left"/>
        </w:tabs>
        <w:numPr>
          <w:ilvl w:val="0"/>
          <w:numId w:val="6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EXCEPTION TO ASSIGNMENTS</w:t>
      </w:r>
    </w:p>
    <w:p>
      <w:pPr>
        <w:spacing w:after="0" w:line="21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Pursuant to Section 2870 of the California Labor Code, the requirements set forth in Section 5 of this Agreement shall not apply to an invention that the Participant develops entirely on his or her own time without using the Company’s equipment, supplies, facilities, or trade secret information except for those inventions that either: (i) relate at the time of conception or reduction to practice of the invention to the Company’s business, or actual or demonstrably anticipated research or development of the Company; or (ii) result from any work performed by the Participant for the Company.</w:t>
      </w:r>
    </w:p>
    <w:p>
      <w:pPr>
        <w:spacing w:after="0" w:line="173" w:lineRule="exact"/>
        <w:rPr>
          <w:sz w:val="20"/>
          <w:szCs w:val="20"/>
          <w:color w:val="auto"/>
        </w:rPr>
      </w:pPr>
    </w:p>
    <w:p>
      <w:pPr>
        <w:ind w:left="520" w:hanging="512"/>
        <w:spacing w:after="0"/>
        <w:tabs>
          <w:tab w:leader="none" w:pos="520" w:val="left"/>
        </w:tabs>
        <w:numPr>
          <w:ilvl w:val="0"/>
          <w:numId w:val="6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PRE-EMPLOYMENT WORK PRODUCT</w:t>
      </w:r>
    </w:p>
    <w:p>
      <w:pPr>
        <w:spacing w:after="0" w:line="129" w:lineRule="exact"/>
        <w:rPr>
          <w:rFonts w:ascii="Times New Roman" w:cs="Times New Roman" w:eastAsia="Times New Roman" w:hAnsi="Times New Roman"/>
          <w:sz w:val="22"/>
          <w:szCs w:val="22"/>
          <w:b w:val="1"/>
          <w:bCs w:val="1"/>
          <w:color w:val="auto"/>
        </w:rPr>
      </w:pPr>
    </w:p>
    <w:p>
      <w:pPr>
        <w:ind w:left="1020" w:hanging="263"/>
        <w:spacing w:after="0"/>
        <w:tabs>
          <w:tab w:leader="none" w:pos="1020" w:val="left"/>
        </w:tabs>
        <w:numPr>
          <w:ilvl w:val="1"/>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Work Product includes only things done for the Company in performing work for the Company.</w:t>
      </w:r>
    </w:p>
    <w:p>
      <w:pPr>
        <w:spacing w:after="0" w:line="206"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(b)The Participant acknowledges that the Company has a strict policy against using proprietary information belonging to any other person or entity without the express permission of the owner of that information. The Participant represents and warrants that the Participant’s performance of all of the terms of this Confidentiality and Inventions Agreement and as an employee of the Company does not and will not result in a breach of any duty owed by the Participant to a third party to keep in confidence any information, knowledge or data. The Participant has not brought or used, and will not bring to the Company, or use, induce the Company to use, or disclose in the performance of the Participant’s duties, nor has the Participant used or disclosed in the performance of any services for the Company prior to the effective date of the Participant’s employment with the Company (if any), any equipment, supplies, facility, electronic</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8" w:name="page119"/>
    <w:bookmarkEnd w:id="118"/>
    <w:p>
      <w:pPr>
        <w:spacing w:after="0" w:line="258" w:lineRule="auto"/>
        <w:rPr>
          <w:sz w:val="20"/>
          <w:szCs w:val="20"/>
          <w:color w:val="auto"/>
        </w:rPr>
      </w:pPr>
      <w:r>
        <w:rPr>
          <w:rFonts w:ascii="Times New Roman" w:cs="Times New Roman" w:eastAsia="Times New Roman" w:hAnsi="Times New Roman"/>
          <w:sz w:val="22"/>
          <w:szCs w:val="22"/>
          <w:color w:val="auto"/>
        </w:rPr>
        <w:t>media, software, trade secret or other information or property of any former employer or any other person or entity, unless the Participant has obtained their written authorization for its possession and use.</w:t>
      </w:r>
    </w:p>
    <w:p>
      <w:pPr>
        <w:spacing w:after="0" w:line="154" w:lineRule="exact"/>
        <w:rPr>
          <w:sz w:val="20"/>
          <w:szCs w:val="20"/>
          <w:color w:val="auto"/>
        </w:rPr>
      </w:pPr>
    </w:p>
    <w:p>
      <w:pPr>
        <w:ind w:left="520" w:hanging="512"/>
        <w:spacing w:after="0"/>
        <w:tabs>
          <w:tab w:leader="none" w:pos="520" w:val="left"/>
        </w:tabs>
        <w:numPr>
          <w:ilvl w:val="0"/>
          <w:numId w:val="6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RECORDS</w:t>
      </w:r>
    </w:p>
    <w:p>
      <w:pPr>
        <w:spacing w:after="0" w:line="21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The Participant agrees that he or she will keep and maintain adequate and current written records (in the form of notes, sketches, drawings or such other form(s) as may be specified by the Company) of all the Company Work Product made by the Participant during the term of his or his or her employment with the Company, which records shall be available at all times to the Company and shall remain the sole property of the Company.</w:t>
      </w:r>
    </w:p>
    <w:p>
      <w:pPr>
        <w:spacing w:after="0" w:line="176" w:lineRule="exact"/>
        <w:rPr>
          <w:sz w:val="20"/>
          <w:szCs w:val="20"/>
          <w:color w:val="auto"/>
        </w:rPr>
      </w:pPr>
    </w:p>
    <w:p>
      <w:pPr>
        <w:ind w:left="520" w:hanging="512"/>
        <w:spacing w:after="0"/>
        <w:tabs>
          <w:tab w:leader="none" w:pos="520" w:val="left"/>
        </w:tabs>
        <w:numPr>
          <w:ilvl w:val="0"/>
          <w:numId w:val="6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PRESUMPTION</w:t>
      </w:r>
    </w:p>
    <w:p>
      <w:pPr>
        <w:spacing w:after="0" w:line="21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If any application for any United States or foreign patent related to or useful in the business of the Company or any customer of the Company shall be filed by or for the Participant during the period of one year after the Participant’s employment is terminated, the subject matter covered by such application shall be presumed to have been conceived during the Participant’s employment with the Company.</w:t>
      </w:r>
    </w:p>
    <w:p>
      <w:pPr>
        <w:spacing w:after="0" w:line="176" w:lineRule="exact"/>
        <w:rPr>
          <w:sz w:val="20"/>
          <w:szCs w:val="20"/>
          <w:color w:val="auto"/>
        </w:rPr>
      </w:pPr>
    </w:p>
    <w:p>
      <w:pPr>
        <w:ind w:left="520" w:hanging="512"/>
        <w:spacing w:after="0"/>
        <w:tabs>
          <w:tab w:leader="none" w:pos="520" w:val="left"/>
        </w:tabs>
        <w:numPr>
          <w:ilvl w:val="0"/>
          <w:numId w:val="6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AGREEMENTS WITH THIRD PARTIES OR THE U.S. GOVERNMENT.</w:t>
      </w:r>
    </w:p>
    <w:p>
      <w:pPr>
        <w:spacing w:after="0" w:line="21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Participant acknowledges that the Company from time to time may have agreements with other persons or entities, or with the U.S. Government or agencies thereof, which impose obligations or restrictions on the Company regarding inventions made during the course of work thereunder or regarding the confidential nature of such work. The Participant agrees to be bound by all such obligations and restrictions of which the Participant has been made aware of by the Company and to take all action necessary to discharge the obligations of the Company thereunder.</w:t>
      </w:r>
    </w:p>
    <w:p>
      <w:pPr>
        <w:spacing w:after="0" w:line="173" w:lineRule="exact"/>
        <w:rPr>
          <w:sz w:val="20"/>
          <w:szCs w:val="20"/>
          <w:color w:val="auto"/>
        </w:rPr>
      </w:pPr>
    </w:p>
    <w:p>
      <w:pPr>
        <w:ind w:left="520" w:hanging="512"/>
        <w:spacing w:after="0"/>
        <w:tabs>
          <w:tab w:leader="none" w:pos="520" w:val="left"/>
        </w:tabs>
        <w:numPr>
          <w:ilvl w:val="0"/>
          <w:numId w:val="6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INJUNCTIVE RELIEF</w:t>
      </w:r>
    </w:p>
    <w:p>
      <w:pPr>
        <w:spacing w:after="0" w:line="210"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1"/>
          <w:szCs w:val="21"/>
          <w:color w:val="auto"/>
        </w:rPr>
        <w:t>Because of the unique nature of the Confidential Information and the Company Work Product, the Participant understands and agrees that the Company may suffer immediate and irreparable harm if the Participant fails to comply with any of his or her obligations under this Confidentiality and Inventions Agreement and that monetary damages may be inadequate to compensate the Company for such breach. Accordingly, the Participant agrees that in the event of a breach or threatened breach of this Confidentiality and Inventions Agreement, in addition to any other remedies available to it at law or in equity, the Company will be entitled, without posting bond or other security, to seek injunctive relief to enforce the terms of this Confidentiality and Inventions Agreement, including, but not limited to, restraining the Participant from violating this Confidentiality and Inventions Agreement or compelling the Participant to cease and desist all unauthorized use and disclosure of the Confidential Information and the Company Work Product. The Participant will indemnify the Company against any costs, including, but not limited to, reasonable outside legal fees and costs, incurred in obtaining relief against the Participant’s breach of this Confidentiality and Inventions Agreement. Nothing in this Section 11 shall be construed as prohibiting the Company from pursuing any other remedies available to it for such breach or threatened breach, including, but not limited to, recovery of damages.</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B-5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19" w:name="page120"/>
    <w:bookmarkEnd w:id="119"/>
    <w:p>
      <w:pPr>
        <w:spacing w:after="0" w:line="181" w:lineRule="exact"/>
        <w:rPr>
          <w:sz w:val="20"/>
          <w:szCs w:val="20"/>
          <w:color w:val="auto"/>
        </w:rPr>
      </w:pPr>
    </w:p>
    <w:p>
      <w:pPr>
        <w:ind w:left="520" w:hanging="512"/>
        <w:spacing w:after="0"/>
        <w:tabs>
          <w:tab w:leader="none" w:pos="520" w:val="left"/>
        </w:tabs>
        <w:numPr>
          <w:ilvl w:val="0"/>
          <w:numId w:val="6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DISCLOSURE OF OBLIGATIONS</w:t>
      </w:r>
    </w:p>
    <w:p>
      <w:pPr>
        <w:spacing w:after="0" w:line="21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The Participant is hereby permitted and the Participant authorizes the Company to provide a copy of this Confidentiality and Inventions Agreement and any exhibits hereto to any of the Participant’s future employers, and to notify any such future employers of the Participant’s obligations and the Company’s rights hereunder, provided that neither party is under any obligation to do so.</w:t>
      </w:r>
    </w:p>
    <w:p>
      <w:pPr>
        <w:spacing w:after="0" w:line="176" w:lineRule="exact"/>
        <w:rPr>
          <w:sz w:val="20"/>
          <w:szCs w:val="20"/>
          <w:color w:val="auto"/>
        </w:rPr>
      </w:pPr>
    </w:p>
    <w:p>
      <w:pPr>
        <w:ind w:left="520" w:hanging="512"/>
        <w:spacing w:after="0"/>
        <w:tabs>
          <w:tab w:leader="none" w:pos="520" w:val="left"/>
        </w:tabs>
        <w:numPr>
          <w:ilvl w:val="0"/>
          <w:numId w:val="7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JURISDICTION AND VENUE</w:t>
      </w:r>
    </w:p>
    <w:p>
      <w:pPr>
        <w:spacing w:after="0" w:line="21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This Confidentiality and Inventions Agreement will be governed by the laws of the State of California without regard to any conflicts-of-law rules. To the extent that any lawsuit is permitted under this Confidentiality and Inventions Agreement, the Participant hereby expressly consents to the personal and exclusive jurisdiction and venue of the state and federal courts located in San Diego, California for any lawsuit filed against the Participant by the Company. Nothing herein shall limit the right of the Company to seek and obtain injunctive relief in any jurisdiction for violation of the portions of this Confidentiality and Inventions Agreement dealing with protection of Confidential Information or the Company Work Product.</w:t>
      </w:r>
    </w:p>
    <w:p>
      <w:pPr>
        <w:spacing w:after="0" w:line="177" w:lineRule="exact"/>
        <w:rPr>
          <w:sz w:val="20"/>
          <w:szCs w:val="20"/>
          <w:color w:val="auto"/>
        </w:rPr>
      </w:pPr>
    </w:p>
    <w:p>
      <w:pPr>
        <w:ind w:left="520" w:hanging="512"/>
        <w:spacing w:after="0"/>
        <w:tabs>
          <w:tab w:leader="none" w:pos="520" w:val="left"/>
        </w:tabs>
        <w:numPr>
          <w:ilvl w:val="0"/>
          <w:numId w:val="7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ASSIGNMENT; INUREMENT</w:t>
      </w:r>
    </w:p>
    <w:p>
      <w:pPr>
        <w:spacing w:after="0" w:line="21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Neither this Confidentiality and Inventions Agreement nor any duties or obligations under this Confidentiality and Inventions Agreement may be assigned by the Participant without the prior written consent of the Company. The Participant understands and agrees that the Company may freely assign this Confidentiality and Inventions Agreement. This Agreement shall inure to the benefit of, and shall be binding upon, the permitted assigns, successors in interest (including any Purchaser upon consummation of an Acquisition), personal representatives, estates, heirs, and legatees of each of the parties hereto. Any assignment in violation of this Section 14 shall be null and void.</w:t>
      </w:r>
    </w:p>
    <w:p>
      <w:pPr>
        <w:spacing w:after="0" w:line="177" w:lineRule="exact"/>
        <w:rPr>
          <w:sz w:val="20"/>
          <w:szCs w:val="20"/>
          <w:color w:val="auto"/>
        </w:rPr>
      </w:pPr>
    </w:p>
    <w:p>
      <w:pPr>
        <w:ind w:left="520" w:hanging="512"/>
        <w:spacing w:after="0"/>
        <w:tabs>
          <w:tab w:leader="none" w:pos="520" w:val="left"/>
        </w:tabs>
        <w:numPr>
          <w:ilvl w:val="0"/>
          <w:numId w:val="7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SURVIVORSHIP</w:t>
      </w:r>
    </w:p>
    <w:p>
      <w:pPr>
        <w:spacing w:after="0" w:line="21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The rights and obligations of the parties to this Confidentiality and Inventions Agreement will survive termination of my employment with the Company.</w:t>
      </w:r>
    </w:p>
    <w:p>
      <w:pPr>
        <w:spacing w:after="0" w:line="154" w:lineRule="exact"/>
        <w:rPr>
          <w:sz w:val="20"/>
          <w:szCs w:val="20"/>
          <w:color w:val="auto"/>
        </w:rPr>
      </w:pPr>
    </w:p>
    <w:p>
      <w:pPr>
        <w:ind w:left="520" w:hanging="512"/>
        <w:spacing w:after="0"/>
        <w:tabs>
          <w:tab w:leader="none" w:pos="520" w:val="left"/>
        </w:tabs>
        <w:numPr>
          <w:ilvl w:val="0"/>
          <w:numId w:val="7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MISCELLANEOUS</w:t>
      </w:r>
    </w:p>
    <w:p>
      <w:pPr>
        <w:spacing w:after="0" w:line="21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In the event that any provision hereof or any obligation or grant of rights by the Participant hereunder is found invalid or unenforceable pursuant to judicial decree or decision, any such provision, obligation or grant of rights shall be deemed and construed to extend only to the maximum permitted by law, the invalid or unenforceable portions shall be severed, and the remainder of this Confidentiality and Inventions Agreement shall remain valid and enforceable according to its terms. This Confidentiality and Inventions Agreement may not be amended, waived or modified, except by an instrument in writing executed by the Participant and a duly authorized representative of the Company.</w:t>
      </w:r>
    </w:p>
    <w:p>
      <w:pPr>
        <w:spacing w:after="0" w:line="177" w:lineRule="exact"/>
        <w:rPr>
          <w:sz w:val="20"/>
          <w:szCs w:val="20"/>
          <w:color w:val="auto"/>
        </w:rPr>
      </w:pPr>
    </w:p>
    <w:p>
      <w:pPr>
        <w:ind w:left="520" w:hanging="512"/>
        <w:spacing w:after="0"/>
        <w:tabs>
          <w:tab w:leader="none" w:pos="520" w:val="left"/>
        </w:tabs>
        <w:numPr>
          <w:ilvl w:val="0"/>
          <w:numId w:val="7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ACKNOWLEDGMENT</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EMPLOYEE ACKNOWLEDGES THAT, IN EXECUTING THE GRANT NOTICE TO WHICH</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B-6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0" w:name="page121"/>
    <w:bookmarkEnd w:id="120"/>
    <w:p>
      <w:pPr>
        <w:spacing w:after="0" w:line="10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THIS CONFIDENTIALITY AND INVENTIONS AGREEMENT IS ATTACHED, EMPLOYEE HAS HAD THE OPPORTUNITY TO SEEK THE ADVICE OF INDEPENDENT LEGAL COUNSEL, AND EMPLOYEE HAS READ AND UNDERSTOOD ALL OF THE TERMS AND PROVISIONS OF THIS CONFIDENTIALITY AND INVENTIONS AGREEMENT. THIS CONFIDENTIALITY AND INVENTIONS AGREEMENT SHALL NOT BE CONSTRUED AGAINST ANY PARTY BY REASON OF THE DRAFTING OR PREPARATION HEREOF.</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B-7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1" w:name="page122"/>
    <w:bookmarkEnd w:id="121"/>
    <w:p>
      <w:pPr>
        <w:spacing w:after="0" w:line="1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EXHIBIT C</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PERFORMANCE GOALS AND SERVICE REQUIREMENT</w:t>
      </w:r>
    </w:p>
    <w:p>
      <w:pPr>
        <w:spacing w:after="0" w:line="3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E</w:t>
      </w:r>
      <w:r>
        <w:rPr>
          <w:rFonts w:ascii="Times New Roman" w:cs="Times New Roman" w:eastAsia="Times New Roman" w:hAnsi="Times New Roman"/>
          <w:sz w:val="14"/>
          <w:szCs w:val="14"/>
          <w:color w:val="auto"/>
        </w:rPr>
        <w:t>xhibit</w:t>
      </w:r>
      <w:r>
        <w:rPr>
          <w:rFonts w:ascii="Times New Roman" w:cs="Times New Roman" w:eastAsia="Times New Roman" w:hAnsi="Times New Roman"/>
          <w:sz w:val="22"/>
          <w:szCs w:val="22"/>
          <w:color w:val="auto"/>
        </w:rPr>
        <w:t xml:space="preserve"> C</w:t>
      </w:r>
    </w:p>
    <w:p>
      <w:pPr>
        <w:spacing w:after="0" w:line="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P</w:t>
      </w:r>
      <w:r>
        <w:rPr>
          <w:rFonts w:ascii="Times New Roman" w:cs="Times New Roman" w:eastAsia="Times New Roman" w:hAnsi="Times New Roman"/>
          <w:sz w:val="14"/>
          <w:szCs w:val="14"/>
          <w:color w:val="auto"/>
        </w:rPr>
        <w:t>erformance</w:t>
      </w:r>
      <w:r>
        <w:rPr>
          <w:rFonts w:ascii="Times New Roman" w:cs="Times New Roman" w:eastAsia="Times New Roman" w:hAnsi="Times New Roman"/>
          <w:sz w:val="22"/>
          <w:szCs w:val="22"/>
          <w:color w:val="auto"/>
        </w:rPr>
        <w:t xml:space="preserve"> G</w:t>
      </w:r>
      <w:r>
        <w:rPr>
          <w:rFonts w:ascii="Times New Roman" w:cs="Times New Roman" w:eastAsia="Times New Roman" w:hAnsi="Times New Roman"/>
          <w:sz w:val="14"/>
          <w:szCs w:val="14"/>
          <w:color w:val="auto"/>
        </w:rPr>
        <w:t>oals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462915</wp:posOffset>
            </wp:positionV>
            <wp:extent cx="7157720" cy="425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22" w:name="page123"/>
    <w:bookmarkEnd w:id="122"/>
    <w:p>
      <w:pPr>
        <w:jc w:val="right"/>
        <w:spacing w:after="0"/>
        <w:rPr>
          <w:sz w:val="20"/>
          <w:szCs w:val="20"/>
          <w:color w:val="auto"/>
        </w:rPr>
      </w:pPr>
      <w:r>
        <w:rPr>
          <w:rFonts w:ascii="Times New Roman" w:cs="Times New Roman" w:eastAsia="Times New Roman" w:hAnsi="Times New Roman"/>
          <w:sz w:val="20"/>
          <w:szCs w:val="20"/>
          <w:b w:val="1"/>
          <w:bCs w:val="1"/>
          <w:color w:val="auto"/>
        </w:rPr>
        <w:t>Exhibit 10.39</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2060"/>
        </w:rPr>
        <w:t>April 9, 2024</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2060"/>
        </w:rPr>
        <w:t>Dear Holly,</w:t>
      </w:r>
    </w:p>
    <w:p>
      <w:pPr>
        <w:spacing w:after="0" w:line="117" w:lineRule="exact"/>
        <w:rPr>
          <w:sz w:val="20"/>
          <w:szCs w:val="20"/>
          <w:color w:val="auto"/>
        </w:rPr>
      </w:pPr>
    </w:p>
    <w:p>
      <w:pPr>
        <w:ind w:right="380" w:hanging="9"/>
        <w:spacing w:after="0" w:line="261" w:lineRule="auto"/>
        <w:rPr>
          <w:sz w:val="20"/>
          <w:szCs w:val="20"/>
          <w:color w:val="auto"/>
        </w:rPr>
      </w:pPr>
      <w:r>
        <w:rPr>
          <w:rFonts w:ascii="Times New Roman" w:cs="Times New Roman" w:eastAsia="Times New Roman" w:hAnsi="Times New Roman"/>
          <w:sz w:val="18"/>
          <w:szCs w:val="18"/>
          <w:color w:val="002060"/>
        </w:rPr>
        <w:t>I am delighted to invite you to join the Pet Care Center leadership team and am pleased to extend an offer to you to become the Chief Human Resources Officer, reporting directly to the Chief Executive Officer ("CEO"). This restated offer letter supersedes, in its entirety, your offer letter dated January 17, 2024. Your official first day in your new role will be February 4, 2024. Please take a moment to review notable details of your offer below:</w:t>
      </w:r>
    </w:p>
    <w:p>
      <w:pPr>
        <w:spacing w:after="0" w:line="7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002060"/>
        </w:rPr>
        <w:t>Base Salary</w:t>
      </w:r>
      <w:r>
        <w:rPr>
          <w:rFonts w:ascii="Times New Roman" w:cs="Times New Roman" w:eastAsia="Times New Roman" w:hAnsi="Times New Roman"/>
          <w:sz w:val="18"/>
          <w:szCs w:val="18"/>
          <w:color w:val="002060"/>
        </w:rPr>
        <w:t xml:space="preserve"> - Your annual base salary will be $625,000 per year, prorated and paid on a bi-weekly basis.</w:t>
      </w:r>
    </w:p>
    <w:p>
      <w:pPr>
        <w:spacing w:after="0" w:line="117" w:lineRule="exact"/>
        <w:rPr>
          <w:sz w:val="20"/>
          <w:szCs w:val="20"/>
          <w:color w:val="auto"/>
        </w:rPr>
      </w:pPr>
    </w:p>
    <w:p>
      <w:pPr>
        <w:ind w:left="20" w:right="280" w:firstLine="6"/>
        <w:spacing w:after="0" w:line="261" w:lineRule="auto"/>
        <w:rPr>
          <w:sz w:val="20"/>
          <w:szCs w:val="20"/>
          <w:color w:val="auto"/>
        </w:rPr>
      </w:pPr>
      <w:r>
        <w:rPr>
          <w:rFonts w:ascii="Times New Roman" w:cs="Times New Roman" w:eastAsia="Times New Roman" w:hAnsi="Times New Roman"/>
          <w:sz w:val="18"/>
          <w:szCs w:val="18"/>
          <w:u w:val="single" w:color="auto"/>
          <w:color w:val="002060"/>
        </w:rPr>
        <w:t>Annual Incentive</w:t>
      </w:r>
      <w:r>
        <w:rPr>
          <w:rFonts w:ascii="Times New Roman" w:cs="Times New Roman" w:eastAsia="Times New Roman" w:hAnsi="Times New Roman"/>
          <w:sz w:val="18"/>
          <w:szCs w:val="18"/>
          <w:color w:val="002060"/>
        </w:rPr>
        <w:t xml:space="preserve"> - You will be eligible for an incentive opportunity with a target of 80% of your annual base earnings, prorated from your start date in your new role to the end of the fiscal year. Incentive payments are awarded based on company and individual performance assessed during the annual review cycle. You must be employed at Petco at the time the incentive is paid. The Company reserves the right to modify or terminate the incentive plan at its sole discretion.</w:t>
      </w:r>
    </w:p>
    <w:p>
      <w:pPr>
        <w:spacing w:after="0" w:line="72" w:lineRule="exact"/>
        <w:rPr>
          <w:sz w:val="20"/>
          <w:szCs w:val="20"/>
          <w:color w:val="auto"/>
        </w:rPr>
      </w:pPr>
    </w:p>
    <w:p>
      <w:pPr>
        <w:ind w:left="40" w:right="380"/>
        <w:spacing w:after="0" w:line="261" w:lineRule="auto"/>
        <w:rPr>
          <w:sz w:val="20"/>
          <w:szCs w:val="20"/>
          <w:color w:val="auto"/>
        </w:rPr>
      </w:pPr>
      <w:r>
        <w:rPr>
          <w:rFonts w:ascii="Times New Roman" w:cs="Times New Roman" w:eastAsia="Times New Roman" w:hAnsi="Times New Roman"/>
          <w:sz w:val="18"/>
          <w:szCs w:val="18"/>
          <w:u w:val="single" w:color="auto"/>
          <w:color w:val="002060"/>
        </w:rPr>
        <w:t>One-Time Bonus Payment</w:t>
      </w:r>
      <w:r>
        <w:rPr>
          <w:rFonts w:ascii="Times New Roman" w:cs="Times New Roman" w:eastAsia="Times New Roman" w:hAnsi="Times New Roman"/>
          <w:sz w:val="18"/>
          <w:szCs w:val="18"/>
          <w:color w:val="002060"/>
        </w:rPr>
        <w:t xml:space="preserve"> - You will receive a one-time cash bonus of $1,000,000. The payment will be taxed according to IRS guidelines and paid within your first 90 days of continuous employment. You agree to repay Petco up to 100% of the sign-on bonus if you voluntarily terminate or your employment is terminated for cause by Petco within two years of your start date. A Sign-on Bonus Repayment Agreement will provide further details regarding this payment.</w:t>
      </w:r>
    </w:p>
    <w:p>
      <w:pPr>
        <w:spacing w:after="0" w:line="72" w:lineRule="exact"/>
        <w:rPr>
          <w:sz w:val="20"/>
          <w:szCs w:val="20"/>
          <w:color w:val="auto"/>
        </w:rPr>
      </w:pPr>
    </w:p>
    <w:p>
      <w:pPr>
        <w:jc w:val="both"/>
        <w:ind w:left="40" w:right="400"/>
        <w:spacing w:after="0" w:line="256" w:lineRule="auto"/>
        <w:rPr>
          <w:sz w:val="20"/>
          <w:szCs w:val="20"/>
          <w:color w:val="auto"/>
        </w:rPr>
      </w:pPr>
      <w:r>
        <w:rPr>
          <w:rFonts w:ascii="Times New Roman" w:cs="Times New Roman" w:eastAsia="Times New Roman" w:hAnsi="Times New Roman"/>
          <w:sz w:val="18"/>
          <w:szCs w:val="18"/>
          <w:u w:val="single" w:color="auto"/>
          <w:color w:val="002060"/>
        </w:rPr>
        <w:t>Long Term Incentive</w:t>
      </w:r>
      <w:r>
        <w:rPr>
          <w:rFonts w:ascii="Times New Roman" w:cs="Times New Roman" w:eastAsia="Times New Roman" w:hAnsi="Times New Roman"/>
          <w:sz w:val="18"/>
          <w:szCs w:val="18"/>
          <w:color w:val="002060"/>
        </w:rPr>
        <w:t xml:space="preserve"> – You will be eligible to receive an annual equity award under the Petco Health and Wellness Company, Inc. 2021 Equity Incentive Plan (the "</w:t>
      </w:r>
      <w:r>
        <w:rPr>
          <w:rFonts w:ascii="Times New Roman" w:cs="Times New Roman" w:eastAsia="Times New Roman" w:hAnsi="Times New Roman"/>
          <w:sz w:val="18"/>
          <w:szCs w:val="18"/>
          <w:u w:val="single" w:color="auto"/>
          <w:color w:val="002060"/>
        </w:rPr>
        <w:t>Equity Plan</w:t>
      </w:r>
      <w:r>
        <w:rPr>
          <w:rFonts w:ascii="Times New Roman" w:cs="Times New Roman" w:eastAsia="Times New Roman" w:hAnsi="Times New Roman"/>
          <w:sz w:val="18"/>
          <w:szCs w:val="18"/>
          <w:color w:val="002060"/>
        </w:rPr>
        <w:t>") with an expected first year target award value equal to $1,100,000, to be calculated immediately prior to such grant. It is expected that the next annual award will occur in April 2024 and any award under the Equity Plan will be subject to the terms of the Equity Plan and your award agreement. It is expected that your grant will vest over a three-year period following the date of grant. Equity award eligibility, amounts, and terms are subject to approval by the Board. The amount of the award may vary from year-to-year based on internal and external factors as determined by the Board.</w:t>
      </w:r>
    </w:p>
    <w:p>
      <w:pPr>
        <w:spacing w:after="0" w:line="79" w:lineRule="exact"/>
        <w:rPr>
          <w:sz w:val="20"/>
          <w:szCs w:val="20"/>
          <w:color w:val="auto"/>
        </w:rPr>
      </w:pPr>
    </w:p>
    <w:p>
      <w:pPr>
        <w:ind w:left="40" w:right="320"/>
        <w:spacing w:after="0" w:line="256" w:lineRule="auto"/>
        <w:rPr>
          <w:sz w:val="20"/>
          <w:szCs w:val="20"/>
          <w:color w:val="auto"/>
        </w:rPr>
      </w:pPr>
      <w:r>
        <w:rPr>
          <w:rFonts w:ascii="Times New Roman" w:cs="Times New Roman" w:eastAsia="Times New Roman" w:hAnsi="Times New Roman"/>
          <w:sz w:val="18"/>
          <w:szCs w:val="18"/>
          <w:color w:val="002060"/>
        </w:rPr>
        <w:t>In your first year, you will be eligible to receive a special, one-time Restricted Stock Unit (“RSU”) award under the Equity Plan with an expected target award value equal to $2,500,000, to be calculated immediately prior to such grant. It is expected that your special, one-time RSU award will be granted in conjunction with the company’s annual long-term incentive awards and any award under the Equity Plan will be subject to the terms of the Equity Plan and your award agreement. It is expected that your grant will vest over a four-year period following the date of grant with annual vesting equal to 10% of the award in year 1, 20% of the award in year 2, 30% of the award in year 3, and 40% of the award in year 4. Equity award eligibility, amounts, and terms are subject to approval by the Board.</w:t>
      </w:r>
    </w:p>
    <w:p>
      <w:pPr>
        <w:spacing w:after="0" w:line="79" w:lineRule="exact"/>
        <w:rPr>
          <w:sz w:val="20"/>
          <w:szCs w:val="20"/>
          <w:color w:val="auto"/>
        </w:rPr>
      </w:pPr>
    </w:p>
    <w:p>
      <w:pPr>
        <w:jc w:val="both"/>
        <w:ind w:left="40" w:right="260"/>
        <w:spacing w:after="0" w:line="266" w:lineRule="auto"/>
        <w:rPr>
          <w:sz w:val="20"/>
          <w:szCs w:val="20"/>
          <w:color w:val="auto"/>
        </w:rPr>
      </w:pPr>
      <w:r>
        <w:rPr>
          <w:rFonts w:ascii="Times New Roman" w:cs="Times New Roman" w:eastAsia="Times New Roman" w:hAnsi="Times New Roman"/>
          <w:sz w:val="18"/>
          <w:szCs w:val="18"/>
          <w:u w:val="single" w:color="auto"/>
          <w:color w:val="002060"/>
        </w:rPr>
        <w:t>Housing Assistance</w:t>
      </w:r>
      <w:r>
        <w:rPr>
          <w:rFonts w:ascii="Times New Roman" w:cs="Times New Roman" w:eastAsia="Times New Roman" w:hAnsi="Times New Roman"/>
          <w:sz w:val="18"/>
          <w:szCs w:val="18"/>
          <w:color w:val="002060"/>
        </w:rPr>
        <w:t xml:space="preserve"> - In lieu of relocating your primary residence to San Diego, Petco will provide you with monthly housing assistance payments of the net amount of $7,700 per month. If you are terminated without Cause, as defined below, Petco will continue such payments until the end of the lease term, provided the remaining lease term is no longer than one year.</w:t>
      </w:r>
    </w:p>
    <w:p>
      <w:pPr>
        <w:spacing w:after="0" w:line="68" w:lineRule="exact"/>
        <w:rPr>
          <w:sz w:val="20"/>
          <w:szCs w:val="20"/>
          <w:color w:val="auto"/>
        </w:rPr>
      </w:pPr>
    </w:p>
    <w:p>
      <w:pPr>
        <w:ind w:left="40" w:right="660"/>
        <w:spacing w:after="0" w:line="282" w:lineRule="auto"/>
        <w:rPr>
          <w:sz w:val="20"/>
          <w:szCs w:val="20"/>
          <w:color w:val="auto"/>
        </w:rPr>
      </w:pPr>
      <w:r>
        <w:rPr>
          <w:rFonts w:ascii="Times New Roman" w:cs="Times New Roman" w:eastAsia="Times New Roman" w:hAnsi="Times New Roman"/>
          <w:sz w:val="18"/>
          <w:szCs w:val="18"/>
          <w:u w:val="single" w:color="auto"/>
          <w:color w:val="002060"/>
        </w:rPr>
        <w:t>Travel Reimbursement</w:t>
      </w:r>
      <w:r>
        <w:rPr>
          <w:rFonts w:ascii="Times New Roman" w:cs="Times New Roman" w:eastAsia="Times New Roman" w:hAnsi="Times New Roman"/>
          <w:sz w:val="18"/>
          <w:szCs w:val="18"/>
          <w:color w:val="002060"/>
        </w:rPr>
        <w:t xml:space="preserve"> – Petco will provide travel reimbursement for three, week-long trips to Boston associated with your Harvard Medical School academic/development program. The three trips are estimated to take place between October 2024 and June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829945</wp:posOffset>
            </wp:positionV>
            <wp:extent cx="7157720" cy="425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720" w:top="977" w:right="339" w:bottom="1440" w:gutter="0" w:footer="0" w:header="0"/>
        </w:sectPr>
      </w:pPr>
    </w:p>
    <w:bookmarkStart w:id="123" w:name="page124"/>
    <w:bookmarkEnd w:id="123"/>
    <w:p>
      <w:pPr>
        <w:jc w:val="right"/>
        <w:spacing w:after="0"/>
        <w:rPr>
          <w:sz w:val="20"/>
          <w:szCs w:val="20"/>
          <w:color w:val="auto"/>
        </w:rPr>
      </w:pPr>
      <w:r>
        <w:rPr>
          <w:rFonts w:ascii="Times New Roman" w:cs="Times New Roman" w:eastAsia="Times New Roman" w:hAnsi="Times New Roman"/>
          <w:sz w:val="20"/>
          <w:szCs w:val="20"/>
          <w:b w:val="1"/>
          <w:bCs w:val="1"/>
          <w:color w:val="auto"/>
        </w:rPr>
        <w:t>Exhibit 10.39</w:t>
      </w:r>
    </w:p>
    <w:p>
      <w:pPr>
        <w:spacing w:after="0" w:line="292" w:lineRule="exact"/>
        <w:rPr>
          <w:sz w:val="20"/>
          <w:szCs w:val="20"/>
          <w:color w:val="auto"/>
        </w:rPr>
      </w:pPr>
    </w:p>
    <w:p>
      <w:pPr>
        <w:ind w:left="440" w:right="280"/>
        <w:spacing w:after="0" w:line="266" w:lineRule="auto"/>
        <w:rPr>
          <w:sz w:val="20"/>
          <w:szCs w:val="20"/>
          <w:color w:val="auto"/>
        </w:rPr>
      </w:pPr>
      <w:r>
        <w:rPr>
          <w:rFonts w:ascii="Times New Roman" w:cs="Times New Roman" w:eastAsia="Times New Roman" w:hAnsi="Times New Roman"/>
          <w:sz w:val="18"/>
          <w:szCs w:val="18"/>
          <w:u w:val="single" w:color="auto"/>
          <w:color w:val="002060"/>
        </w:rPr>
        <w:t>Executive Severance Plan</w:t>
      </w:r>
      <w:r>
        <w:rPr>
          <w:rFonts w:ascii="Times New Roman" w:cs="Times New Roman" w:eastAsia="Times New Roman" w:hAnsi="Times New Roman"/>
          <w:sz w:val="18"/>
          <w:szCs w:val="18"/>
          <w:color w:val="002060"/>
        </w:rPr>
        <w:t xml:space="preserve"> - Following your hire, you will be eligible for severance benefits under the Petco Health and Wellness Company, Inc. Executive Severance Plan (the “Severance Plan”). Refer to the Petco Health and Wellness Company, Inc. Executive Severance Plan document for the benefits as a tier I participant.</w:t>
      </w:r>
    </w:p>
    <w:p>
      <w:pPr>
        <w:spacing w:after="0" w:line="68" w:lineRule="exact"/>
        <w:rPr>
          <w:sz w:val="20"/>
          <w:szCs w:val="20"/>
          <w:color w:val="auto"/>
        </w:rPr>
      </w:pPr>
    </w:p>
    <w:p>
      <w:pPr>
        <w:ind w:left="480" w:right="40" w:hanging="5"/>
        <w:spacing w:after="0" w:line="266" w:lineRule="auto"/>
        <w:rPr>
          <w:sz w:val="20"/>
          <w:szCs w:val="20"/>
          <w:color w:val="auto"/>
        </w:rPr>
      </w:pPr>
      <w:r>
        <w:rPr>
          <w:rFonts w:ascii="Times New Roman" w:cs="Times New Roman" w:eastAsia="Times New Roman" w:hAnsi="Times New Roman"/>
          <w:sz w:val="18"/>
          <w:szCs w:val="18"/>
          <w:u w:val="single" w:color="auto"/>
          <w:color w:val="002060"/>
        </w:rPr>
        <w:t>Financial and Tax Preparation Services</w:t>
      </w:r>
      <w:r>
        <w:rPr>
          <w:rFonts w:ascii="Times New Roman" w:cs="Times New Roman" w:eastAsia="Times New Roman" w:hAnsi="Times New Roman"/>
          <w:sz w:val="18"/>
          <w:szCs w:val="18"/>
          <w:color w:val="002060"/>
        </w:rPr>
        <w:t xml:space="preserve"> - Following your hire, you will be eligible for financial planning and tax preparation services through AYCO Financial Services, a Goldman Sachs Company. This service is paid for by the Company and treated as income to you for tax purposes. Such benefits are subject to the applicable plan documents, and as may be amended or terminated by Petco from time to time.</w:t>
      </w:r>
    </w:p>
    <w:p>
      <w:pPr>
        <w:spacing w:after="0" w:line="68" w:lineRule="exact"/>
        <w:rPr>
          <w:sz w:val="20"/>
          <w:szCs w:val="20"/>
          <w:color w:val="auto"/>
        </w:rPr>
      </w:pPr>
    </w:p>
    <w:p>
      <w:pPr>
        <w:jc w:val="both"/>
        <w:ind w:left="480" w:right="380" w:firstLine="1"/>
        <w:spacing w:after="0" w:line="266" w:lineRule="auto"/>
        <w:rPr>
          <w:sz w:val="20"/>
          <w:szCs w:val="20"/>
          <w:color w:val="auto"/>
        </w:rPr>
      </w:pPr>
      <w:r>
        <w:rPr>
          <w:rFonts w:ascii="Times New Roman" w:cs="Times New Roman" w:eastAsia="Times New Roman" w:hAnsi="Times New Roman"/>
          <w:sz w:val="18"/>
          <w:szCs w:val="18"/>
          <w:u w:val="single" w:color="auto"/>
          <w:color w:val="002060"/>
        </w:rPr>
        <w:t>Executive Physical</w:t>
      </w:r>
      <w:r>
        <w:rPr>
          <w:rFonts w:ascii="Times New Roman" w:cs="Times New Roman" w:eastAsia="Times New Roman" w:hAnsi="Times New Roman"/>
          <w:sz w:val="18"/>
          <w:szCs w:val="18"/>
          <w:color w:val="002060"/>
        </w:rPr>
        <w:t xml:space="preserve"> - Following your hire, you will be eligible to receive an annual comprehensive wellness exam provided through the Scripps Center for Executive Health. This service is paid for by the Company and treated as income to you for tax purposes. Such benefits are subject to the applicable plan documents, and as may be amended or terminated by Petco from time to time.</w:t>
      </w:r>
    </w:p>
    <w:p>
      <w:pPr>
        <w:spacing w:after="0" w:line="68" w:lineRule="exact"/>
        <w:rPr>
          <w:sz w:val="20"/>
          <w:szCs w:val="20"/>
          <w:color w:val="auto"/>
        </w:rPr>
      </w:pPr>
    </w:p>
    <w:p>
      <w:pPr>
        <w:jc w:val="both"/>
        <w:ind w:left="480" w:right="120" w:firstLine="1"/>
        <w:spacing w:after="0" w:line="258" w:lineRule="auto"/>
        <w:rPr>
          <w:sz w:val="20"/>
          <w:szCs w:val="20"/>
          <w:color w:val="auto"/>
        </w:rPr>
      </w:pPr>
      <w:r>
        <w:rPr>
          <w:rFonts w:ascii="Times New Roman" w:cs="Times New Roman" w:eastAsia="Times New Roman" w:hAnsi="Times New Roman"/>
          <w:sz w:val="18"/>
          <w:szCs w:val="18"/>
          <w:color w:val="002060"/>
        </w:rPr>
        <w:t>Final offer terms are subject to formal approval by Petco’s Board. Petco is an "at will" employer and as such, employment with Petco is not for a fixed term or definite period and may be terminated at the will of either party, with or without cause, and without prior notice. No supervisor or other representative of the Company (except the Chief Executive Officer) has the authority to enter into any agreement for employment for any specified period of time, or to make any agreement contrary to the above. Except as set forth herein, all other terms and condition of your employment remain in effect.</w:t>
      </w:r>
    </w:p>
    <w:p>
      <w:pPr>
        <w:spacing w:after="0" w:line="7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002060"/>
        </w:rPr>
        <w:t>We look forward to having you on the Petco leadership team and to the contributions you'll make to our overall success.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680" w:type="dxa"/>
            <w:vAlign w:val="bottom"/>
          </w:tcPr>
          <w:p>
            <w:pPr>
              <w:ind w:left="480"/>
              <w:spacing w:after="0"/>
              <w:rPr>
                <w:sz w:val="20"/>
                <w:szCs w:val="20"/>
                <w:color w:val="auto"/>
              </w:rPr>
            </w:pPr>
            <w:r>
              <w:rPr>
                <w:rFonts w:ascii="Times New Roman" w:cs="Times New Roman" w:eastAsia="Times New Roman" w:hAnsi="Times New Roman"/>
                <w:sz w:val="18"/>
                <w:szCs w:val="18"/>
                <w:color w:val="002060"/>
              </w:rPr>
              <w:t>Sincerely,</w:t>
            </w:r>
          </w:p>
        </w:tc>
        <w:tc>
          <w:tcPr>
            <w:tcW w:w="8560" w:type="dxa"/>
            <w:vAlign w:val="bottom"/>
          </w:tcPr>
          <w:p>
            <w:pPr>
              <w:ind w:left="1400"/>
              <w:spacing w:after="0"/>
              <w:rPr>
                <w:sz w:val="20"/>
                <w:szCs w:val="20"/>
                <w:color w:val="auto"/>
              </w:rPr>
            </w:pPr>
            <w:r>
              <w:rPr>
                <w:rFonts w:ascii="Times New Roman" w:cs="Times New Roman" w:eastAsia="Times New Roman" w:hAnsi="Times New Roman"/>
                <w:sz w:val="18"/>
                <w:szCs w:val="18"/>
                <w:color w:val="002060"/>
              </w:rPr>
              <w:t>Signed,</w:t>
            </w:r>
          </w:p>
        </w:tc>
      </w:tr>
      <w:tr>
        <w:trPr>
          <w:trHeight w:val="621"/>
        </w:trPr>
        <w:tc>
          <w:tcPr>
            <w:tcW w:w="2680" w:type="dxa"/>
            <w:vAlign w:val="bottom"/>
          </w:tcPr>
          <w:p>
            <w:pPr>
              <w:ind w:left="480"/>
              <w:spacing w:after="0"/>
              <w:rPr>
                <w:sz w:val="20"/>
                <w:szCs w:val="20"/>
                <w:color w:val="auto"/>
              </w:rPr>
            </w:pPr>
            <w:r>
              <w:rPr>
                <w:rFonts w:ascii="Times New Roman" w:cs="Times New Roman" w:eastAsia="Times New Roman" w:hAnsi="Times New Roman"/>
                <w:sz w:val="18"/>
                <w:szCs w:val="18"/>
                <w:color w:val="002060"/>
              </w:rPr>
              <w:t>/s/ Mike Mohan</w:t>
            </w:r>
          </w:p>
        </w:tc>
        <w:tc>
          <w:tcPr>
            <w:tcW w:w="8560" w:type="dxa"/>
            <w:vAlign w:val="bottom"/>
          </w:tcPr>
          <w:p>
            <w:pPr>
              <w:ind w:left="1400"/>
              <w:spacing w:after="0"/>
              <w:rPr>
                <w:sz w:val="20"/>
                <w:szCs w:val="20"/>
                <w:color w:val="auto"/>
              </w:rPr>
            </w:pPr>
            <w:r>
              <w:rPr>
                <w:rFonts w:ascii="Times New Roman" w:cs="Times New Roman" w:eastAsia="Times New Roman" w:hAnsi="Times New Roman"/>
                <w:sz w:val="18"/>
                <w:szCs w:val="18"/>
                <w:color w:val="002060"/>
              </w:rPr>
              <w:t>/s/ Holly May</w:t>
            </w:r>
          </w:p>
        </w:tc>
      </w:tr>
      <w:tr>
        <w:trPr>
          <w:trHeight w:val="324"/>
        </w:trPr>
        <w:tc>
          <w:tcPr>
            <w:tcW w:w="2680" w:type="dxa"/>
            <w:vAlign w:val="bottom"/>
          </w:tcPr>
          <w:p>
            <w:pPr>
              <w:ind w:left="480"/>
              <w:spacing w:after="0"/>
              <w:rPr>
                <w:sz w:val="20"/>
                <w:szCs w:val="20"/>
                <w:color w:val="auto"/>
              </w:rPr>
            </w:pPr>
            <w:r>
              <w:rPr>
                <w:rFonts w:ascii="Times New Roman" w:cs="Times New Roman" w:eastAsia="Times New Roman" w:hAnsi="Times New Roman"/>
                <w:sz w:val="18"/>
                <w:szCs w:val="18"/>
                <w:color w:val="002060"/>
              </w:rPr>
              <w:t>Mike Mohan</w:t>
            </w:r>
          </w:p>
        </w:tc>
        <w:tc>
          <w:tcPr>
            <w:tcW w:w="8560" w:type="dxa"/>
            <w:vAlign w:val="bottom"/>
          </w:tcPr>
          <w:p>
            <w:pPr>
              <w:ind w:left="1040"/>
              <w:spacing w:after="0"/>
              <w:rPr>
                <w:sz w:val="20"/>
                <w:szCs w:val="20"/>
                <w:color w:val="auto"/>
              </w:rPr>
            </w:pPr>
            <w:r>
              <w:rPr>
                <w:rFonts w:ascii="Times New Roman" w:cs="Times New Roman" w:eastAsia="Times New Roman" w:hAnsi="Times New Roman"/>
                <w:sz w:val="18"/>
                <w:szCs w:val="18"/>
                <w:color w:val="002060"/>
              </w:rPr>
              <w:t>Holly May</w:t>
            </w:r>
          </w:p>
        </w:tc>
      </w:tr>
      <w:tr>
        <w:trPr>
          <w:trHeight w:val="324"/>
        </w:trPr>
        <w:tc>
          <w:tcPr>
            <w:tcW w:w="2680" w:type="dxa"/>
            <w:vAlign w:val="bottom"/>
          </w:tcPr>
          <w:p>
            <w:pPr>
              <w:ind w:left="480"/>
              <w:spacing w:after="0"/>
              <w:rPr>
                <w:sz w:val="20"/>
                <w:szCs w:val="20"/>
                <w:color w:val="auto"/>
              </w:rPr>
            </w:pPr>
            <w:r>
              <w:rPr>
                <w:rFonts w:ascii="Times New Roman" w:cs="Times New Roman" w:eastAsia="Times New Roman" w:hAnsi="Times New Roman"/>
                <w:sz w:val="18"/>
                <w:szCs w:val="18"/>
                <w:color w:val="002060"/>
              </w:rPr>
              <w:t>Date:  4/15/24</w:t>
            </w:r>
          </w:p>
        </w:tc>
        <w:tc>
          <w:tcPr>
            <w:tcW w:w="8560" w:type="dxa"/>
            <w:vAlign w:val="bottom"/>
          </w:tcPr>
          <w:p>
            <w:pPr>
              <w:ind w:left="1400"/>
              <w:spacing w:after="0"/>
              <w:rPr>
                <w:sz w:val="20"/>
                <w:szCs w:val="20"/>
                <w:color w:val="auto"/>
              </w:rPr>
            </w:pPr>
            <w:r>
              <w:rPr>
                <w:rFonts w:ascii="Times New Roman" w:cs="Times New Roman" w:eastAsia="Times New Roman" w:hAnsi="Times New Roman"/>
                <w:sz w:val="18"/>
                <w:szCs w:val="18"/>
                <w:color w:val="002060"/>
              </w:rPr>
              <w:t>Date:  4/15/24</w:t>
            </w:r>
          </w:p>
        </w:tc>
      </w:tr>
      <w:tr>
        <w:trPr>
          <w:trHeight w:val="1694"/>
        </w:trPr>
        <w:tc>
          <w:tcPr>
            <w:tcW w:w="2680" w:type="dxa"/>
            <w:vAlign w:val="bottom"/>
            <w:tcBorders>
              <w:bottom w:val="single" w:sz="8" w:color="9A9A9A"/>
            </w:tcBorders>
          </w:tcPr>
          <w:p>
            <w:pPr>
              <w:spacing w:after="0"/>
              <w:rPr>
                <w:sz w:val="24"/>
                <w:szCs w:val="24"/>
                <w:color w:val="auto"/>
              </w:rPr>
            </w:pPr>
          </w:p>
        </w:tc>
        <w:tc>
          <w:tcPr>
            <w:tcW w:w="8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5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6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77" w:right="339" w:bottom="1440" w:gutter="0" w:footer="0" w:header="0"/>
        </w:sectPr>
      </w:pPr>
    </w:p>
    <w:bookmarkStart w:id="124" w:name="page125"/>
    <w:bookmarkEnd w:id="124"/>
    <w:p>
      <w:pPr>
        <w:jc w:val="right"/>
        <w:spacing w:after="0"/>
        <w:rPr>
          <w:sz w:val="20"/>
          <w:szCs w:val="20"/>
          <w:color w:val="auto"/>
        </w:rPr>
      </w:pPr>
      <w:r>
        <w:rPr>
          <w:rFonts w:ascii="Times New Roman" w:cs="Times New Roman" w:eastAsia="Times New Roman" w:hAnsi="Times New Roman"/>
          <w:sz w:val="20"/>
          <w:szCs w:val="20"/>
          <w:b w:val="1"/>
          <w:bCs w:val="1"/>
          <w:i w:val="1"/>
          <w:iCs w:val="1"/>
          <w:color w:val="auto"/>
        </w:rPr>
        <w:t>Exhibit 10.40</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2060"/>
        </w:rPr>
        <w:t>10/23/2024</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2060"/>
        </w:rPr>
        <w:t>Patrick Joseph Venezia (Joe)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2060"/>
        </w:rPr>
        <w:t>Dear Joe,</w:t>
      </w:r>
    </w:p>
    <w:p>
      <w:pPr>
        <w:spacing w:after="0" w:line="32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002060"/>
        </w:rPr>
        <w:t>At Petco, we share a common vision of Healthier Pets. Happier People. Better World. and our success depends on our 27,000+ Partners across the country who are living our brand promise to nurture powerful relationships between pets and people.</w:t>
      </w:r>
    </w:p>
    <w:p>
      <w:pPr>
        <w:spacing w:after="0" w:line="135" w:lineRule="exact"/>
        <w:rPr>
          <w:sz w:val="20"/>
          <w:szCs w:val="20"/>
          <w:color w:val="auto"/>
        </w:rPr>
      </w:pPr>
    </w:p>
    <w:p>
      <w:pPr>
        <w:jc w:val="both"/>
        <w:ind w:right="120"/>
        <w:spacing w:after="0" w:line="261" w:lineRule="auto"/>
        <w:rPr>
          <w:sz w:val="20"/>
          <w:szCs w:val="20"/>
          <w:color w:val="auto"/>
        </w:rPr>
      </w:pPr>
      <w:r>
        <w:rPr>
          <w:rFonts w:ascii="Times New Roman" w:cs="Times New Roman" w:eastAsia="Times New Roman" w:hAnsi="Times New Roman"/>
          <w:sz w:val="18"/>
          <w:szCs w:val="18"/>
          <w:color w:val="002060"/>
        </w:rPr>
        <w:t>On behalf of Petco Animal Supplies Stores, Inc. (“Petco” or the “Company”), I am delighted to invite you to join the Petco team and am pleased to extend a contingent offer of employment to you as Chief Revenue Officer. Your start date will be November 17, 2024. Your primary work location will initially be remote; however, Petco may require that you travel to Petco’s headquarters in San Diego, California or other Petco locations in the performance of your duties until you relocate. Please take a moment to review the details of your offer below:</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2060"/>
        </w:rPr>
        <w:t>Your compensation will be $700,000 per year, paid on a bi-weekly basis.</w:t>
      </w:r>
    </w:p>
    <w:p>
      <w:pPr>
        <w:spacing w:after="0" w:line="194" w:lineRule="exact"/>
        <w:rPr>
          <w:sz w:val="20"/>
          <w:szCs w:val="20"/>
          <w:color w:val="auto"/>
        </w:rPr>
      </w:pPr>
    </w:p>
    <w:p>
      <w:pPr>
        <w:ind w:right="300"/>
        <w:spacing w:after="0" w:line="262" w:lineRule="auto"/>
        <w:rPr>
          <w:sz w:val="20"/>
          <w:szCs w:val="20"/>
          <w:color w:val="auto"/>
        </w:rPr>
      </w:pPr>
      <w:r>
        <w:rPr>
          <w:rFonts w:ascii="Times New Roman" w:cs="Times New Roman" w:eastAsia="Times New Roman" w:hAnsi="Times New Roman"/>
          <w:sz w:val="18"/>
          <w:szCs w:val="18"/>
          <w:b w:val="1"/>
          <w:bCs w:val="1"/>
          <w:i w:val="1"/>
          <w:iCs w:val="1"/>
          <w:color w:val="002060"/>
        </w:rPr>
        <w:t xml:space="preserve">Annual Incentive </w:t>
      </w:r>
      <w:r>
        <w:rPr>
          <w:rFonts w:ascii="Times New Roman" w:cs="Times New Roman" w:eastAsia="Times New Roman" w:hAnsi="Times New Roman"/>
          <w:sz w:val="18"/>
          <w:szCs w:val="18"/>
          <w:b w:val="1"/>
          <w:bCs w:val="1"/>
          <w:color w:val="002060"/>
        </w:rPr>
        <w:t>-</w:t>
      </w:r>
      <w:r>
        <w:rPr>
          <w:rFonts w:ascii="Times New Roman" w:cs="Times New Roman" w:eastAsia="Times New Roman" w:hAnsi="Times New Roman"/>
          <w:sz w:val="18"/>
          <w:szCs w:val="18"/>
          <w:b w:val="1"/>
          <w:bCs w:val="1"/>
          <w:i w:val="1"/>
          <w:iCs w:val="1"/>
          <w:color w:val="002060"/>
        </w:rPr>
        <w:t xml:space="preserve"> </w:t>
      </w:r>
      <w:r>
        <w:rPr>
          <w:rFonts w:ascii="Times New Roman" w:cs="Times New Roman" w:eastAsia="Times New Roman" w:hAnsi="Times New Roman"/>
          <w:sz w:val="18"/>
          <w:szCs w:val="18"/>
          <w:color w:val="002060"/>
        </w:rPr>
        <w:t>Provided the Board of Directors approves an incentive payment for the fiscal year, you may be eligible for incentive consideration</w:t>
      </w:r>
      <w:r>
        <w:rPr>
          <w:rFonts w:ascii="Times New Roman" w:cs="Times New Roman" w:eastAsia="Times New Roman" w:hAnsi="Times New Roman"/>
          <w:sz w:val="18"/>
          <w:szCs w:val="18"/>
          <w:b w:val="1"/>
          <w:bCs w:val="1"/>
          <w:i w:val="1"/>
          <w:iCs w:val="1"/>
          <w:color w:val="002060"/>
        </w:rPr>
        <w:t xml:space="preserve"> </w:t>
      </w:r>
      <w:r>
        <w:rPr>
          <w:rFonts w:ascii="Times New Roman" w:cs="Times New Roman" w:eastAsia="Times New Roman" w:hAnsi="Times New Roman"/>
          <w:sz w:val="18"/>
          <w:szCs w:val="18"/>
          <w:color w:val="002060"/>
        </w:rPr>
        <w:t>based on 80% of your annual base salary. Incentive payments are awarded based on company and individual performance assessed during the annual review cycle. You must be employed at Petco at the time the incentive is paid. The Company reserves the right to modify or terminate the incentive plan at its sole discretion.</w:t>
      </w:r>
    </w:p>
    <w:p>
      <w:pPr>
        <w:spacing w:after="0" w:line="153"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002060"/>
        </w:rPr>
        <w:t>For fiscal year 2024 only, the company will guarantee an annual incentive target opportunity of at least 25% of your annual base salary. For an avoidance of doubt, your 2024 annual incentive target opportunity will be $140,000 and your actual payout will be determined by the performance of the 2024 Executive Officer Annual Incentive Plan.</w:t>
      </w:r>
    </w:p>
    <w:p>
      <w:pPr>
        <w:spacing w:after="0" w:line="172" w:lineRule="exact"/>
        <w:rPr>
          <w:sz w:val="20"/>
          <w:szCs w:val="20"/>
          <w:color w:val="auto"/>
        </w:rPr>
      </w:pPr>
    </w:p>
    <w:p>
      <w:pPr>
        <w:ind w:right="340"/>
        <w:spacing w:after="0" w:line="262" w:lineRule="auto"/>
        <w:rPr>
          <w:sz w:val="20"/>
          <w:szCs w:val="20"/>
          <w:color w:val="auto"/>
        </w:rPr>
      </w:pPr>
      <w:r>
        <w:rPr>
          <w:rFonts w:ascii="Times New Roman" w:cs="Times New Roman" w:eastAsia="Times New Roman" w:hAnsi="Times New Roman"/>
          <w:sz w:val="18"/>
          <w:szCs w:val="18"/>
          <w:b w:val="1"/>
          <w:bCs w:val="1"/>
          <w:i w:val="1"/>
          <w:iCs w:val="1"/>
          <w:color w:val="002060"/>
        </w:rPr>
        <w:t xml:space="preserve">One-Time Bonus Payment - </w:t>
      </w:r>
      <w:r>
        <w:rPr>
          <w:rFonts w:ascii="Times New Roman" w:cs="Times New Roman" w:eastAsia="Times New Roman" w:hAnsi="Times New Roman"/>
          <w:sz w:val="18"/>
          <w:szCs w:val="18"/>
          <w:color w:val="002060"/>
        </w:rPr>
        <w:t>You will receive a one-time cash bonus of $200,000. The payment will be taxed according to IRS guidelines and paid</w:t>
      </w:r>
      <w:r>
        <w:rPr>
          <w:rFonts w:ascii="Times New Roman" w:cs="Times New Roman" w:eastAsia="Times New Roman" w:hAnsi="Times New Roman"/>
          <w:sz w:val="18"/>
          <w:szCs w:val="18"/>
          <w:b w:val="1"/>
          <w:bCs w:val="1"/>
          <w:i w:val="1"/>
          <w:iCs w:val="1"/>
          <w:color w:val="002060"/>
        </w:rPr>
        <w:t xml:space="preserve"> </w:t>
      </w:r>
      <w:r>
        <w:rPr>
          <w:rFonts w:ascii="Times New Roman" w:cs="Times New Roman" w:eastAsia="Times New Roman" w:hAnsi="Times New Roman"/>
          <w:sz w:val="18"/>
          <w:szCs w:val="18"/>
          <w:color w:val="002060"/>
        </w:rPr>
        <w:t>within your first 60 days of continuous employment. You agree to repay Petco up to 100% of the sign-on bonus if you voluntarily terminate or your employment is terminated for cause by Petco within two years of your start date. A Sign-on Bonus Repayment Agreement will provide further details regarding this payment.</w:t>
      </w:r>
    </w:p>
    <w:p>
      <w:pPr>
        <w:spacing w:after="0" w:line="68" w:lineRule="exact"/>
        <w:rPr>
          <w:sz w:val="20"/>
          <w:szCs w:val="20"/>
          <w:color w:val="auto"/>
        </w:rPr>
      </w:pPr>
    </w:p>
    <w:p>
      <w:pPr>
        <w:jc w:val="both"/>
        <w:ind w:right="100"/>
        <w:spacing w:after="0" w:line="220" w:lineRule="exact"/>
        <w:rPr>
          <w:sz w:val="20"/>
          <w:szCs w:val="20"/>
          <w:color w:val="auto"/>
        </w:rPr>
      </w:pPr>
      <w:r>
        <w:rPr>
          <w:rFonts w:ascii="Times New Roman" w:cs="Times New Roman" w:eastAsia="Times New Roman" w:hAnsi="Times New Roman"/>
          <w:sz w:val="18"/>
          <w:szCs w:val="18"/>
          <w:b w:val="1"/>
          <w:bCs w:val="1"/>
          <w:i w:val="1"/>
          <w:iCs w:val="1"/>
          <w:color w:val="002060"/>
        </w:rPr>
        <w:t xml:space="preserve">Long-Term Incentive – </w:t>
      </w:r>
      <w:r>
        <w:rPr>
          <w:rFonts w:ascii="Times New Roman" w:cs="Times New Roman" w:eastAsia="Times New Roman" w:hAnsi="Times New Roman"/>
          <w:sz w:val="18"/>
          <w:szCs w:val="18"/>
          <w:color w:val="002060"/>
        </w:rPr>
        <w:t>Subject to approval by the Board, you will receive an initial equity award under the Petco Health and Wellness Company, Inc.</w:t>
      </w:r>
      <w:r>
        <w:rPr>
          <w:rFonts w:ascii="Times New Roman" w:cs="Times New Roman" w:eastAsia="Times New Roman" w:hAnsi="Times New Roman"/>
          <w:sz w:val="18"/>
          <w:szCs w:val="18"/>
          <w:b w:val="1"/>
          <w:bCs w:val="1"/>
          <w:i w:val="1"/>
          <w:iCs w:val="1"/>
          <w:color w:val="002060"/>
        </w:rPr>
        <w:t xml:space="preserve"> </w:t>
      </w:r>
      <w:r>
        <w:rPr>
          <w:rFonts w:ascii="Times New Roman" w:cs="Times New Roman" w:eastAsia="Times New Roman" w:hAnsi="Times New Roman"/>
          <w:sz w:val="18"/>
          <w:szCs w:val="18"/>
          <w:color w:val="002060"/>
        </w:rPr>
        <w:t>2021 Equity Incentive Plan (the “Equity Plan”) with a total target award value equal of at least $1,500,000. Your initial equity award is intended to make you whole for certain compensation you have forfeited with your previous employer. Your initial equity award will be in the form of Restricted Stock Units (“RSUs”), with the final grant value to be calculated immediately prior to such grant. Your grant will be made during our next monthly grant cycle which is expected to occur on or around November 18, 2024. It is expected that your grant will vest over a three</w:t>
      </w:r>
      <w:r>
        <w:rPr>
          <w:rFonts w:ascii="MS PGothic" w:cs="MS PGothic" w:eastAsia="MS PGothic" w:hAnsi="MS PGothic"/>
          <w:sz w:val="18"/>
          <w:szCs w:val="18"/>
          <w:color w:val="002060"/>
        </w:rPr>
        <w:t>‐</w:t>
      </w:r>
      <w:r>
        <w:rPr>
          <w:rFonts w:ascii="Times New Roman" w:cs="Times New Roman" w:eastAsia="Times New Roman" w:hAnsi="Times New Roman"/>
          <w:sz w:val="18"/>
          <w:szCs w:val="18"/>
          <w:color w:val="002060"/>
        </w:rPr>
        <w:t>year period following the date of grant. Equity awards are subject to approval by our Board of Directors (the “Board”) and/or the Compensation Committee of the Board, as well as the terms and conditions of the Equity Plan and your award agreement.</w:t>
      </w:r>
    </w:p>
    <w:p>
      <w:pPr>
        <w:spacing w:after="0" w:line="172" w:lineRule="exact"/>
        <w:rPr>
          <w:sz w:val="20"/>
          <w:szCs w:val="20"/>
          <w:color w:val="auto"/>
        </w:rPr>
      </w:pPr>
    </w:p>
    <w:p>
      <w:pPr>
        <w:jc w:val="both"/>
        <w:ind w:right="100"/>
        <w:spacing w:after="0" w:line="219" w:lineRule="exact"/>
        <w:rPr>
          <w:sz w:val="20"/>
          <w:szCs w:val="20"/>
          <w:color w:val="auto"/>
        </w:rPr>
      </w:pPr>
      <w:r>
        <w:rPr>
          <w:rFonts w:ascii="Times New Roman" w:cs="Times New Roman" w:eastAsia="Times New Roman" w:hAnsi="Times New Roman"/>
          <w:sz w:val="18"/>
          <w:szCs w:val="18"/>
          <w:color w:val="002060"/>
        </w:rPr>
        <w:t>Beginning in fiscal year 2025, you will be eligible to receive an annual equity award under the Equity Plan with an approximate award value of $1,000,000. Annual equity awards are typically granted in March or April of the fiscal year. The form of your 2025 annual equity award will be aligned with your peer group of employees within the company. It is expected that your grants will vest over a three</w:t>
      </w:r>
      <w:r>
        <w:rPr>
          <w:rFonts w:ascii="MS PGothic" w:cs="MS PGothic" w:eastAsia="MS PGothic" w:hAnsi="MS PGothic"/>
          <w:sz w:val="18"/>
          <w:szCs w:val="18"/>
          <w:color w:val="002060"/>
        </w:rPr>
        <w:t>‐</w:t>
      </w:r>
      <w:r>
        <w:rPr>
          <w:rFonts w:ascii="Times New Roman" w:cs="Times New Roman" w:eastAsia="Times New Roman" w:hAnsi="Times New Roman"/>
          <w:sz w:val="18"/>
          <w:szCs w:val="18"/>
          <w:color w:val="002060"/>
        </w:rPr>
        <w:t>year period following the date of grant. Future equity award eligibility, amounts, and terms are subject to change and will require approval by the Board. Following approval of your award, you will receive communications informing you of your award and containing important details, including how to formally accept your award in our Equity Plan administration system.</w:t>
      </w:r>
    </w:p>
    <w:p>
      <w:pPr>
        <w:spacing w:after="0" w:line="172" w:lineRule="exact"/>
        <w:rPr>
          <w:sz w:val="20"/>
          <w:szCs w:val="20"/>
          <w:color w:val="auto"/>
        </w:rPr>
      </w:pPr>
    </w:p>
    <w:p>
      <w:pPr>
        <w:jc w:val="both"/>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002060"/>
        </w:rPr>
        <w:t xml:space="preserve">Travel &amp; Expense Reimbursement – </w:t>
      </w:r>
      <w:r>
        <w:rPr>
          <w:rFonts w:ascii="Times New Roman" w:cs="Times New Roman" w:eastAsia="Times New Roman" w:hAnsi="Times New Roman"/>
          <w:sz w:val="18"/>
          <w:szCs w:val="18"/>
          <w:color w:val="002060"/>
        </w:rPr>
        <w:t>All travel and related business expenses will be reimbursed in accordance with Company policies during your</w:t>
      </w:r>
      <w:r>
        <w:rPr>
          <w:rFonts w:ascii="Times New Roman" w:cs="Times New Roman" w:eastAsia="Times New Roman" w:hAnsi="Times New Roman"/>
          <w:sz w:val="18"/>
          <w:szCs w:val="18"/>
          <w:b w:val="1"/>
          <w:bCs w:val="1"/>
          <w:i w:val="1"/>
          <w:iCs w:val="1"/>
          <w:color w:val="002060"/>
        </w:rPr>
        <w:t xml:space="preserve"> </w:t>
      </w:r>
      <w:r>
        <w:rPr>
          <w:rFonts w:ascii="Times New Roman" w:cs="Times New Roman" w:eastAsia="Times New Roman" w:hAnsi="Times New Roman"/>
          <w:sz w:val="18"/>
          <w:szCs w:val="18"/>
          <w:color w:val="002060"/>
        </w:rPr>
        <w:t>employment.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1179830</wp:posOffset>
            </wp:positionV>
            <wp:extent cx="7157720" cy="425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440" w:top="761" w:right="339" w:bottom="1440" w:gutter="0" w:footer="0" w:header="0"/>
        </w:sectPr>
      </w:pPr>
    </w:p>
    <w:bookmarkStart w:id="125" w:name="page126"/>
    <w:bookmarkEnd w:id="125"/>
    <w:p>
      <w:pPr>
        <w:jc w:val="right"/>
        <w:spacing w:after="0"/>
        <w:rPr>
          <w:sz w:val="20"/>
          <w:szCs w:val="20"/>
          <w:color w:val="auto"/>
        </w:rPr>
      </w:pPr>
      <w:r>
        <w:rPr>
          <w:rFonts w:ascii="Times New Roman" w:cs="Times New Roman" w:eastAsia="Times New Roman" w:hAnsi="Times New Roman"/>
          <w:sz w:val="20"/>
          <w:szCs w:val="20"/>
          <w:b w:val="1"/>
          <w:bCs w:val="1"/>
          <w:i w:val="1"/>
          <w:iCs w:val="1"/>
          <w:color w:val="auto"/>
        </w:rPr>
        <w:t>Exhibit 10.40</w:t>
      </w:r>
    </w:p>
    <w:p>
      <w:pPr>
        <w:spacing w:after="0" w:line="200" w:lineRule="exact"/>
        <w:rPr>
          <w:sz w:val="20"/>
          <w:szCs w:val="20"/>
          <w:color w:val="auto"/>
        </w:rPr>
      </w:pPr>
    </w:p>
    <w:p>
      <w:pPr>
        <w:spacing w:after="0" w:line="209"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002060"/>
        </w:rPr>
        <w:t xml:space="preserve">Relocation – </w:t>
      </w:r>
      <w:r>
        <w:rPr>
          <w:rFonts w:ascii="Times New Roman" w:cs="Times New Roman" w:eastAsia="Times New Roman" w:hAnsi="Times New Roman"/>
          <w:sz w:val="18"/>
          <w:szCs w:val="18"/>
          <w:color w:val="002060"/>
        </w:rPr>
        <w:t>You will work remote for your first 6-months of service or until a point mutually decided by you and the company. Upon your relocation,</w:t>
      </w:r>
      <w:r>
        <w:rPr>
          <w:rFonts w:ascii="Times New Roman" w:cs="Times New Roman" w:eastAsia="Times New Roman" w:hAnsi="Times New Roman"/>
          <w:sz w:val="18"/>
          <w:szCs w:val="18"/>
          <w:b w:val="1"/>
          <w:bCs w:val="1"/>
          <w:i w:val="1"/>
          <w:iCs w:val="1"/>
          <w:color w:val="002060"/>
        </w:rPr>
        <w:t xml:space="preserve"> </w:t>
      </w:r>
      <w:r>
        <w:rPr>
          <w:rFonts w:ascii="Times New Roman" w:cs="Times New Roman" w:eastAsia="Times New Roman" w:hAnsi="Times New Roman"/>
          <w:sz w:val="18"/>
          <w:szCs w:val="18"/>
          <w:color w:val="002060"/>
        </w:rPr>
        <w:t>the Company will provide a relocation package to assist you with your move.</w:t>
      </w:r>
    </w:p>
    <w:p>
      <w:pPr>
        <w:spacing w:after="0" w:line="128" w:lineRule="exact"/>
        <w:rPr>
          <w:sz w:val="20"/>
          <w:szCs w:val="20"/>
          <w:color w:val="auto"/>
        </w:rPr>
      </w:pPr>
    </w:p>
    <w:p>
      <w:pPr>
        <w:jc w:val="both"/>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002060"/>
        </w:rPr>
        <w:t xml:space="preserve">Benefits - </w:t>
      </w:r>
      <w:r>
        <w:rPr>
          <w:rFonts w:ascii="Times New Roman" w:cs="Times New Roman" w:eastAsia="Times New Roman" w:hAnsi="Times New Roman"/>
          <w:sz w:val="18"/>
          <w:szCs w:val="18"/>
          <w:color w:val="002060"/>
        </w:rPr>
        <w:t>Petco offers a comprehensive and competitive benefits package designed to support the overall wellbeing of you and your family. Benefits</w:t>
      </w:r>
      <w:r>
        <w:rPr>
          <w:rFonts w:ascii="Times New Roman" w:cs="Times New Roman" w:eastAsia="Times New Roman" w:hAnsi="Times New Roman"/>
          <w:sz w:val="18"/>
          <w:szCs w:val="18"/>
          <w:b w:val="1"/>
          <w:bCs w:val="1"/>
          <w:i w:val="1"/>
          <w:iCs w:val="1"/>
          <w:color w:val="002060"/>
        </w:rPr>
        <w:t xml:space="preserve"> </w:t>
      </w:r>
      <w:r>
        <w:rPr>
          <w:rFonts w:ascii="Times New Roman" w:cs="Times New Roman" w:eastAsia="Times New Roman" w:hAnsi="Times New Roman"/>
          <w:sz w:val="18"/>
          <w:szCs w:val="18"/>
          <w:color w:val="002060"/>
        </w:rPr>
        <w:t>include: medical, dental, vision, life insurance, a retirement savings plan, paid time off, and Petco merchandise and services discounts.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2060"/>
        </w:rPr>
        <w:t>To learn about the benefits available or how to enroll visit</w:t>
      </w:r>
      <w:r>
        <w:rPr>
          <w:rFonts w:ascii="Times New Roman" w:cs="Times New Roman" w:eastAsia="Times New Roman" w:hAnsi="Times New Roman"/>
          <w:sz w:val="18"/>
          <w:szCs w:val="18"/>
          <w:color w:val="002060"/>
        </w:rPr>
        <w:t xml:space="preserve"> </w:t>
      </w:r>
      <w:r>
        <w:rPr>
          <w:rFonts w:ascii="Times New Roman" w:cs="Times New Roman" w:eastAsia="Times New Roman" w:hAnsi="Times New Roman"/>
          <w:sz w:val="18"/>
          <w:szCs w:val="18"/>
          <w:color w:val="000000"/>
        </w:rPr>
        <w:t>www.mypetcobenefits.com</w:t>
      </w:r>
    </w:p>
    <w:p>
      <w:pPr>
        <w:spacing w:after="0" w:line="333"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002060"/>
        </w:rPr>
        <w:t xml:space="preserve">If you wish to enroll in Petco's benefit plans, you must make an election within the first </w:t>
      </w:r>
      <w:r>
        <w:rPr>
          <w:rFonts w:ascii="Times New Roman" w:cs="Times New Roman" w:eastAsia="Times New Roman" w:hAnsi="Times New Roman"/>
          <w:sz w:val="18"/>
          <w:szCs w:val="18"/>
          <w:u w:val="single" w:color="auto"/>
          <w:color w:val="002060"/>
        </w:rPr>
        <w:t>30</w:t>
      </w:r>
      <w:r>
        <w:rPr>
          <w:rFonts w:ascii="Times New Roman" w:cs="Times New Roman" w:eastAsia="Times New Roman" w:hAnsi="Times New Roman"/>
          <w:sz w:val="18"/>
          <w:szCs w:val="18"/>
          <w:color w:val="002060"/>
        </w:rPr>
        <w:t xml:space="preserve"> days of employment. If you do not make an election within the enrollment period, your next opportunity to enroll will be during the annual open enrollment period or within 30 days of experiencing a qualifying event. You will receive a direct mailing with instructions on how to enroll in Petco's benefit programs.</w:t>
      </w:r>
    </w:p>
    <w:p>
      <w:pPr>
        <w:spacing w:after="0" w:line="284" w:lineRule="exact"/>
        <w:rPr>
          <w:sz w:val="20"/>
          <w:szCs w:val="20"/>
          <w:color w:val="auto"/>
        </w:rPr>
      </w:pPr>
    </w:p>
    <w:p>
      <w:pPr>
        <w:jc w:val="both"/>
        <w:ind w:right="220"/>
        <w:spacing w:after="0" w:line="282" w:lineRule="auto"/>
        <w:rPr>
          <w:sz w:val="20"/>
          <w:szCs w:val="20"/>
          <w:color w:val="auto"/>
        </w:rPr>
      </w:pPr>
      <w:r>
        <w:rPr>
          <w:rFonts w:ascii="Times New Roman" w:cs="Times New Roman" w:eastAsia="Times New Roman" w:hAnsi="Times New Roman"/>
          <w:sz w:val="18"/>
          <w:szCs w:val="18"/>
          <w:color w:val="002060"/>
        </w:rPr>
        <w:t>You become eligible for the 401(k) Plan after completing six months of service and working at least 500 hours. You must be age 21 or older to participate in the 401(k) Plan.</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2060"/>
        </w:rPr>
        <w:t>Additionally, you are eligible to receive the following:</w:t>
      </w:r>
    </w:p>
    <w:p>
      <w:pPr>
        <w:spacing w:after="0" w:line="221" w:lineRule="exact"/>
        <w:rPr>
          <w:sz w:val="20"/>
          <w:szCs w:val="20"/>
          <w:color w:val="auto"/>
        </w:rPr>
      </w:pPr>
    </w:p>
    <w:p>
      <w:pPr>
        <w:jc w:val="both"/>
        <w:ind w:right="260"/>
        <w:spacing w:after="0" w:line="268" w:lineRule="auto"/>
        <w:rPr>
          <w:sz w:val="20"/>
          <w:szCs w:val="20"/>
          <w:color w:val="auto"/>
        </w:rPr>
      </w:pPr>
      <w:r>
        <w:rPr>
          <w:rFonts w:ascii="Times New Roman" w:cs="Times New Roman" w:eastAsia="Times New Roman" w:hAnsi="Times New Roman"/>
          <w:sz w:val="18"/>
          <w:szCs w:val="18"/>
          <w:b w:val="1"/>
          <w:bCs w:val="1"/>
          <w:i w:val="1"/>
          <w:iCs w:val="1"/>
          <w:color w:val="002060"/>
        </w:rPr>
        <w:t xml:space="preserve">Executive Severance Plan – </w:t>
      </w:r>
      <w:r>
        <w:rPr>
          <w:rFonts w:ascii="Times New Roman" w:cs="Times New Roman" w:eastAsia="Times New Roman" w:hAnsi="Times New Roman"/>
          <w:sz w:val="18"/>
          <w:szCs w:val="18"/>
          <w:color w:val="002060"/>
        </w:rPr>
        <w:t>As a senior officer, you will be eligible for severance benefits under the Petco Health and Wellness Company, Inc.</w:t>
      </w:r>
      <w:r>
        <w:rPr>
          <w:rFonts w:ascii="Times New Roman" w:cs="Times New Roman" w:eastAsia="Times New Roman" w:hAnsi="Times New Roman"/>
          <w:sz w:val="18"/>
          <w:szCs w:val="18"/>
          <w:b w:val="1"/>
          <w:bCs w:val="1"/>
          <w:i w:val="1"/>
          <w:iCs w:val="1"/>
          <w:color w:val="002060"/>
        </w:rPr>
        <w:t xml:space="preserve"> </w:t>
      </w:r>
      <w:r>
        <w:rPr>
          <w:rFonts w:ascii="Times New Roman" w:cs="Times New Roman" w:eastAsia="Times New Roman" w:hAnsi="Times New Roman"/>
          <w:sz w:val="18"/>
          <w:szCs w:val="18"/>
          <w:color w:val="002060"/>
        </w:rPr>
        <w:t>Executive Severance Plan (the “Severance Plan”). Refer to the Petco Health and Wellness Company, Inc. Executive Severance Plan document for the benefits as a tier II, SVP-level partner.</w:t>
      </w:r>
    </w:p>
    <w:p>
      <w:pPr>
        <w:spacing w:after="0" w:line="6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002060"/>
        </w:rPr>
        <w:t xml:space="preserve">Financial and Tax Preparation Services - </w:t>
      </w:r>
      <w:r>
        <w:rPr>
          <w:rFonts w:ascii="Times New Roman" w:cs="Times New Roman" w:eastAsia="Times New Roman" w:hAnsi="Times New Roman"/>
          <w:sz w:val="18"/>
          <w:szCs w:val="18"/>
          <w:color w:val="002060"/>
        </w:rPr>
        <w:t>As a senior officer, you are eligible for financial planning and tax preparation services through AYCO</w:t>
      </w:r>
      <w:r>
        <w:rPr>
          <w:rFonts w:ascii="Times New Roman" w:cs="Times New Roman" w:eastAsia="Times New Roman" w:hAnsi="Times New Roman"/>
          <w:sz w:val="18"/>
          <w:szCs w:val="18"/>
          <w:b w:val="1"/>
          <w:bCs w:val="1"/>
          <w:i w:val="1"/>
          <w:iCs w:val="1"/>
          <w:color w:val="002060"/>
        </w:rPr>
        <w:t xml:space="preserve"> </w:t>
      </w:r>
      <w:r>
        <w:rPr>
          <w:rFonts w:ascii="Times New Roman" w:cs="Times New Roman" w:eastAsia="Times New Roman" w:hAnsi="Times New Roman"/>
          <w:sz w:val="18"/>
          <w:szCs w:val="18"/>
          <w:color w:val="002060"/>
        </w:rPr>
        <w:t>Financial Services, a Goldman Sachs Company. This service is paid for by the Company and treated as income to you for tax purposes. Such benefits are subject to the applicable plan documents, and as may be amended or terminated by Petco.</w:t>
      </w:r>
    </w:p>
    <w:p>
      <w:pPr>
        <w:spacing w:after="0" w:line="63" w:lineRule="exact"/>
        <w:rPr>
          <w:sz w:val="20"/>
          <w:szCs w:val="20"/>
          <w:color w:val="auto"/>
        </w:rPr>
      </w:pPr>
    </w:p>
    <w:p>
      <w:pPr>
        <w:jc w:val="both"/>
        <w:ind w:right="300"/>
        <w:spacing w:after="0" w:line="268" w:lineRule="auto"/>
        <w:rPr>
          <w:sz w:val="20"/>
          <w:szCs w:val="20"/>
          <w:color w:val="auto"/>
        </w:rPr>
      </w:pPr>
      <w:r>
        <w:rPr>
          <w:rFonts w:ascii="Times New Roman" w:cs="Times New Roman" w:eastAsia="Times New Roman" w:hAnsi="Times New Roman"/>
          <w:sz w:val="18"/>
          <w:szCs w:val="18"/>
          <w:b w:val="1"/>
          <w:bCs w:val="1"/>
          <w:i w:val="1"/>
          <w:iCs w:val="1"/>
          <w:color w:val="002060"/>
        </w:rPr>
        <w:t xml:space="preserve">Executive Physical - </w:t>
      </w:r>
      <w:r>
        <w:rPr>
          <w:rFonts w:ascii="Times New Roman" w:cs="Times New Roman" w:eastAsia="Times New Roman" w:hAnsi="Times New Roman"/>
          <w:sz w:val="18"/>
          <w:szCs w:val="18"/>
          <w:color w:val="002060"/>
        </w:rPr>
        <w:t>As a senior officer, you are eligible to receive an annual comprehensive wellness exam provided through the Scripps Center for</w:t>
      </w:r>
      <w:r>
        <w:rPr>
          <w:rFonts w:ascii="Times New Roman" w:cs="Times New Roman" w:eastAsia="Times New Roman" w:hAnsi="Times New Roman"/>
          <w:sz w:val="18"/>
          <w:szCs w:val="18"/>
          <w:b w:val="1"/>
          <w:bCs w:val="1"/>
          <w:i w:val="1"/>
          <w:iCs w:val="1"/>
          <w:color w:val="002060"/>
        </w:rPr>
        <w:t xml:space="preserve"> </w:t>
      </w:r>
      <w:r>
        <w:rPr>
          <w:rFonts w:ascii="Times New Roman" w:cs="Times New Roman" w:eastAsia="Times New Roman" w:hAnsi="Times New Roman"/>
          <w:sz w:val="18"/>
          <w:szCs w:val="18"/>
          <w:color w:val="002060"/>
        </w:rPr>
        <w:t>Executive Health. This service is paid for by the Company and treated as income to you for tax purposes. Such benefits are subject to the applicable plan documents, and as may be amended or terminated by Petco.</w:t>
      </w:r>
    </w:p>
    <w:p>
      <w:pPr>
        <w:spacing w:after="0" w:line="63" w:lineRule="exact"/>
        <w:rPr>
          <w:sz w:val="20"/>
          <w:szCs w:val="20"/>
          <w:color w:val="auto"/>
        </w:rPr>
      </w:pPr>
    </w:p>
    <w:p>
      <w:pPr>
        <w:jc w:val="both"/>
        <w:ind w:right="100"/>
        <w:spacing w:after="0" w:line="257" w:lineRule="auto"/>
        <w:rPr>
          <w:sz w:val="20"/>
          <w:szCs w:val="20"/>
          <w:color w:val="auto"/>
        </w:rPr>
      </w:pPr>
      <w:r>
        <w:rPr>
          <w:rFonts w:ascii="Times New Roman" w:cs="Times New Roman" w:eastAsia="Times New Roman" w:hAnsi="Times New Roman"/>
          <w:sz w:val="18"/>
          <w:szCs w:val="18"/>
          <w:b w:val="1"/>
          <w:bCs w:val="1"/>
          <w:i w:val="1"/>
          <w:iCs w:val="1"/>
          <w:color w:val="002060"/>
        </w:rPr>
        <w:t xml:space="preserve">Performance Management </w:t>
      </w:r>
      <w:r>
        <w:rPr>
          <w:rFonts w:ascii="Times New Roman" w:cs="Times New Roman" w:eastAsia="Times New Roman" w:hAnsi="Times New Roman"/>
          <w:sz w:val="18"/>
          <w:szCs w:val="18"/>
          <w:b w:val="1"/>
          <w:bCs w:val="1"/>
          <w:color w:val="002060"/>
        </w:rPr>
        <w:t>-</w:t>
      </w:r>
      <w:r>
        <w:rPr>
          <w:rFonts w:ascii="Times New Roman" w:cs="Times New Roman" w:eastAsia="Times New Roman" w:hAnsi="Times New Roman"/>
          <w:sz w:val="18"/>
          <w:szCs w:val="18"/>
          <w:b w:val="1"/>
          <w:bCs w:val="1"/>
          <w:i w:val="1"/>
          <w:iCs w:val="1"/>
          <w:color w:val="002060"/>
        </w:rPr>
        <w:t xml:space="preserve"> </w:t>
      </w:r>
      <w:r>
        <w:rPr>
          <w:rFonts w:ascii="Times New Roman" w:cs="Times New Roman" w:eastAsia="Times New Roman" w:hAnsi="Times New Roman"/>
          <w:sz w:val="18"/>
          <w:szCs w:val="18"/>
          <w:color w:val="002060"/>
        </w:rPr>
        <w:t>Performance reviews are based on a fiscal review period of February to January. Your start date must be before December</w:t>
      </w:r>
      <w:r>
        <w:rPr>
          <w:rFonts w:ascii="Times New Roman" w:cs="Times New Roman" w:eastAsia="Times New Roman" w:hAnsi="Times New Roman"/>
          <w:sz w:val="18"/>
          <w:szCs w:val="18"/>
          <w:b w:val="1"/>
          <w:bCs w:val="1"/>
          <w:i w:val="1"/>
          <w:iCs w:val="1"/>
          <w:color w:val="002060"/>
        </w:rPr>
        <w:t xml:space="preserve"> </w:t>
      </w:r>
      <w:r>
        <w:rPr>
          <w:rFonts w:ascii="Times New Roman" w:cs="Times New Roman" w:eastAsia="Times New Roman" w:hAnsi="Times New Roman"/>
          <w:sz w:val="18"/>
          <w:szCs w:val="18"/>
          <w:color w:val="002060"/>
        </w:rPr>
        <w:t>1 to participate in the annual performance management process. If your start date is from February 1 through November 30 of the fiscal year you may be eligible to receive a merit increase subject to proration for length of service and management approval. Merit increases thereafter shall be tied to performance results assessed during the annual review cycle. If your start date is on or after December 1, you will be eligible to participate in the annual performance review process the February following your first anniversary. The Company reserves the right to modify or terminate the merit plan at its sole discretion.</w:t>
      </w:r>
    </w:p>
    <w:p>
      <w:pPr>
        <w:spacing w:after="0" w:line="155" w:lineRule="exact"/>
        <w:rPr>
          <w:sz w:val="20"/>
          <w:szCs w:val="20"/>
          <w:color w:val="auto"/>
        </w:rPr>
      </w:pPr>
    </w:p>
    <w:p>
      <w:pPr>
        <w:jc w:val="both"/>
        <w:ind w:right="160"/>
        <w:spacing w:after="0" w:line="268" w:lineRule="auto"/>
        <w:rPr>
          <w:sz w:val="20"/>
          <w:szCs w:val="20"/>
          <w:color w:val="auto"/>
        </w:rPr>
      </w:pPr>
      <w:r>
        <w:rPr>
          <w:rFonts w:ascii="Times New Roman" w:cs="Times New Roman" w:eastAsia="Times New Roman" w:hAnsi="Times New Roman"/>
          <w:sz w:val="18"/>
          <w:szCs w:val="18"/>
          <w:b w:val="1"/>
          <w:bCs w:val="1"/>
          <w:i w:val="1"/>
          <w:iCs w:val="1"/>
          <w:color w:val="002060"/>
        </w:rPr>
        <w:t xml:space="preserve">Other - </w:t>
      </w:r>
      <w:r>
        <w:rPr>
          <w:rFonts w:ascii="Times New Roman" w:cs="Times New Roman" w:eastAsia="Times New Roman" w:hAnsi="Times New Roman"/>
          <w:sz w:val="18"/>
          <w:szCs w:val="18"/>
          <w:color w:val="002060"/>
        </w:rPr>
        <w:t>This offer is contingent upon our receipt and verification of various pre-employment screenings. Should you accept this conditional offer of</w:t>
      </w:r>
      <w:r>
        <w:rPr>
          <w:rFonts w:ascii="Times New Roman" w:cs="Times New Roman" w:eastAsia="Times New Roman" w:hAnsi="Times New Roman"/>
          <w:sz w:val="18"/>
          <w:szCs w:val="18"/>
          <w:b w:val="1"/>
          <w:bCs w:val="1"/>
          <w:i w:val="1"/>
          <w:iCs w:val="1"/>
          <w:color w:val="002060"/>
        </w:rPr>
        <w:t xml:space="preserve"> </w:t>
      </w:r>
      <w:r>
        <w:rPr>
          <w:rFonts w:ascii="Times New Roman" w:cs="Times New Roman" w:eastAsia="Times New Roman" w:hAnsi="Times New Roman"/>
          <w:sz w:val="18"/>
          <w:szCs w:val="18"/>
          <w:color w:val="002060"/>
        </w:rPr>
        <w:t>employment, we suggest that you do not give notice to your current employer or make any other arrangements with respect to potential employment with the Company until you have been notified that we have successfully completed all components of this pre- employment process.</w:t>
      </w:r>
    </w:p>
    <w:p>
      <w:pPr>
        <w:spacing w:after="0" w:line="148" w:lineRule="exact"/>
        <w:rPr>
          <w:sz w:val="20"/>
          <w:szCs w:val="20"/>
          <w:color w:val="auto"/>
        </w:rPr>
      </w:pPr>
    </w:p>
    <w:p>
      <w:pPr>
        <w:jc w:val="both"/>
        <w:ind w:right="220"/>
        <w:spacing w:after="0" w:line="258" w:lineRule="auto"/>
        <w:rPr>
          <w:sz w:val="20"/>
          <w:szCs w:val="20"/>
          <w:color w:val="auto"/>
        </w:rPr>
      </w:pPr>
      <w:r>
        <w:rPr>
          <w:rFonts w:ascii="Times New Roman" w:cs="Times New Roman" w:eastAsia="Times New Roman" w:hAnsi="Times New Roman"/>
          <w:sz w:val="18"/>
          <w:szCs w:val="18"/>
          <w:color w:val="002060"/>
        </w:rPr>
        <w:t>Petco is an "at will" employer and as such, employment with Petco is not for a fixed term or definite period and may be terminated at the will of either party, with or without cause, and without prior notice. No supervisor or other representative of the Company (except the Chief Executive Officer) has the authority to enter into any agreement for employment for any specified period of time, or to make any agreement contrary to the above. This is the final and complete agreement on this term. Any contrary representations which may have been made or which may be made to you are superseded by this offer. If you accept this offer, the terms described in this letter shall be the terms of your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1195705</wp:posOffset>
            </wp:positionV>
            <wp:extent cx="7157720" cy="425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440" w:top="761" w:right="339" w:bottom="1440" w:gutter="0" w:footer="0" w:header="0"/>
        </w:sectPr>
      </w:pPr>
    </w:p>
    <w:bookmarkStart w:id="126" w:name="page127"/>
    <w:bookmarkEnd w:id="126"/>
    <w:p>
      <w:pPr>
        <w:jc w:val="right"/>
        <w:spacing w:after="0"/>
        <w:rPr>
          <w:sz w:val="20"/>
          <w:szCs w:val="20"/>
          <w:color w:val="auto"/>
        </w:rPr>
      </w:pPr>
      <w:r>
        <w:rPr>
          <w:rFonts w:ascii="Times New Roman" w:cs="Times New Roman" w:eastAsia="Times New Roman" w:hAnsi="Times New Roman"/>
          <w:sz w:val="20"/>
          <w:szCs w:val="20"/>
          <w:b w:val="1"/>
          <w:bCs w:val="1"/>
          <w:i w:val="1"/>
          <w:iCs w:val="1"/>
          <w:color w:val="auto"/>
        </w:rPr>
        <w:t>Exhibit 10.40</w:t>
      </w:r>
    </w:p>
    <w:p>
      <w:pPr>
        <w:spacing w:after="0" w:line="2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002060"/>
        </w:rPr>
        <w:t>employment.</w:t>
      </w:r>
    </w:p>
    <w:p>
      <w:pPr>
        <w:spacing w:after="0" w:line="33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002060"/>
        </w:rPr>
        <w:t>All Petco partners are expected to adhere to the Petco Code of Ethics and the corresponding policies and procedures as a condition of employment.</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002060"/>
        </w:rPr>
        <w:t>You will be provided a copy of the Code of Ethics upon hire and are encouraged to read it thoroughly and notify your supervisor of any questions.</w:t>
      </w:r>
    </w:p>
    <w:p>
      <w:pPr>
        <w:spacing w:after="0" w:line="180" w:lineRule="exact"/>
        <w:rPr>
          <w:sz w:val="20"/>
          <w:szCs w:val="20"/>
          <w:color w:val="auto"/>
        </w:rPr>
      </w:pPr>
    </w:p>
    <w:p>
      <w:pPr>
        <w:jc w:val="both"/>
        <w:ind w:left="120" w:right="220"/>
        <w:spacing w:after="0" w:line="266" w:lineRule="auto"/>
        <w:rPr>
          <w:sz w:val="20"/>
          <w:szCs w:val="20"/>
          <w:color w:val="auto"/>
        </w:rPr>
      </w:pPr>
      <w:r>
        <w:rPr>
          <w:rFonts w:ascii="Times New Roman" w:cs="Times New Roman" w:eastAsia="Times New Roman" w:hAnsi="Times New Roman"/>
          <w:sz w:val="18"/>
          <w:szCs w:val="18"/>
          <w:color w:val="002060"/>
        </w:rPr>
        <w:t>We are very excited to have you join the Petco family. We know that you will be an integral part to our continued success and our ability to do what is right for pets, pet partners, and our partners. If you have any questions, please do not hesitate to reach out to your Hiring Manager or dedicated Talent Advisor.</w:t>
      </w:r>
    </w:p>
    <w:p>
      <w:pPr>
        <w:spacing w:after="0" w:line="149" w:lineRule="exact"/>
        <w:rPr>
          <w:sz w:val="20"/>
          <w:szCs w:val="20"/>
          <w:color w:val="auto"/>
        </w:rPr>
      </w:pPr>
    </w:p>
    <w:p>
      <w:pPr>
        <w:jc w:val="both"/>
        <w:ind w:left="120" w:right="160"/>
        <w:spacing w:after="0" w:line="266" w:lineRule="auto"/>
        <w:rPr>
          <w:sz w:val="20"/>
          <w:szCs w:val="20"/>
          <w:color w:val="auto"/>
        </w:rPr>
      </w:pPr>
      <w:r>
        <w:rPr>
          <w:rFonts w:ascii="Times New Roman" w:cs="Times New Roman" w:eastAsia="Times New Roman" w:hAnsi="Times New Roman"/>
          <w:sz w:val="18"/>
          <w:szCs w:val="18"/>
          <w:color w:val="002060"/>
        </w:rPr>
        <w:t xml:space="preserve">Additionally, on your first day of employment, you will be completing several documents pertaining to your employment and payroll preferences. There will be some documents to complete prior to your start date and subsequent documents to complete day 1. Please be sure to bring with you your valid identification documents to complete your I-9. A listing can be found here: </w:t>
      </w:r>
      <w:r>
        <w:rPr>
          <w:rFonts w:ascii="Times New Roman" w:cs="Times New Roman" w:eastAsia="Times New Roman" w:hAnsi="Times New Roman"/>
          <w:sz w:val="18"/>
          <w:szCs w:val="18"/>
          <w:color w:val="000000"/>
        </w:rPr>
        <w:t>https://www.uscis.gov/i-9- central/form-i-9-acceptable-documents</w:t>
      </w:r>
      <w:r>
        <w:rPr>
          <w:rFonts w:ascii="Times New Roman" w:cs="Times New Roman" w:eastAsia="Times New Roman" w:hAnsi="Times New Roman"/>
          <w:sz w:val="18"/>
          <w:szCs w:val="18"/>
          <w:color w:val="002060"/>
        </w:rPr>
        <w: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002060"/>
        </w:rPr>
        <w:t>We wish you the best of luck and again are very excited to have you join our team!</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60" w:type="dxa"/>
            <w:vAlign w:val="bottom"/>
          </w:tcPr>
          <w:p>
            <w:pPr>
              <w:ind w:left="480"/>
              <w:spacing w:after="0"/>
              <w:rPr>
                <w:sz w:val="20"/>
                <w:szCs w:val="20"/>
                <w:color w:val="auto"/>
              </w:rPr>
            </w:pPr>
            <w:r>
              <w:rPr>
                <w:rFonts w:ascii="Times New Roman" w:cs="Times New Roman" w:eastAsia="Times New Roman" w:hAnsi="Times New Roman"/>
                <w:sz w:val="18"/>
                <w:szCs w:val="18"/>
                <w:color w:val="002060"/>
              </w:rPr>
              <w:t>Sincerely,</w:t>
            </w:r>
          </w:p>
        </w:tc>
        <w:tc>
          <w:tcPr>
            <w:tcW w:w="9180" w:type="dxa"/>
            <w:vAlign w:val="bottom"/>
            <w:gridSpan w:val="2"/>
          </w:tcPr>
          <w:p>
            <w:pPr>
              <w:jc w:val="right"/>
              <w:ind w:right="6890"/>
              <w:spacing w:after="0"/>
              <w:rPr>
                <w:sz w:val="20"/>
                <w:szCs w:val="20"/>
                <w:color w:val="auto"/>
              </w:rPr>
            </w:pPr>
            <w:r>
              <w:rPr>
                <w:rFonts w:ascii="Times New Roman" w:cs="Times New Roman" w:eastAsia="Times New Roman" w:hAnsi="Times New Roman"/>
                <w:sz w:val="18"/>
                <w:szCs w:val="18"/>
                <w:color w:val="002060"/>
              </w:rPr>
              <w:t>Signed,</w:t>
            </w:r>
          </w:p>
        </w:tc>
      </w:tr>
      <w:tr>
        <w:trPr>
          <w:trHeight w:val="621"/>
        </w:trPr>
        <w:tc>
          <w:tcPr>
            <w:tcW w:w="2060" w:type="dxa"/>
            <w:vAlign w:val="bottom"/>
          </w:tcPr>
          <w:p>
            <w:pPr>
              <w:spacing w:after="0"/>
              <w:rPr>
                <w:sz w:val="20"/>
                <w:szCs w:val="20"/>
                <w:color w:val="auto"/>
              </w:rPr>
            </w:pPr>
            <w:r>
              <w:rPr>
                <w:rFonts w:ascii="Times New Roman" w:cs="Times New Roman" w:eastAsia="Times New Roman" w:hAnsi="Times New Roman"/>
                <w:sz w:val="18"/>
                <w:szCs w:val="18"/>
                <w:color w:val="002060"/>
              </w:rPr>
              <w:t>/s/ Holly May</w:t>
            </w:r>
          </w:p>
        </w:tc>
        <w:tc>
          <w:tcPr>
            <w:tcW w:w="1920" w:type="dxa"/>
            <w:vAlign w:val="bottom"/>
          </w:tcPr>
          <w:p>
            <w:pPr>
              <w:ind w:left="820"/>
              <w:spacing w:after="0"/>
              <w:rPr>
                <w:sz w:val="20"/>
                <w:szCs w:val="20"/>
                <w:color w:val="auto"/>
              </w:rPr>
            </w:pPr>
            <w:r>
              <w:rPr>
                <w:rFonts w:ascii="Times New Roman" w:cs="Times New Roman" w:eastAsia="Times New Roman" w:hAnsi="Times New Roman"/>
                <w:sz w:val="18"/>
                <w:szCs w:val="18"/>
                <w:color w:val="002060"/>
                <w:w w:val="99"/>
              </w:rPr>
              <w:t>/s/ Joe Venezia</w:t>
            </w:r>
          </w:p>
        </w:tc>
        <w:tc>
          <w:tcPr>
            <w:tcW w:w="7260" w:type="dxa"/>
            <w:vAlign w:val="bottom"/>
          </w:tcPr>
          <w:p>
            <w:pPr>
              <w:spacing w:after="0"/>
              <w:rPr>
                <w:sz w:val="24"/>
                <w:szCs w:val="24"/>
                <w:color w:val="auto"/>
              </w:rPr>
            </w:pPr>
          </w:p>
        </w:tc>
      </w:tr>
      <w:tr>
        <w:trPr>
          <w:trHeight w:val="621"/>
        </w:trPr>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color w:val="002060"/>
              </w:rPr>
              <w:t>Holly May, Chief Human Resources Officer</w:t>
            </w:r>
          </w:p>
        </w:tc>
        <w:tc>
          <w:tcPr>
            <w:tcW w:w="7260" w:type="dxa"/>
            <w:vAlign w:val="bottom"/>
          </w:tcPr>
          <w:p>
            <w:pPr>
              <w:jc w:val="right"/>
              <w:ind w:right="5590"/>
              <w:spacing w:after="0"/>
              <w:rPr>
                <w:sz w:val="20"/>
                <w:szCs w:val="20"/>
                <w:color w:val="auto"/>
              </w:rPr>
            </w:pPr>
            <w:r>
              <w:rPr>
                <w:rFonts w:ascii="Times New Roman" w:cs="Times New Roman" w:eastAsia="Times New Roman" w:hAnsi="Times New Roman"/>
                <w:sz w:val="18"/>
                <w:szCs w:val="18"/>
                <w:color w:val="002060"/>
              </w:rPr>
              <w:t>Joe Venezia</w:t>
            </w:r>
          </w:p>
        </w:tc>
      </w:tr>
      <w:tr>
        <w:trPr>
          <w:trHeight w:val="324"/>
        </w:trPr>
        <w:tc>
          <w:tcPr>
            <w:tcW w:w="2060" w:type="dxa"/>
            <w:vAlign w:val="bottom"/>
          </w:tcPr>
          <w:p>
            <w:pPr>
              <w:spacing w:after="0"/>
              <w:rPr>
                <w:sz w:val="20"/>
                <w:szCs w:val="20"/>
                <w:color w:val="auto"/>
              </w:rPr>
            </w:pPr>
            <w:r>
              <w:rPr>
                <w:rFonts w:ascii="Times New Roman" w:cs="Times New Roman" w:eastAsia="Times New Roman" w:hAnsi="Times New Roman"/>
                <w:sz w:val="18"/>
                <w:szCs w:val="18"/>
                <w:color w:val="002060"/>
              </w:rPr>
              <w:t>Date:  10/25/24</w:t>
            </w:r>
          </w:p>
        </w:tc>
        <w:tc>
          <w:tcPr>
            <w:tcW w:w="1920" w:type="dxa"/>
            <w:vAlign w:val="bottom"/>
          </w:tcPr>
          <w:p>
            <w:pPr>
              <w:ind w:left="1460"/>
              <w:spacing w:after="0"/>
              <w:rPr>
                <w:sz w:val="20"/>
                <w:szCs w:val="20"/>
                <w:color w:val="auto"/>
              </w:rPr>
            </w:pPr>
            <w:r>
              <w:rPr>
                <w:rFonts w:ascii="Times New Roman" w:cs="Times New Roman" w:eastAsia="Times New Roman" w:hAnsi="Times New Roman"/>
                <w:sz w:val="18"/>
                <w:szCs w:val="18"/>
                <w:color w:val="002060"/>
              </w:rPr>
              <w:t>Date</w:t>
            </w:r>
          </w:p>
        </w:tc>
        <w:tc>
          <w:tcPr>
            <w:tcW w:w="7260" w:type="dxa"/>
            <w:vAlign w:val="bottom"/>
          </w:tcPr>
          <w:p>
            <w:pPr>
              <w:jc w:val="right"/>
              <w:ind w:right="6510"/>
              <w:spacing w:after="0"/>
              <w:rPr>
                <w:sz w:val="20"/>
                <w:szCs w:val="20"/>
                <w:color w:val="auto"/>
              </w:rPr>
            </w:pPr>
            <w:r>
              <w:rPr>
                <w:rFonts w:ascii="Times New Roman" w:cs="Times New Roman" w:eastAsia="Times New Roman" w:hAnsi="Times New Roman"/>
                <w:sz w:val="18"/>
                <w:szCs w:val="18"/>
                <w:color w:val="002060"/>
                <w:w w:val="99"/>
              </w:rPr>
              <w:t>10/27/24</w:t>
            </w:r>
          </w:p>
        </w:tc>
      </w:tr>
      <w:tr>
        <w:trPr>
          <w:trHeight w:val="2032"/>
        </w:trPr>
        <w:tc>
          <w:tcPr>
            <w:tcW w:w="2060" w:type="dxa"/>
            <w:vAlign w:val="bottom"/>
            <w:tcBorders>
              <w:bottom w:val="single" w:sz="8" w:color="9A9A9A"/>
            </w:tcBorders>
          </w:tcPr>
          <w:p>
            <w:pPr>
              <w:spacing w:after="0"/>
              <w:rPr>
                <w:sz w:val="24"/>
                <w:szCs w:val="24"/>
                <w:color w:val="auto"/>
              </w:rPr>
            </w:pPr>
          </w:p>
        </w:tc>
        <w:tc>
          <w:tcPr>
            <w:tcW w:w="1920" w:type="dxa"/>
            <w:vAlign w:val="bottom"/>
            <w:tcBorders>
              <w:bottom w:val="single" w:sz="8" w:color="9A9A9A"/>
            </w:tcBorders>
          </w:tcPr>
          <w:p>
            <w:pPr>
              <w:spacing w:after="0"/>
              <w:rPr>
                <w:sz w:val="24"/>
                <w:szCs w:val="24"/>
                <w:color w:val="auto"/>
              </w:rPr>
            </w:pPr>
          </w:p>
        </w:tc>
        <w:tc>
          <w:tcPr>
            <w:tcW w:w="72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6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6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127" w:name="page128"/>
    <w:bookmarkEnd w:id="127"/>
    <w:p>
      <w:pPr>
        <w:spacing w:after="0"/>
        <w:tabs>
          <w:tab w:leader="none" w:pos="5180" w:val="left"/>
        </w:tabs>
        <w:rPr>
          <w:sz w:val="20"/>
          <w:szCs w:val="20"/>
          <w:color w:val="auto"/>
        </w:rPr>
      </w:pPr>
      <w:r>
        <w:rPr>
          <w:rFonts w:ascii="Times New Roman" w:cs="Times New Roman" w:eastAsia="Times New Roman" w:hAnsi="Times New Roman"/>
          <w:sz w:val="22"/>
          <w:szCs w:val="22"/>
          <w:b w:val="1"/>
          <w:bCs w:val="1"/>
          <w:i w:val="1"/>
          <w:iCs w:val="1"/>
          <w:color w:val="auto"/>
        </w:rPr>
        <w:t>2026 Executive Form</w:t>
      </w:r>
      <w:r>
        <w:rPr>
          <w:sz w:val="20"/>
          <w:szCs w:val="20"/>
          <w:color w:val="auto"/>
        </w:rPr>
        <w:tab/>
      </w:r>
      <w:r>
        <w:rPr>
          <w:rFonts w:ascii="Times New Roman" w:cs="Times New Roman" w:eastAsia="Times New Roman" w:hAnsi="Times New Roman"/>
          <w:sz w:val="21"/>
          <w:szCs w:val="21"/>
          <w:b w:val="1"/>
          <w:bCs w:val="1"/>
          <w:i w:val="1"/>
          <w:iCs w:val="1"/>
          <w:color w:val="auto"/>
        </w:rPr>
        <w:t>Exhibit 10.41</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PETCO HEALTH AND WELLNESS COMPANY, INC.</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2021 EQUITY INCENTIVE PLAN</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GRANT NOTICE FOR</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RESTRICTED STOCK UNIT AWARD</w:t>
      </w:r>
    </w:p>
    <w:p>
      <w:pPr>
        <w:spacing w:after="0" w:line="217"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FOR GOOD AND VALUABLE CONSIDERATION, Petco Health and Wellness Company, Inc.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hereby grants to the Participant named below the number of Restricted Stock Units (the “</w:t>
      </w:r>
      <w:r>
        <w:rPr>
          <w:rFonts w:ascii="Times New Roman" w:cs="Times New Roman" w:eastAsia="Times New Roman" w:hAnsi="Times New Roman"/>
          <w:sz w:val="22"/>
          <w:szCs w:val="22"/>
          <w:b w:val="1"/>
          <w:bCs w:val="1"/>
          <w:i w:val="1"/>
          <w:iCs w:val="1"/>
          <w:color w:val="auto"/>
        </w:rPr>
        <w:t>RSUs</w:t>
      </w:r>
      <w:r>
        <w:rPr>
          <w:rFonts w:ascii="Times New Roman" w:cs="Times New Roman" w:eastAsia="Times New Roman" w:hAnsi="Times New Roman"/>
          <w:sz w:val="22"/>
          <w:szCs w:val="22"/>
          <w:color w:val="auto"/>
        </w:rPr>
        <w:t>”) specified below (the “</w:t>
      </w:r>
      <w:r>
        <w:rPr>
          <w:rFonts w:ascii="Times New Roman" w:cs="Times New Roman" w:eastAsia="Times New Roman" w:hAnsi="Times New Roman"/>
          <w:sz w:val="22"/>
          <w:szCs w:val="22"/>
          <w:b w:val="1"/>
          <w:bCs w:val="1"/>
          <w:i w:val="1"/>
          <w:iCs w:val="1"/>
          <w:color w:val="auto"/>
        </w:rPr>
        <w:t>Award</w:t>
      </w:r>
      <w:r>
        <w:rPr>
          <w:rFonts w:ascii="Times New Roman" w:cs="Times New Roman" w:eastAsia="Times New Roman" w:hAnsi="Times New Roman"/>
          <w:sz w:val="22"/>
          <w:szCs w:val="22"/>
          <w:color w:val="auto"/>
        </w:rPr>
        <w:t>”) under the Petco Health and Wellness Company, Inc. 2021 Equity Incentive Plan (as amended from time to time, the “</w:t>
      </w:r>
      <w:r>
        <w:rPr>
          <w:rFonts w:ascii="Times New Roman" w:cs="Times New Roman" w:eastAsia="Times New Roman" w:hAnsi="Times New Roman"/>
          <w:sz w:val="22"/>
          <w:szCs w:val="22"/>
          <w:b w:val="1"/>
          <w:bCs w:val="1"/>
          <w:i w:val="1"/>
          <w:iCs w:val="1"/>
          <w:color w:val="auto"/>
        </w:rPr>
        <w:t>Plan</w:t>
      </w:r>
      <w:r>
        <w:rPr>
          <w:rFonts w:ascii="Times New Roman" w:cs="Times New Roman" w:eastAsia="Times New Roman" w:hAnsi="Times New Roman"/>
          <w:sz w:val="22"/>
          <w:szCs w:val="22"/>
          <w:color w:val="auto"/>
        </w:rPr>
        <w:t>”). Each RSU represents the right to receive one share of Common Stock, upon the terms and subject to the conditions set forth in this Grant Notice, the Plan and the Standard Terms and Conditions (the “</w:t>
      </w:r>
      <w:r>
        <w:rPr>
          <w:rFonts w:ascii="Times New Roman" w:cs="Times New Roman" w:eastAsia="Times New Roman" w:hAnsi="Times New Roman"/>
          <w:sz w:val="22"/>
          <w:szCs w:val="22"/>
          <w:b w:val="1"/>
          <w:bCs w:val="1"/>
          <w:i w:val="1"/>
          <w:iCs w:val="1"/>
          <w:color w:val="auto"/>
        </w:rPr>
        <w:t>Standard Terms and Conditions</w:t>
      </w:r>
      <w:r>
        <w:rPr>
          <w:rFonts w:ascii="Times New Roman" w:cs="Times New Roman" w:eastAsia="Times New Roman" w:hAnsi="Times New Roman"/>
          <w:sz w:val="22"/>
          <w:szCs w:val="22"/>
          <w:color w:val="auto"/>
        </w:rPr>
        <w:t xml:space="preserve">”) promulgated under such Plan and attached hereto as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and the Confidentiality and Inventions Agreement attached hereto as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 This Award is granted pursuant to the Plan and is subject to and qualified in its entirety by the Standard Terms and Conditions. Capitalized terms not otherwise defined herein shall have the meanings set forth in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134225" cy="12280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65">
                      <a:extLst>
                        <a:ext uri="{28A0092B-C50C-407E-A947-70E740481C1C}"/>
                      </a:extLst>
                    </a:blip>
                    <a:srcRect/>
                    <a:stretch>
                      <a:fillRect/>
                    </a:stretch>
                  </pic:blipFill>
                  <pic:spPr bwMode="auto">
                    <a:xfrm>
                      <a:off x="0" y="0"/>
                      <a:ext cx="7134225" cy="1228090"/>
                    </a:xfrm>
                    <a:prstGeom prst="rect">
                      <a:avLst/>
                    </a:prstGeom>
                    <a:noFill/>
                  </pic:spPr>
                </pic:pic>
              </a:graphicData>
            </a:graphic>
          </wp:anchor>
        </w:drawing>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color w:val="auto"/>
        </w:rPr>
        <w:t>Name of Participant:</w:t>
      </w:r>
    </w:p>
    <w:p>
      <w:pPr>
        <w:spacing w:after="0" w:line="2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color w:val="auto"/>
        </w:rPr>
        <w:t>Grant Date:</w:t>
      </w:r>
    </w:p>
    <w:p>
      <w:pPr>
        <w:spacing w:after="0" w:line="2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color w:val="auto"/>
        </w:rPr>
        <w:t>Number of RSUs:</w:t>
      </w:r>
    </w:p>
    <w:p>
      <w:pPr>
        <w:spacing w:after="0" w:line="2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color w:val="auto"/>
        </w:rPr>
        <w:t>Vesting Schedule: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1121410</wp:posOffset>
            </wp:positionV>
            <wp:extent cx="7157720" cy="425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4" w:right="339" w:bottom="1440" w:gutter="0" w:footer="0" w:header="0"/>
        </w:sectPr>
      </w:pPr>
    </w:p>
    <w:bookmarkStart w:id="128" w:name="page129"/>
    <w:bookmarkEnd w:id="128"/>
    <w:p>
      <w:pPr>
        <w:spacing w:after="0" w:line="104"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IN ORDER TO RECEIVE THE BENEFITS OF THIS AGREEMENT, PARTICIPANT MUST EXECUTE AND RETURN THIS GRANT NOTICE (THE “</w:t>
      </w:r>
      <w:r>
        <w:rPr>
          <w:rFonts w:ascii="Times New Roman" w:cs="Times New Roman" w:eastAsia="Times New Roman" w:hAnsi="Times New Roman"/>
          <w:sz w:val="22"/>
          <w:szCs w:val="22"/>
          <w:b w:val="1"/>
          <w:bCs w:val="1"/>
          <w:i w:val="1"/>
          <w:iCs w:val="1"/>
          <w:color w:val="auto"/>
        </w:rPr>
        <w:t>ACCEPTANCE REQUIREMENTS</w:t>
      </w:r>
      <w:r>
        <w:rPr>
          <w:rFonts w:ascii="Times New Roman" w:cs="Times New Roman" w:eastAsia="Times New Roman" w:hAnsi="Times New Roman"/>
          <w:sz w:val="22"/>
          <w:szCs w:val="22"/>
          <w:color w:val="auto"/>
        </w:rPr>
        <w:t>”). IF PARTICIPANT FAILS TO SATISFY THE ACCEPTANCE REQUIREMENTS WITHIN 60 DAYS AFTER THE GRANT DATE, THEN (1) THIS GRANT NOTICE WILL BE OF NO FORCE OR EFFECT AND THIS AWARD WILL BE AUTOMATICALLY FORFEITED TO THE COMPANY WITHOUT CONSIDERATION, AND (2) NEITHER PARTICIPANT NOR THE COMPANY WILL HAVE ANY FUTURE RIGHTS OR OBLIGATIONS UNDER THIS GRANT NOTICE OR THE STANDARD TERMS AND CONDITIONS.</w:t>
      </w:r>
    </w:p>
    <w:p>
      <w:pPr>
        <w:spacing w:after="0" w:line="8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By accepting this Grant Notice, Participant acknowledges that Participant has received and read, and agrees that this Award shall be subject to, the terms of this Grant Notice, the Plan, and the Standard Terms and Conditions and the Confidentiality and Inventions Agreement.</w:t>
      </w:r>
    </w:p>
    <w:p>
      <w:pPr>
        <w:spacing w:after="0" w:line="200" w:lineRule="exact"/>
        <w:rPr>
          <w:sz w:val="20"/>
          <w:szCs w:val="20"/>
          <w:color w:val="auto"/>
        </w:rPr>
      </w:pPr>
    </w:p>
    <w:p>
      <w:pPr>
        <w:spacing w:after="0" w:line="239"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2"/>
          <w:szCs w:val="22"/>
          <w:b w:val="1"/>
          <w:bCs w:val="1"/>
          <w:color w:val="auto"/>
        </w:rPr>
        <w:t>PETCO HEALTH AND WELLNESS COMPANY, INC.</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3293745</wp:posOffset>
            </wp:positionH>
            <wp:positionV relativeFrom="paragraph">
              <wp:posOffset>-13970</wp:posOffset>
            </wp:positionV>
            <wp:extent cx="1722120"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67">
                      <a:extLst>
                        <a:ext uri="{28A0092B-C50C-407E-A947-70E740481C1C}"/>
                      </a:extLst>
                    </a:blip>
                    <a:srcRect/>
                    <a:stretch>
                      <a:fillRect/>
                    </a:stretch>
                  </pic:blipFill>
                  <pic:spPr bwMode="auto">
                    <a:xfrm>
                      <a:off x="0" y="0"/>
                      <a:ext cx="1722120" cy="8255"/>
                    </a:xfrm>
                    <a:prstGeom prst="rect">
                      <a:avLst/>
                    </a:prstGeom>
                    <a:noFill/>
                  </pic:spPr>
                </pic:pic>
              </a:graphicData>
            </a:graphic>
          </wp:anchor>
        </w:drawing>
      </w:r>
    </w:p>
    <w:p>
      <w:pPr>
        <w:ind w:left="4880"/>
        <w:spacing w:after="0"/>
        <w:rPr>
          <w:sz w:val="20"/>
          <w:szCs w:val="20"/>
          <w:color w:val="auto"/>
        </w:rPr>
      </w:pPr>
      <w:r>
        <w:rPr>
          <w:rFonts w:ascii="Times New Roman" w:cs="Times New Roman" w:eastAsia="Times New Roman" w:hAnsi="Times New Roman"/>
          <w:sz w:val="22"/>
          <w:szCs w:val="22"/>
          <w:color w:val="auto"/>
        </w:rPr>
        <w:t>Name:</w:t>
      </w:r>
    </w:p>
    <w:p>
      <w:pPr>
        <w:ind w:left="4880"/>
        <w:spacing w:after="0"/>
        <w:rPr>
          <w:sz w:val="20"/>
          <w:szCs w:val="20"/>
          <w:color w:val="auto"/>
        </w:rPr>
      </w:pPr>
      <w:r>
        <w:rPr>
          <w:rFonts w:ascii="Times New Roman" w:cs="Times New Roman" w:eastAsia="Times New Roman" w:hAnsi="Times New Roman"/>
          <w:sz w:val="22"/>
          <w:szCs w:val="22"/>
          <w:color w:val="auto"/>
        </w:rPr>
        <w:t>Title:</w:t>
      </w: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3095625</wp:posOffset>
            </wp:positionH>
            <wp:positionV relativeFrom="paragraph">
              <wp:posOffset>605155</wp:posOffset>
            </wp:positionV>
            <wp:extent cx="1920240"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68">
                      <a:extLst>
                        <a:ext uri="{28A0092B-C50C-407E-A947-70E740481C1C}"/>
                      </a:extLst>
                    </a:blip>
                    <a:srcRect/>
                    <a:stretch>
                      <a:fillRect/>
                    </a:stretch>
                  </pic:blipFill>
                  <pic:spPr bwMode="auto">
                    <a:xfrm>
                      <a:off x="0" y="0"/>
                      <a:ext cx="19202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S</w:t>
      </w:r>
      <w:r>
        <w:rPr>
          <w:rFonts w:ascii="Times New Roman" w:cs="Times New Roman" w:eastAsia="Times New Roman" w:hAnsi="Times New Roman"/>
          <w:sz w:val="14"/>
          <w:szCs w:val="14"/>
          <w:color w:val="auto"/>
        </w:rPr>
        <w:t>ignature</w:t>
      </w:r>
      <w:r>
        <w:rPr>
          <w:rFonts w:ascii="Times New Roman" w:cs="Times New Roman" w:eastAsia="Times New Roman" w:hAnsi="Times New Roman"/>
          <w:sz w:val="22"/>
          <w:szCs w:val="22"/>
          <w:color w:val="auto"/>
        </w:rPr>
        <w:t xml:space="preserve"> P</w:t>
      </w:r>
      <w:r>
        <w:rPr>
          <w:rFonts w:ascii="Times New Roman" w:cs="Times New Roman" w:eastAsia="Times New Roman" w:hAnsi="Times New Roman"/>
          <w:sz w:val="14"/>
          <w:szCs w:val="14"/>
          <w:color w:val="auto"/>
        </w:rPr>
        <w:t>age to</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G</w:t>
      </w:r>
      <w:r>
        <w:rPr>
          <w:rFonts w:ascii="Times New Roman" w:cs="Times New Roman" w:eastAsia="Times New Roman" w:hAnsi="Times New Roman"/>
          <w:sz w:val="14"/>
          <w:szCs w:val="14"/>
          <w:color w:val="auto"/>
        </w:rPr>
        <w:t>rant</w:t>
      </w:r>
      <w:r>
        <w:rPr>
          <w:rFonts w:ascii="Times New Roman" w:cs="Times New Roman" w:eastAsia="Times New Roman" w:hAnsi="Times New Roman"/>
          <w:sz w:val="22"/>
          <w:szCs w:val="22"/>
          <w:color w:val="auto"/>
        </w:rPr>
        <w:t xml:space="preserve"> N</w:t>
      </w:r>
      <w:r>
        <w:rPr>
          <w:rFonts w:ascii="Times New Roman" w:cs="Times New Roman" w:eastAsia="Times New Roman" w:hAnsi="Times New Roman"/>
          <w:sz w:val="14"/>
          <w:szCs w:val="14"/>
          <w:color w:val="auto"/>
        </w:rPr>
        <w:t>otice for</w:t>
      </w:r>
    </w:p>
    <w:p>
      <w:pPr>
        <w:jc w:val="center"/>
        <w:spacing w:after="0"/>
        <w:rPr>
          <w:sz w:val="20"/>
          <w:szCs w:val="20"/>
          <w:color w:val="auto"/>
        </w:rPr>
      </w:pPr>
      <w:r>
        <w:rPr>
          <w:rFonts w:ascii="Times New Roman" w:cs="Times New Roman" w:eastAsia="Times New Roman" w:hAnsi="Times New Roman"/>
          <w:sz w:val="22"/>
          <w:szCs w:val="22"/>
          <w:color w:val="auto"/>
        </w:rPr>
        <w:t>R</w:t>
      </w:r>
      <w:r>
        <w:rPr>
          <w:rFonts w:ascii="Times New Roman" w:cs="Times New Roman" w:eastAsia="Times New Roman" w:hAnsi="Times New Roman"/>
          <w:sz w:val="14"/>
          <w:szCs w:val="14"/>
          <w:color w:val="auto"/>
        </w:rPr>
        <w:t>estricted</w:t>
      </w:r>
      <w:r>
        <w:rPr>
          <w:rFonts w:ascii="Times New Roman" w:cs="Times New Roman" w:eastAsia="Times New Roman" w:hAnsi="Times New Roman"/>
          <w:sz w:val="22"/>
          <w:szCs w:val="22"/>
          <w:color w:val="auto"/>
        </w:rPr>
        <w:t xml:space="preserve"> S</w:t>
      </w:r>
      <w:r>
        <w:rPr>
          <w:rFonts w:ascii="Times New Roman" w:cs="Times New Roman" w:eastAsia="Times New Roman" w:hAnsi="Times New Roman"/>
          <w:sz w:val="14"/>
          <w:szCs w:val="14"/>
          <w:color w:val="auto"/>
        </w:rPr>
        <w:t>tock</w:t>
      </w:r>
      <w:r>
        <w:rPr>
          <w:rFonts w:ascii="Times New Roman" w:cs="Times New Roman" w:eastAsia="Times New Roman" w:hAnsi="Times New Roman"/>
          <w:sz w:val="22"/>
          <w:szCs w:val="22"/>
          <w:color w:val="auto"/>
        </w:rPr>
        <w:t xml:space="preserve"> U</w:t>
      </w:r>
      <w:r>
        <w:rPr>
          <w:rFonts w:ascii="Times New Roman" w:cs="Times New Roman" w:eastAsia="Times New Roman" w:hAnsi="Times New Roman"/>
          <w:sz w:val="14"/>
          <w:szCs w:val="14"/>
          <w:color w:val="auto"/>
        </w:rPr>
        <w:t>nit</w:t>
      </w:r>
      <w:r>
        <w:rPr>
          <w:rFonts w:ascii="Times New Roman" w:cs="Times New Roman" w:eastAsia="Times New Roman" w:hAnsi="Times New Roman"/>
          <w:sz w:val="22"/>
          <w:szCs w:val="22"/>
          <w:color w:val="auto"/>
        </w:rPr>
        <w:t xml:space="preserve"> A</w:t>
      </w:r>
      <w:r>
        <w:rPr>
          <w:rFonts w:ascii="Times New Roman" w:cs="Times New Roman" w:eastAsia="Times New Roman" w:hAnsi="Times New Roman"/>
          <w:sz w:val="14"/>
          <w:szCs w:val="14"/>
          <w:color w:val="auto"/>
        </w:rPr>
        <w:t>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462915</wp:posOffset>
            </wp:positionV>
            <wp:extent cx="7157720" cy="425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9" w:name="page130"/>
    <w:bookmarkEnd w:id="129"/>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EXHIBIT A</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PETCO HEALTH AND WELLNESS COMPANY, INC.</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2021 EQUITY INCENTIVE PLAN</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STANDARD TERMS AND CONDITIONS FOR</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RESTRICTED STOCK UNITS</w:t>
      </w:r>
    </w:p>
    <w:p>
      <w:pPr>
        <w:spacing w:after="0" w:line="22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1"/>
          <w:szCs w:val="21"/>
          <w:color w:val="auto"/>
        </w:rPr>
        <w:t>These Standard Terms and Conditions apply to the Award of Restricted Stock Units granted pursuant to the Petco Health and Wellness Company, Inc. 2021 Equity Incentive Plan (the “</w:t>
      </w:r>
      <w:r>
        <w:rPr>
          <w:rFonts w:ascii="Times New Roman" w:cs="Times New Roman" w:eastAsia="Times New Roman" w:hAnsi="Times New Roman"/>
          <w:sz w:val="21"/>
          <w:szCs w:val="21"/>
          <w:b w:val="1"/>
          <w:bCs w:val="1"/>
          <w:i w:val="1"/>
          <w:iCs w:val="1"/>
          <w:color w:val="auto"/>
        </w:rPr>
        <w:t>Plan</w:t>
      </w:r>
      <w:r>
        <w:rPr>
          <w:rFonts w:ascii="Times New Roman" w:cs="Times New Roman" w:eastAsia="Times New Roman" w:hAnsi="Times New Roman"/>
          <w:sz w:val="21"/>
          <w:szCs w:val="21"/>
          <w:color w:val="auto"/>
        </w:rPr>
        <w:t>”), which are evidenced by a Grant Notice or an action of the Committee that specifically refers to these Standard Terms and Conditions. In addition to these Standard Terms and Conditions, the Restricted Stock Units shall be subject to the terms of the Plan, which are incorporated into these Standard Terms and Conditions by this reference. Capitalized terms not otherwise defined herein shall have the meaning set forth in the Plan.</w:t>
      </w:r>
    </w:p>
    <w:p>
      <w:pPr>
        <w:spacing w:after="0" w:line="164" w:lineRule="exact"/>
        <w:rPr>
          <w:sz w:val="20"/>
          <w:szCs w:val="20"/>
          <w:color w:val="auto"/>
        </w:rPr>
      </w:pPr>
    </w:p>
    <w:p>
      <w:pPr>
        <w:ind w:left="760" w:hanging="752"/>
        <w:spacing w:after="0"/>
        <w:tabs>
          <w:tab w:leader="none" w:pos="760" w:val="left"/>
        </w:tabs>
        <w:numPr>
          <w:ilvl w:val="0"/>
          <w:numId w:val="7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TERMS OF RESTRICTED STOCK UNITS</w:t>
      </w:r>
    </w:p>
    <w:p>
      <w:pPr>
        <w:spacing w:after="0" w:line="204" w:lineRule="exact"/>
        <w:rPr>
          <w:sz w:val="20"/>
          <w:szCs w:val="20"/>
          <w:color w:val="auto"/>
        </w:rPr>
      </w:pPr>
    </w:p>
    <w:p>
      <w:pPr>
        <w:jc w:val="both"/>
        <w:ind w:right="80"/>
        <w:spacing w:after="0" w:line="253" w:lineRule="auto"/>
        <w:rPr>
          <w:sz w:val="20"/>
          <w:szCs w:val="20"/>
          <w:color w:val="auto"/>
        </w:rPr>
      </w:pPr>
      <w:r>
        <w:rPr>
          <w:rFonts w:ascii="Times New Roman" w:cs="Times New Roman" w:eastAsia="Times New Roman" w:hAnsi="Times New Roman"/>
          <w:sz w:val="21"/>
          <w:szCs w:val="21"/>
          <w:color w:val="auto"/>
        </w:rPr>
        <w:t>Petco Health and Wellness Company, Inc. (the “</w:t>
      </w:r>
      <w:r>
        <w:rPr>
          <w:rFonts w:ascii="Times New Roman" w:cs="Times New Roman" w:eastAsia="Times New Roman" w:hAnsi="Times New Roman"/>
          <w:sz w:val="21"/>
          <w:szCs w:val="21"/>
          <w:b w:val="1"/>
          <w:bCs w:val="1"/>
          <w:i w:val="1"/>
          <w:iCs w:val="1"/>
          <w:color w:val="auto"/>
        </w:rPr>
        <w:t>Company</w:t>
      </w:r>
      <w:r>
        <w:rPr>
          <w:rFonts w:ascii="Times New Roman" w:cs="Times New Roman" w:eastAsia="Times New Roman" w:hAnsi="Times New Roman"/>
          <w:sz w:val="21"/>
          <w:szCs w:val="21"/>
          <w:color w:val="auto"/>
        </w:rPr>
        <w:t>”) has granted to the Participant named in the Grant Notice provided to said Participant herewith (the “</w:t>
      </w:r>
      <w:r>
        <w:rPr>
          <w:rFonts w:ascii="Times New Roman" w:cs="Times New Roman" w:eastAsia="Times New Roman" w:hAnsi="Times New Roman"/>
          <w:sz w:val="21"/>
          <w:szCs w:val="21"/>
          <w:b w:val="1"/>
          <w:bCs w:val="1"/>
          <w:i w:val="1"/>
          <w:iCs w:val="1"/>
          <w:color w:val="auto"/>
        </w:rPr>
        <w:t>Grant Notice</w:t>
      </w:r>
      <w:r>
        <w:rPr>
          <w:rFonts w:ascii="Times New Roman" w:cs="Times New Roman" w:eastAsia="Times New Roman" w:hAnsi="Times New Roman"/>
          <w:sz w:val="21"/>
          <w:szCs w:val="21"/>
          <w:color w:val="auto"/>
        </w:rPr>
        <w:t>”) an award of Restricted Stock Units (the “</w:t>
      </w:r>
      <w:r>
        <w:rPr>
          <w:rFonts w:ascii="Times New Roman" w:cs="Times New Roman" w:eastAsia="Times New Roman" w:hAnsi="Times New Roman"/>
          <w:sz w:val="21"/>
          <w:szCs w:val="21"/>
          <w:b w:val="1"/>
          <w:bCs w:val="1"/>
          <w:i w:val="1"/>
          <w:iCs w:val="1"/>
          <w:color w:val="auto"/>
        </w:rPr>
        <w:t>Award</w:t>
      </w:r>
      <w:r>
        <w:rPr>
          <w:rFonts w:ascii="Times New Roman" w:cs="Times New Roman" w:eastAsia="Times New Roman" w:hAnsi="Times New Roman"/>
          <w:sz w:val="21"/>
          <w:szCs w:val="21"/>
          <w:color w:val="auto"/>
        </w:rPr>
        <w:t>” or “</w:t>
      </w:r>
      <w:r>
        <w:rPr>
          <w:rFonts w:ascii="Times New Roman" w:cs="Times New Roman" w:eastAsia="Times New Roman" w:hAnsi="Times New Roman"/>
          <w:sz w:val="21"/>
          <w:szCs w:val="21"/>
          <w:b w:val="1"/>
          <w:bCs w:val="1"/>
          <w:i w:val="1"/>
          <w:iCs w:val="1"/>
          <w:color w:val="auto"/>
        </w:rPr>
        <w:t>RSUs</w:t>
      </w:r>
      <w:r>
        <w:rPr>
          <w:rFonts w:ascii="Times New Roman" w:cs="Times New Roman" w:eastAsia="Times New Roman" w:hAnsi="Times New Roman"/>
          <w:sz w:val="21"/>
          <w:szCs w:val="21"/>
          <w:color w:val="auto"/>
        </w:rPr>
        <w:t>”) specified in the Grant Notice, with each Restricted Stock Unit representing the right to receive one share of Common Stock. The Award is subject to the conditions set forth in the Grant Notice, these Standard Terms and Conditions and the Plan. For purposes of these Standard Terms and Conditions and the Grant Notice, any reference to the Company shall include a reference to any Subsidiary.</w:t>
      </w:r>
    </w:p>
    <w:p>
      <w:pPr>
        <w:spacing w:after="0" w:line="160" w:lineRule="exact"/>
        <w:rPr>
          <w:sz w:val="20"/>
          <w:szCs w:val="20"/>
          <w:color w:val="auto"/>
        </w:rPr>
      </w:pPr>
    </w:p>
    <w:p>
      <w:pPr>
        <w:ind w:left="760" w:hanging="752"/>
        <w:spacing w:after="0"/>
        <w:tabs>
          <w:tab w:leader="none" w:pos="760" w:val="left"/>
        </w:tabs>
        <w:numPr>
          <w:ilvl w:val="0"/>
          <w:numId w:val="7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VESTING AND SETTLEMENT OF RESTRICTED STOCK UNITS</w:t>
      </w:r>
    </w:p>
    <w:p>
      <w:pPr>
        <w:spacing w:after="0" w:line="210" w:lineRule="exact"/>
        <w:rPr>
          <w:rFonts w:ascii="Times New Roman" w:cs="Times New Roman" w:eastAsia="Times New Roman" w:hAnsi="Times New Roman"/>
          <w:sz w:val="22"/>
          <w:szCs w:val="22"/>
          <w:b w:val="1"/>
          <w:bCs w:val="1"/>
          <w:color w:val="auto"/>
        </w:rPr>
      </w:pPr>
    </w:p>
    <w:p>
      <w:pPr>
        <w:jc w:val="both"/>
        <w:ind w:right="80" w:firstLine="757"/>
        <w:spacing w:after="0" w:line="235" w:lineRule="auto"/>
        <w:tabs>
          <w:tab w:leader="none" w:pos="1016" w:val="left"/>
        </w:tabs>
        <w:numPr>
          <w:ilvl w:val="1"/>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Award shall not be vested as of the Grant Date set forth in the Grant Notice and shall be forfeitable unless and until otherwise vested pursuant to the terms of the Grant Notice and these Standard Terms and Conditions. After the Grant Date, subject to termination or acceleration as provided in these Standard Terms and Conditions and the Plan, the Award shall become vested as described in the Grant Notice with respect to that number of Restricted Stock Units as set forth in the Grant Notice. Restricted Stock Units that have vested and are no longer subject to forfeiture are referred to herein as “</w:t>
      </w:r>
      <w:r>
        <w:rPr>
          <w:rFonts w:ascii="Times New Roman" w:cs="Times New Roman" w:eastAsia="Times New Roman" w:hAnsi="Times New Roman"/>
          <w:sz w:val="22"/>
          <w:szCs w:val="22"/>
          <w:b w:val="1"/>
          <w:bCs w:val="1"/>
          <w:i w:val="1"/>
          <w:iCs w:val="1"/>
          <w:color w:val="auto"/>
        </w:rPr>
        <w:t>Vested RSUs</w:t>
      </w:r>
      <w:r>
        <w:rPr>
          <w:rFonts w:ascii="Times New Roman" w:cs="Times New Roman" w:eastAsia="Times New Roman" w:hAnsi="Times New Roman"/>
          <w:sz w:val="22"/>
          <w:szCs w:val="22"/>
          <w:color w:val="auto"/>
        </w:rPr>
        <w:t>.” Restricted Stock Units awarded hereunder that are not vested and remain subject to forfeiture are referred to herein as “</w:t>
      </w:r>
      <w:r>
        <w:rPr>
          <w:rFonts w:ascii="Times New Roman" w:cs="Times New Roman" w:eastAsia="Times New Roman" w:hAnsi="Times New Roman"/>
          <w:sz w:val="22"/>
          <w:szCs w:val="22"/>
          <w:b w:val="1"/>
          <w:bCs w:val="1"/>
          <w:i w:val="1"/>
          <w:iCs w:val="1"/>
          <w:color w:val="auto"/>
        </w:rPr>
        <w:t>Unvested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RSUs</w:t>
      </w:r>
      <w:r>
        <w:rPr>
          <w:rFonts w:ascii="Times New Roman" w:cs="Times New Roman" w:eastAsia="Times New Roman" w:hAnsi="Times New Roman"/>
          <w:sz w:val="22"/>
          <w:szCs w:val="22"/>
          <w:color w:val="auto"/>
        </w:rPr>
        <w:t>.”</w:t>
      </w:r>
    </w:p>
    <w:p>
      <w:pPr>
        <w:spacing w:after="0" w:line="183" w:lineRule="exact"/>
        <w:rPr>
          <w:sz w:val="20"/>
          <w:szCs w:val="20"/>
          <w:color w:val="auto"/>
        </w:rPr>
      </w:pPr>
    </w:p>
    <w:p>
      <w:pPr>
        <w:jc w:val="both"/>
        <w:ind w:right="80" w:firstLine="749"/>
        <w:spacing w:after="0" w:line="235" w:lineRule="auto"/>
        <w:rPr>
          <w:sz w:val="20"/>
          <w:szCs w:val="20"/>
          <w:color w:val="auto"/>
        </w:rPr>
      </w:pPr>
      <w:r>
        <w:rPr>
          <w:rFonts w:ascii="Times New Roman" w:cs="Times New Roman" w:eastAsia="Times New Roman" w:hAnsi="Times New Roman"/>
          <w:sz w:val="22"/>
          <w:szCs w:val="22"/>
          <w:color w:val="auto"/>
        </w:rPr>
        <w:t xml:space="preserve">(b)As soon as administratively practicable following the vesting of the RSUs pursuant to the Grant Notice and this </w:t>
      </w:r>
      <w:r>
        <w:rPr>
          <w:rFonts w:ascii="Times New Roman" w:cs="Times New Roman" w:eastAsia="Times New Roman" w:hAnsi="Times New Roman"/>
          <w:sz w:val="22"/>
          <w:szCs w:val="22"/>
          <w:u w:val="single" w:color="auto"/>
          <w:color w:val="auto"/>
        </w:rPr>
        <w:t>Section 2</w:t>
      </w:r>
      <w:r>
        <w:rPr>
          <w:rFonts w:ascii="Times New Roman" w:cs="Times New Roman" w:eastAsia="Times New Roman" w:hAnsi="Times New Roman"/>
          <w:sz w:val="22"/>
          <w:szCs w:val="22"/>
          <w:color w:val="auto"/>
        </w:rPr>
        <w:t xml:space="preserve">, but in no event later than 30 days after each vesting date, the Company shall deliver to the Participant a number of shares of Common Stock equal to the number of RSUs that vested on such date; provided, however, that to the extent insufficient shares of Common Stock are available for issuance under the Plan, as soon as administratively practicable following the vesting of the RSUs pursuant to the Grant Notice and this </w:t>
      </w:r>
      <w:r>
        <w:rPr>
          <w:rFonts w:ascii="Times New Roman" w:cs="Times New Roman" w:eastAsia="Times New Roman" w:hAnsi="Times New Roman"/>
          <w:sz w:val="22"/>
          <w:szCs w:val="22"/>
          <w:u w:val="single" w:color="auto"/>
          <w:color w:val="auto"/>
        </w:rPr>
        <w:t>Section 2</w:t>
      </w:r>
      <w:r>
        <w:rPr>
          <w:rFonts w:ascii="Times New Roman" w:cs="Times New Roman" w:eastAsia="Times New Roman" w:hAnsi="Times New Roman"/>
          <w:sz w:val="22"/>
          <w:szCs w:val="22"/>
          <w:color w:val="auto"/>
        </w:rPr>
        <w:t xml:space="preserve">, but in no event later than 30 days after each vesting date, the Company shall instead deliver to the Participant a lump sum cash payment equal to (i) the Fair Market Value of a share of Common Stock on such vesting date, </w:t>
      </w:r>
      <w:r>
        <w:rPr>
          <w:rFonts w:ascii="Times New Roman" w:cs="Times New Roman" w:eastAsia="Times New Roman" w:hAnsi="Times New Roman"/>
          <w:sz w:val="22"/>
          <w:szCs w:val="22"/>
          <w:i w:val="1"/>
          <w:iCs w:val="1"/>
          <w:color w:val="auto"/>
        </w:rPr>
        <w:t>multiplied by</w:t>
      </w:r>
      <w:r>
        <w:rPr>
          <w:rFonts w:ascii="Times New Roman" w:cs="Times New Roman" w:eastAsia="Times New Roman" w:hAnsi="Times New Roman"/>
          <w:sz w:val="22"/>
          <w:szCs w:val="22"/>
          <w:color w:val="auto"/>
        </w:rPr>
        <w:t xml:space="preserve"> (ii) the number of RSUs that vested on such date.</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E</w:t>
      </w:r>
      <w:r>
        <w:rPr>
          <w:rFonts w:ascii="Times New Roman" w:cs="Times New Roman" w:eastAsia="Times New Roman" w:hAnsi="Times New Roman"/>
          <w:sz w:val="14"/>
          <w:szCs w:val="14"/>
          <w:color w:val="auto"/>
        </w:rPr>
        <w:t>xhibit</w:t>
      </w:r>
      <w:r>
        <w:rPr>
          <w:rFonts w:ascii="Times New Roman" w:cs="Times New Roman" w:eastAsia="Times New Roman" w:hAnsi="Times New Roman"/>
          <w:sz w:val="22"/>
          <w:szCs w:val="22"/>
          <w:color w:val="auto"/>
        </w:rPr>
        <w:t xml:space="preserve"> A</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S</w:t>
      </w:r>
      <w:r>
        <w:rPr>
          <w:rFonts w:ascii="Times New Roman" w:cs="Times New Roman" w:eastAsia="Times New Roman" w:hAnsi="Times New Roman"/>
          <w:sz w:val="14"/>
          <w:szCs w:val="14"/>
          <w:color w:val="auto"/>
        </w:rPr>
        <w:t>tandard</w:t>
      </w:r>
      <w:r>
        <w:rPr>
          <w:rFonts w:ascii="Times New Roman" w:cs="Times New Roman" w:eastAsia="Times New Roman" w:hAnsi="Times New Roman"/>
          <w:sz w:val="22"/>
          <w:szCs w:val="22"/>
          <w:color w:val="auto"/>
        </w:rPr>
        <w:t xml:space="preserve"> T</w:t>
      </w:r>
      <w:r>
        <w:rPr>
          <w:rFonts w:ascii="Times New Roman" w:cs="Times New Roman" w:eastAsia="Times New Roman" w:hAnsi="Times New Roman"/>
          <w:sz w:val="14"/>
          <w:szCs w:val="14"/>
          <w:color w:val="auto"/>
        </w:rPr>
        <w:t>erms and</w:t>
      </w:r>
      <w:r>
        <w:rPr>
          <w:rFonts w:ascii="Times New Roman" w:cs="Times New Roman" w:eastAsia="Times New Roman" w:hAnsi="Times New Roman"/>
          <w:sz w:val="22"/>
          <w:szCs w:val="22"/>
          <w:color w:val="auto"/>
        </w:rPr>
        <w:t xml:space="preserve"> C</w:t>
      </w:r>
      <w:r>
        <w:rPr>
          <w:rFonts w:ascii="Times New Roman" w:cs="Times New Roman" w:eastAsia="Times New Roman" w:hAnsi="Times New Roman"/>
          <w:sz w:val="14"/>
          <w:szCs w:val="14"/>
          <w:color w:val="auto"/>
        </w:rPr>
        <w:t>onditions for</w:t>
      </w:r>
    </w:p>
    <w:p>
      <w:pPr>
        <w:jc w:val="center"/>
        <w:ind w:right="-19"/>
        <w:spacing w:after="0"/>
        <w:rPr>
          <w:sz w:val="20"/>
          <w:szCs w:val="20"/>
          <w:color w:val="auto"/>
        </w:rPr>
      </w:pPr>
      <w:r>
        <w:rPr>
          <w:rFonts w:ascii="Times New Roman" w:cs="Times New Roman" w:eastAsia="Times New Roman" w:hAnsi="Times New Roman"/>
          <w:sz w:val="22"/>
          <w:szCs w:val="22"/>
          <w:color w:val="auto"/>
        </w:rPr>
        <w:t>R</w:t>
      </w:r>
      <w:r>
        <w:rPr>
          <w:rFonts w:ascii="Times New Roman" w:cs="Times New Roman" w:eastAsia="Times New Roman" w:hAnsi="Times New Roman"/>
          <w:sz w:val="14"/>
          <w:szCs w:val="14"/>
          <w:color w:val="auto"/>
        </w:rPr>
        <w:t>estricted</w:t>
      </w:r>
      <w:r>
        <w:rPr>
          <w:rFonts w:ascii="Times New Roman" w:cs="Times New Roman" w:eastAsia="Times New Roman" w:hAnsi="Times New Roman"/>
          <w:sz w:val="22"/>
          <w:szCs w:val="22"/>
          <w:color w:val="auto"/>
        </w:rPr>
        <w:t xml:space="preserve"> S</w:t>
      </w:r>
      <w:r>
        <w:rPr>
          <w:rFonts w:ascii="Times New Roman" w:cs="Times New Roman" w:eastAsia="Times New Roman" w:hAnsi="Times New Roman"/>
          <w:sz w:val="14"/>
          <w:szCs w:val="14"/>
          <w:color w:val="auto"/>
        </w:rPr>
        <w:t>tock</w:t>
      </w:r>
      <w:r>
        <w:rPr>
          <w:rFonts w:ascii="Times New Roman" w:cs="Times New Roman" w:eastAsia="Times New Roman" w:hAnsi="Times New Roman"/>
          <w:sz w:val="22"/>
          <w:szCs w:val="22"/>
          <w:color w:val="auto"/>
        </w:rPr>
        <w:t xml:space="preserve"> U</w:t>
      </w:r>
      <w:r>
        <w:rPr>
          <w:rFonts w:ascii="Times New Roman" w:cs="Times New Roman" w:eastAsia="Times New Roman" w:hAnsi="Times New Roman"/>
          <w:sz w:val="14"/>
          <w:szCs w:val="14"/>
          <w:color w:val="auto"/>
        </w:rPr>
        <w:t>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462915</wp:posOffset>
            </wp:positionV>
            <wp:extent cx="7157720" cy="425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30" w:name="page131"/>
    <w:bookmarkEnd w:id="130"/>
    <w:p>
      <w:pPr>
        <w:spacing w:after="0" w:line="185" w:lineRule="exact"/>
        <w:rPr>
          <w:sz w:val="20"/>
          <w:szCs w:val="20"/>
          <w:color w:val="auto"/>
        </w:rPr>
      </w:pPr>
    </w:p>
    <w:p>
      <w:pPr>
        <w:jc w:val="both"/>
        <w:ind w:right="80" w:firstLine="757"/>
        <w:spacing w:after="0" w:line="244" w:lineRule="auto"/>
        <w:tabs>
          <w:tab w:leader="none" w:pos="1016"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Participant’s Termination of Employment is as a result of the Participant’s death or Disability, subject to the Participant’s (or the Participant’s personal representative’s) execution and nonrevocation of a general release of claims in a form provided by the Company, all then Unvested RSUs shall become Vested RSUs.</w:t>
      </w:r>
    </w:p>
    <w:p>
      <w:pPr>
        <w:spacing w:after="0" w:line="173" w:lineRule="exact"/>
        <w:rPr>
          <w:sz w:val="20"/>
          <w:szCs w:val="20"/>
          <w:color w:val="auto"/>
        </w:rPr>
      </w:pPr>
    </w:p>
    <w:p>
      <w:pPr>
        <w:jc w:val="both"/>
        <w:ind w:right="80" w:firstLine="749"/>
        <w:spacing w:after="0" w:line="235" w:lineRule="auto"/>
        <w:rPr>
          <w:sz w:val="20"/>
          <w:szCs w:val="20"/>
          <w:color w:val="auto"/>
        </w:rPr>
      </w:pPr>
      <w:r>
        <w:rPr>
          <w:rFonts w:ascii="Times New Roman" w:cs="Times New Roman" w:eastAsia="Times New Roman" w:hAnsi="Times New Roman"/>
          <w:sz w:val="22"/>
          <w:szCs w:val="22"/>
          <w:color w:val="auto"/>
        </w:rPr>
        <w:t>(d)If the Participant’s Termination of Employment is as a result of the Participant’s Retirement (as defined below), subject to the Participant’s execution and nonrevocation of a general release of claims in a form provided by the Company, (i) if the Termination Date is prior to the first anniversary of the Grant Date, (A) a pro-rated portion of the Unvested RSUs shall become Vested RSUs calculated by multiplying (I) the number of Unvested RSUs by (II) a fraction, the numerator of which is the number of days between the Grant Date and the Termination Date and the denominator of which is the number of days between the Grant Date and the first anniversary of the Grant Date and (B) any then Unvested RSUs, after giving effect to the foregoing clause (A) shall be forfeited and canceled as of the Termination Date, and (ii) if the Termination Date is on or following the first anniversary of the Grant Date, any then Unvested RSUs shall become Vested RSUs.</w:t>
      </w:r>
    </w:p>
    <w:p>
      <w:pPr>
        <w:spacing w:after="0" w:line="178" w:lineRule="exact"/>
        <w:rPr>
          <w:sz w:val="20"/>
          <w:szCs w:val="20"/>
          <w:color w:val="auto"/>
        </w:rPr>
      </w:pPr>
    </w:p>
    <w:p>
      <w:pPr>
        <w:jc w:val="both"/>
        <w:ind w:right="80" w:firstLine="757"/>
        <w:spacing w:after="0" w:line="244" w:lineRule="auto"/>
        <w:tabs>
          <w:tab w:leader="none" w:pos="1016"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Participant’s Termination of Employment is as a result of an Involuntary Termination (as defined below) on or within 24-months following a Change in Control, subject to the Participant’s execution and nonrevocation of a general release of claims in a form provided by the Company, any then Unvested RSUs shall become Vested RSUs.</w:t>
      </w:r>
    </w:p>
    <w:p>
      <w:pPr>
        <w:spacing w:after="0" w:line="173" w:lineRule="exact"/>
        <w:rPr>
          <w:rFonts w:ascii="Times New Roman" w:cs="Times New Roman" w:eastAsia="Times New Roman" w:hAnsi="Times New Roman"/>
          <w:sz w:val="22"/>
          <w:szCs w:val="22"/>
          <w:color w:val="auto"/>
        </w:rPr>
      </w:pPr>
    </w:p>
    <w:p>
      <w:pPr>
        <w:ind w:right="80" w:firstLine="757"/>
        <w:spacing w:after="0" w:line="258" w:lineRule="auto"/>
        <w:tabs>
          <w:tab w:leader="none" w:pos="1016"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Upon Participant’s Termination of Employment for any other reason not set forth in </w:t>
      </w:r>
      <w:r>
        <w:rPr>
          <w:rFonts w:ascii="Times New Roman" w:cs="Times New Roman" w:eastAsia="Times New Roman" w:hAnsi="Times New Roman"/>
          <w:sz w:val="22"/>
          <w:szCs w:val="22"/>
          <w:u w:val="single" w:color="auto"/>
          <w:color w:val="auto"/>
        </w:rPr>
        <w:t>Section 2(c)</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2(d)</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2(e)</w:t>
      </w:r>
      <w:r>
        <w:rPr>
          <w:rFonts w:ascii="Times New Roman" w:cs="Times New Roman" w:eastAsia="Times New Roman" w:hAnsi="Times New Roman"/>
          <w:sz w:val="22"/>
          <w:szCs w:val="22"/>
          <w:color w:val="auto"/>
        </w:rPr>
        <w:t xml:space="preserve"> any then Unvested RSUs held by the Participant shall be forfeited and canceled as of the Termination Date.</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(g)As used in this </w:t>
      </w:r>
      <w:r>
        <w:rPr>
          <w:rFonts w:ascii="Times New Roman" w:cs="Times New Roman" w:eastAsia="Times New Roman" w:hAnsi="Times New Roman"/>
          <w:sz w:val="22"/>
          <w:szCs w:val="22"/>
          <w:u w:val="single" w:color="auto"/>
          <w:color w:val="auto"/>
        </w:rPr>
        <w:t>Section 2</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jc w:val="both"/>
        <w:ind w:firstLine="1505"/>
        <w:spacing w:after="0" w:line="234" w:lineRule="auto"/>
        <w:tabs>
          <w:tab w:leader="none" w:pos="2036"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Good Reason</w:t>
      </w:r>
      <w:r>
        <w:rPr>
          <w:rFonts w:ascii="Times New Roman" w:cs="Times New Roman" w:eastAsia="Times New Roman" w:hAnsi="Times New Roman"/>
          <w:sz w:val="22"/>
          <w:szCs w:val="22"/>
          <w:color w:val="auto"/>
        </w:rPr>
        <w:t>” has the meaning set forth in the written employment, offer, services or severance agreement or letter between the Participant and the Company or an Affiliate, or if there is no such agreement or no such term is defined in such agreement, means, without the Participant’s consent: (A) a material diminution in the Participant’s authority, duties or responsibilities with the Company or an Affiliate; (B) a material diminution in the Participant’s base salary; (C) a relocation of the Participant’s principal place of employment by more than 50 miles; or (D) a material breach by the Company of any of its obligations under these Standard Terms and Conditions. Notwithstanding the foregoing, any assertion by the Participant of a termination for Good Reason shall not be effective unless (1) the Participant provides written notice to the Company of the existence of one or more of the foregoing conditions within 30 days after the initial occurrence of such condition(s); (2) the condition(s) specified in such notice must remain uncorrected for 30 days following the Company’s receipt of such written notice; and (3) the date of the termination of the Participant’s employment must occur within 90 days after the initial occurrence of the condition(s) specified in such notice.</w:t>
      </w:r>
    </w:p>
    <w:p>
      <w:pPr>
        <w:spacing w:after="0" w:line="175" w:lineRule="exact"/>
        <w:rPr>
          <w:rFonts w:ascii="Times New Roman" w:cs="Times New Roman" w:eastAsia="Times New Roman" w:hAnsi="Times New Roman"/>
          <w:sz w:val="22"/>
          <w:szCs w:val="22"/>
          <w:color w:val="auto"/>
        </w:rPr>
      </w:pPr>
    </w:p>
    <w:p>
      <w:pPr>
        <w:ind w:right="20" w:firstLine="1505"/>
        <w:spacing w:after="0" w:line="264" w:lineRule="auto"/>
        <w:tabs>
          <w:tab w:leader="none" w:pos="2036"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Involuntary Termination</w:t>
      </w:r>
      <w:r>
        <w:rPr>
          <w:rFonts w:ascii="Times New Roman" w:cs="Times New Roman" w:eastAsia="Times New Roman" w:hAnsi="Times New Roman"/>
          <w:sz w:val="22"/>
          <w:szCs w:val="22"/>
          <w:color w:val="auto"/>
        </w:rPr>
        <w:t>” means a Termination of Employment by the Company without Cause (and not as a result of death or Disability) or by the Participant for Good Reason.</w:t>
      </w: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1" w:name="page132"/>
    <w:bookmarkEnd w:id="131"/>
    <w:p>
      <w:pPr>
        <w:spacing w:after="0" w:line="179" w:lineRule="exact"/>
        <w:rPr>
          <w:sz w:val="20"/>
          <w:szCs w:val="20"/>
          <w:color w:val="auto"/>
        </w:rPr>
      </w:pPr>
    </w:p>
    <w:p>
      <w:pPr>
        <w:ind w:firstLine="1505"/>
        <w:spacing w:after="0" w:line="264" w:lineRule="auto"/>
        <w:tabs>
          <w:tab w:leader="none" w:pos="2036" w:val="left"/>
        </w:tabs>
        <w:numPr>
          <w:ilvl w:val="2"/>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Retirement</w:t>
      </w:r>
      <w:r>
        <w:rPr>
          <w:rFonts w:ascii="Times New Roman" w:cs="Times New Roman" w:eastAsia="Times New Roman" w:hAnsi="Times New Roman"/>
          <w:sz w:val="22"/>
          <w:szCs w:val="22"/>
          <w:color w:val="auto"/>
        </w:rPr>
        <w:t>” means a Termination of Employment by the Participant upon achieving (A) 55 or more years of age and (B) five or more consecutive years of service with the Company and its Affiliates.</w:t>
      </w:r>
    </w:p>
    <w:p>
      <w:pPr>
        <w:spacing w:after="0" w:line="145"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2"/>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Termination Date</w:t>
      </w:r>
      <w:r>
        <w:rPr>
          <w:rFonts w:ascii="Times New Roman" w:cs="Times New Roman" w:eastAsia="Times New Roman" w:hAnsi="Times New Roman"/>
          <w:sz w:val="22"/>
          <w:szCs w:val="22"/>
          <w:color w:val="auto"/>
        </w:rPr>
        <w:t>” means the date of the Participant’s Termination of Employment.</w:t>
      </w:r>
    </w:p>
    <w:p>
      <w:pPr>
        <w:spacing w:after="0" w:line="208" w:lineRule="exact"/>
        <w:rPr>
          <w:rFonts w:ascii="Times New Roman" w:cs="Times New Roman" w:eastAsia="Times New Roman" w:hAnsi="Times New Roman"/>
          <w:sz w:val="22"/>
          <w:szCs w:val="22"/>
          <w:color w:val="auto"/>
        </w:rPr>
      </w:pPr>
    </w:p>
    <w:p>
      <w:pPr>
        <w:ind w:left="760" w:hanging="752"/>
        <w:spacing w:after="0"/>
        <w:tabs>
          <w:tab w:leader="none" w:pos="760" w:val="left"/>
        </w:tabs>
        <w:numPr>
          <w:ilvl w:val="0"/>
          <w:numId w:val="8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RIGHTS AS STOCKHOLDER; DIVIDEND EQUIVALENTS</w:t>
      </w:r>
    </w:p>
    <w:p>
      <w:pPr>
        <w:spacing w:after="0" w:line="210" w:lineRule="exact"/>
        <w:rPr>
          <w:rFonts w:ascii="Times New Roman" w:cs="Times New Roman" w:eastAsia="Times New Roman" w:hAnsi="Times New Roman"/>
          <w:sz w:val="22"/>
          <w:szCs w:val="22"/>
          <w:b w:val="1"/>
          <w:bCs w:val="1"/>
          <w:color w:val="auto"/>
        </w:rPr>
      </w:pPr>
    </w:p>
    <w:p>
      <w:pPr>
        <w:jc w:val="both"/>
        <w:ind w:right="80" w:firstLine="757"/>
        <w:spacing w:after="0" w:line="261" w:lineRule="auto"/>
        <w:tabs>
          <w:tab w:leader="none" w:pos="1181" w:val="left"/>
        </w:tabs>
        <w:numPr>
          <w:ilvl w:val="1"/>
          <w:numId w:val="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Participant shall not be, nor have any of the rights or privileges of, a stockholder of the Company in respect of any RSUs unless and until shares of Common Stock settled for such RSUs shall have been issued by the Company to Participant (as evidenced by the appropriate entry on the books of the Company or of a duly authorized transfer agent of the Company).</w:t>
      </w:r>
    </w:p>
    <w:p>
      <w:pPr>
        <w:spacing w:after="0" w:line="157" w:lineRule="exact"/>
        <w:rPr>
          <w:rFonts w:ascii="Times New Roman" w:cs="Times New Roman" w:eastAsia="Times New Roman" w:hAnsi="Times New Roman"/>
          <w:sz w:val="21"/>
          <w:szCs w:val="21"/>
          <w:color w:val="auto"/>
        </w:rPr>
      </w:pPr>
    </w:p>
    <w:p>
      <w:pPr>
        <w:jc w:val="both"/>
        <w:ind w:right="80" w:firstLine="757"/>
        <w:spacing w:after="0" w:line="234" w:lineRule="auto"/>
        <w:tabs>
          <w:tab w:leader="none" w:pos="1181" w:val="left"/>
        </w:tabs>
        <w:numPr>
          <w:ilvl w:val="1"/>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the foregoing, from and after the Grant Date and until the earlier of (i) the Participant’s receipt of Common Stock upon payment of RSUs and (ii) the time when the Participant’s right to receive Common Stock upon payment of RSUs is forfeited, on the date that the Company pays a cash dividend (if any) to holders of Common Stock generally, the Participant shall be entitled, as a Dividend Equivalent, to a number of additional whole RSUs determined by dividing (i) the product of (A) the dollar amount of the cash dividend paid per share of Common Stock on such date and (B) the total number of RSUs (including dividend equivalents paid thereon) previously credited to the Participant as of such date, by (ii) the Fair Market Value per share of Common Stock on such date. Such Dividend Equivalents (if any) shall be subject to the same terms and conditions and shall be settled or forfeited in the same manner and at the same time as the RSUs to which the Dividend Equivalents were credited.</w:t>
      </w:r>
    </w:p>
    <w:p>
      <w:pPr>
        <w:spacing w:after="0" w:line="179" w:lineRule="exact"/>
        <w:rPr>
          <w:rFonts w:ascii="Times New Roman" w:cs="Times New Roman" w:eastAsia="Times New Roman" w:hAnsi="Times New Roman"/>
          <w:sz w:val="22"/>
          <w:szCs w:val="22"/>
          <w:color w:val="auto"/>
        </w:rPr>
      </w:pPr>
    </w:p>
    <w:p>
      <w:pPr>
        <w:ind w:left="760" w:hanging="752"/>
        <w:spacing w:after="0"/>
        <w:tabs>
          <w:tab w:leader="none" w:pos="760" w:val="left"/>
        </w:tabs>
        <w:numPr>
          <w:ilvl w:val="0"/>
          <w:numId w:val="8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RESTRICTIONS ON RESALES OF SHARES</w:t>
      </w:r>
    </w:p>
    <w:p>
      <w:pPr>
        <w:spacing w:after="0" w:line="210" w:lineRule="exact"/>
        <w:rPr>
          <w:sz w:val="20"/>
          <w:szCs w:val="20"/>
          <w:color w:val="auto"/>
        </w:rPr>
      </w:pPr>
    </w:p>
    <w:p>
      <w:pPr>
        <w:jc w:val="both"/>
        <w:ind w:right="80"/>
        <w:spacing w:after="0" w:line="238" w:lineRule="auto"/>
        <w:rPr>
          <w:sz w:val="20"/>
          <w:szCs w:val="20"/>
          <w:color w:val="auto"/>
        </w:rPr>
      </w:pPr>
      <w:r>
        <w:rPr>
          <w:rFonts w:ascii="Times New Roman" w:cs="Times New Roman" w:eastAsia="Times New Roman" w:hAnsi="Times New Roman"/>
          <w:sz w:val="22"/>
          <w:szCs w:val="22"/>
          <w:color w:val="auto"/>
        </w:rPr>
        <w:t>The Company may impose such restrictions, conditions or limitations as it determines appropriate as to the timing and manner of any resales by the Participant or other subsequent transfers by the Participant of any shares of Common Stock issued pursuant to Vested RSUs, including (a) restrictions under an insider trading policy, (b) restrictions designed to delay and/or coordinate the timing and manner of sales by Participant and other holders and (c) restrictions as to the use of a specified brokerage firm for such resales or other transfers.</w:t>
      </w:r>
    </w:p>
    <w:p>
      <w:pPr>
        <w:spacing w:after="0" w:line="173" w:lineRule="exact"/>
        <w:rPr>
          <w:sz w:val="20"/>
          <w:szCs w:val="20"/>
          <w:color w:val="auto"/>
        </w:rPr>
      </w:pPr>
    </w:p>
    <w:p>
      <w:pPr>
        <w:ind w:left="760" w:hanging="752"/>
        <w:spacing w:after="0"/>
        <w:tabs>
          <w:tab w:leader="none" w:pos="760" w:val="left"/>
        </w:tabs>
        <w:numPr>
          <w:ilvl w:val="0"/>
          <w:numId w:val="8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INCOME TAXES</w:t>
      </w:r>
    </w:p>
    <w:p>
      <w:pPr>
        <w:spacing w:after="0" w:line="210" w:lineRule="exact"/>
        <w:rPr>
          <w:sz w:val="20"/>
          <w:szCs w:val="20"/>
          <w:color w:val="auto"/>
        </w:rPr>
      </w:pPr>
    </w:p>
    <w:p>
      <w:pPr>
        <w:jc w:val="both"/>
        <w:ind w:right="80"/>
        <w:spacing w:after="0" w:line="261" w:lineRule="auto"/>
        <w:rPr>
          <w:sz w:val="20"/>
          <w:szCs w:val="20"/>
          <w:color w:val="auto"/>
        </w:rPr>
      </w:pPr>
      <w:r>
        <w:rPr>
          <w:rFonts w:ascii="Times New Roman" w:cs="Times New Roman" w:eastAsia="Times New Roman" w:hAnsi="Times New Roman"/>
          <w:sz w:val="21"/>
          <w:szCs w:val="21"/>
          <w:color w:val="auto"/>
        </w:rPr>
        <w:t>To the extent required by applicable federal, state, local or foreign law, the Participant shall make arrangements satisfactory to the Company for the satisfaction of any withholding tax obligations that arise by reason of the grant or vesting of the RSUs. The Company shall not be required to issue shares or to recognize the disposition of such shares until such obligations are satisfied.</w:t>
      </w:r>
    </w:p>
    <w:p>
      <w:pPr>
        <w:spacing w:after="0" w:line="153" w:lineRule="exact"/>
        <w:rPr>
          <w:sz w:val="20"/>
          <w:szCs w:val="20"/>
          <w:color w:val="auto"/>
        </w:rPr>
      </w:pPr>
    </w:p>
    <w:p>
      <w:pPr>
        <w:ind w:left="760" w:hanging="752"/>
        <w:spacing w:after="0"/>
        <w:tabs>
          <w:tab w:leader="none" w:pos="760" w:val="left"/>
        </w:tabs>
        <w:numPr>
          <w:ilvl w:val="0"/>
          <w:numId w:val="8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NONTRANSFERABILITY­ OF AWARD</w:t>
      </w:r>
    </w:p>
    <w:p>
      <w:pPr>
        <w:spacing w:after="0" w:line="210" w:lineRule="exact"/>
        <w:rPr>
          <w:sz w:val="20"/>
          <w:szCs w:val="20"/>
          <w:color w:val="auto"/>
        </w:rPr>
      </w:pPr>
    </w:p>
    <w:p>
      <w:pPr>
        <w:jc w:val="both"/>
        <w:ind w:right="80"/>
        <w:spacing w:after="0" w:line="239" w:lineRule="auto"/>
        <w:rPr>
          <w:sz w:val="20"/>
          <w:szCs w:val="20"/>
          <w:color w:val="auto"/>
        </w:rPr>
      </w:pPr>
      <w:r>
        <w:rPr>
          <w:rFonts w:ascii="Times New Roman" w:cs="Times New Roman" w:eastAsia="Times New Roman" w:hAnsi="Times New Roman"/>
          <w:sz w:val="22"/>
          <w:szCs w:val="22"/>
          <w:color w:val="auto"/>
        </w:rPr>
        <w:t>The Participant understands, acknowledges and agrees that, except as otherwise provided in the Plan or as permitted by the Committee, the Award may not be sold, assigned, transferred, pledged or otherwise directly or indirectly encumbered or disposed of other than by will or the laws of descent and distribution. Notwithstanding the foregoing, (a) the Participant shall be permitted to</w:t>
      </w: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2" w:name="page133"/>
    <w:bookmarkEnd w:id="132"/>
    <w:p>
      <w:pPr>
        <w:spacing w:after="0" w:line="18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transfer the Award as a gift to an Assignee Entity in accordance with and subject to the limits of Section 17 of the Plan and (b) if not previously so transferred, any shares of Common Stock that become issuable hereunder but which otherwise remain unissued at the time of the Participant’s death shall be transferred to the Participant’s designated beneficiary or, if none, to the Participant’s estate.</w:t>
      </w:r>
    </w:p>
    <w:p>
      <w:pPr>
        <w:spacing w:after="0" w:line="176" w:lineRule="exact"/>
        <w:rPr>
          <w:sz w:val="20"/>
          <w:szCs w:val="20"/>
          <w:color w:val="auto"/>
        </w:rPr>
      </w:pPr>
    </w:p>
    <w:p>
      <w:pPr>
        <w:ind w:left="760" w:hanging="752"/>
        <w:spacing w:after="0"/>
        <w:tabs>
          <w:tab w:leader="none" w:pos="760" w:val="left"/>
        </w:tabs>
        <w:numPr>
          <w:ilvl w:val="0"/>
          <w:numId w:val="8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OTHER AGREEMENTS SUPERSEDED</w:t>
      </w:r>
    </w:p>
    <w:p>
      <w:pPr>
        <w:spacing w:after="0" w:line="21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Grant Notice, these Standard Terms and Conditions, the Confidentiality and Inventions Agreement and the Plan constitute the entire understanding between the Participant and the Company regarding the Award. Any prior agreements, commitments or negotiations concerning the Award are superseded; provided, however, that the terms of the Confidentiality and Inventions Agreement are in addition to and complement (and do not replace or supersede) all other agreements and obligations between the Company and any of its affiliates and the Participant with respect to confidentiality and intellectual property.</w:t>
      </w:r>
    </w:p>
    <w:p>
      <w:pPr>
        <w:spacing w:after="0" w:line="173" w:lineRule="exact"/>
        <w:rPr>
          <w:sz w:val="20"/>
          <w:szCs w:val="20"/>
          <w:color w:val="auto"/>
        </w:rPr>
      </w:pPr>
    </w:p>
    <w:p>
      <w:pPr>
        <w:ind w:left="760" w:hanging="752"/>
        <w:spacing w:after="0"/>
        <w:tabs>
          <w:tab w:leader="none" w:pos="760" w:val="left"/>
        </w:tabs>
        <w:numPr>
          <w:ilvl w:val="0"/>
          <w:numId w:val="8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LIMITATION OF INTEREST IN SHARES SUBJECT TO RESTRICTED STOCK UNITS</w:t>
      </w:r>
    </w:p>
    <w:p>
      <w:pPr>
        <w:spacing w:after="0" w:line="21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Neither the Participant (individually or as a member of a group) nor any beneficiary or other person claiming under or through the Participant shall have any right, title, interest, or privilege in or to any shares of Common Stock allocated or reserved for the purpose of the Plan or subject to the Grant Notice or these Standard Terms and Conditions except as to such shares of Common Stock, if any, as shall have been issued to such person in connection with the Award. Nothing in the Plan, in the Grant Notice, these Standard Terms and Conditions or any other instrument executed pursuant to the Plan shall confer upon the Participant any right to continue in the Company’s employ or service nor limit in any way the Company’s right to terminate the Participant’s employment at any time for any reason.</w:t>
      </w:r>
    </w:p>
    <w:p>
      <w:pPr>
        <w:spacing w:after="0" w:line="179" w:lineRule="exact"/>
        <w:rPr>
          <w:sz w:val="20"/>
          <w:szCs w:val="20"/>
          <w:color w:val="auto"/>
        </w:rPr>
      </w:pPr>
    </w:p>
    <w:p>
      <w:pPr>
        <w:ind w:left="760" w:hanging="752"/>
        <w:spacing w:after="0"/>
        <w:tabs>
          <w:tab w:leader="none" w:pos="760" w:val="left"/>
        </w:tabs>
        <w:numPr>
          <w:ilvl w:val="0"/>
          <w:numId w:val="8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GENERAL</w:t>
      </w:r>
    </w:p>
    <w:p>
      <w:pPr>
        <w:spacing w:after="0" w:line="210" w:lineRule="exact"/>
        <w:rPr>
          <w:rFonts w:ascii="Times New Roman" w:cs="Times New Roman" w:eastAsia="Times New Roman" w:hAnsi="Times New Roman"/>
          <w:sz w:val="22"/>
          <w:szCs w:val="22"/>
          <w:b w:val="1"/>
          <w:bCs w:val="1"/>
          <w:color w:val="auto"/>
        </w:rPr>
      </w:pPr>
    </w:p>
    <w:p>
      <w:pPr>
        <w:jc w:val="both"/>
        <w:ind w:firstLine="757"/>
        <w:spacing w:after="0" w:line="255" w:lineRule="auto"/>
        <w:tabs>
          <w:tab w:leader="none" w:pos="1016" w:val="left"/>
        </w:tabs>
        <w:numPr>
          <w:ilvl w:val="1"/>
          <w:numId w:val="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event that any provision of these Standard Terms and Conditions is declared to be illegal, invalid or otherwise unenforceable by a court of competent jurisdiction, such provision shall be reformed, if possible, to the extent necessary to render it legal, valid and enforceable, or otherwise deleted, and the remainder of these Standard Terms and Conditions shall not be affected except to the extent necessary to reform or delete such illegal, invalid or unenforceable provision.</w:t>
      </w:r>
    </w:p>
    <w:p>
      <w:pPr>
        <w:spacing w:after="0" w:line="162"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(b)The headings preceding the text of the sections hereof are inserted solely for convenience of reference, and shall not constitute a part of these Standard Terms and Conditions, nor shall they affect its meaning, construction or effect. Words in the masculine gender shall include the feminine gender, and where appropriate, the plural shall include the singular and the singular shall include the plural. The use herein of the word “including” following any general statement, term or matter shall not be construed to limit such statement, term or matter to the specific items or matters set forth immediately following such word or to similar items or matters, whether or not non-limiting language (such as “without limitation”, “but not limited to”, or words of similar import) is used with reference thereto, but rather shall be deemed to refer to all other</w:t>
      </w:r>
    </w:p>
    <w:p>
      <w:pPr>
        <w:spacing w:after="0" w:line="200" w:lineRule="exact"/>
        <w:rPr>
          <w:sz w:val="20"/>
          <w:szCs w:val="20"/>
          <w:color w:val="auto"/>
        </w:rPr>
      </w:pPr>
    </w:p>
    <w:p>
      <w:pPr>
        <w:spacing w:after="0" w:line="38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133" w:name="page134"/>
    <w:bookmarkEnd w:id="133"/>
    <w:p>
      <w:pPr>
        <w:jc w:val="both"/>
        <w:spacing w:after="0" w:line="239" w:lineRule="auto"/>
        <w:rPr>
          <w:sz w:val="20"/>
          <w:szCs w:val="20"/>
          <w:color w:val="auto"/>
        </w:rPr>
      </w:pPr>
      <w:r>
        <w:rPr>
          <w:rFonts w:ascii="Times New Roman" w:cs="Times New Roman" w:eastAsia="Times New Roman" w:hAnsi="Times New Roman"/>
          <w:sz w:val="22"/>
          <w:szCs w:val="22"/>
          <w:color w:val="auto"/>
        </w:rPr>
        <w:t>items or matters that could reasonably fall within the broadest possible scope of such general statement, term or matter. References herein to any agreement, instrument or other document means such agreement, instrument or other document as amended, supplemented and modified from time to time to the extent permitted by the provisions thereof and not prohibited by the Plan or these Standard Terms and Conditions.</w:t>
      </w:r>
    </w:p>
    <w:p>
      <w:pPr>
        <w:spacing w:after="0" w:line="180" w:lineRule="exact"/>
        <w:rPr>
          <w:sz w:val="20"/>
          <w:szCs w:val="20"/>
          <w:color w:val="auto"/>
        </w:rPr>
      </w:pPr>
    </w:p>
    <w:p>
      <w:pPr>
        <w:ind w:firstLine="757"/>
        <w:spacing w:after="0" w:line="258" w:lineRule="auto"/>
        <w:tabs>
          <w:tab w:leader="none" w:pos="1016"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These Standard Terms and Conditions shall inure to the benefit of and be binding upon the parties hereto and their respective permitted heirs, beneficiaries, successors and assigns.</w:t>
      </w:r>
    </w:p>
    <w:p>
      <w:pPr>
        <w:spacing w:after="0" w:line="158"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22"/>
          <w:szCs w:val="22"/>
          <w:color w:val="auto"/>
        </w:rPr>
        <w:t>(d)These Standard Terms and Conditions shall be construed in accordance with and governed by the laws of the State of Delaware, without regard to principles of conflicts of law.</w:t>
      </w:r>
    </w:p>
    <w:p>
      <w:pPr>
        <w:spacing w:after="0" w:line="158" w:lineRule="exact"/>
        <w:rPr>
          <w:sz w:val="20"/>
          <w:szCs w:val="20"/>
          <w:color w:val="auto"/>
        </w:rPr>
      </w:pPr>
    </w:p>
    <w:p>
      <w:pPr>
        <w:jc w:val="both"/>
        <w:ind w:firstLine="757"/>
        <w:spacing w:after="0" w:line="244" w:lineRule="auto"/>
        <w:tabs>
          <w:tab w:leader="none" w:pos="1016"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of any conflict between the Grant Notice, these Standard Terms and Conditions and the Plan, the Grant Notice and these Standard Terms and Conditions shall control. In the event of any conflict between the Grant Notice and these Standard Terms and Conditions, the Grant Notice shall control.</w:t>
      </w:r>
    </w:p>
    <w:p>
      <w:pPr>
        <w:spacing w:after="0" w:line="173" w:lineRule="exact"/>
        <w:rPr>
          <w:rFonts w:ascii="Times New Roman" w:cs="Times New Roman" w:eastAsia="Times New Roman" w:hAnsi="Times New Roman"/>
          <w:sz w:val="22"/>
          <w:szCs w:val="22"/>
          <w:color w:val="auto"/>
        </w:rPr>
      </w:pPr>
    </w:p>
    <w:p>
      <w:pPr>
        <w:ind w:firstLine="757"/>
        <w:spacing w:after="0" w:line="258" w:lineRule="auto"/>
        <w:tabs>
          <w:tab w:leader="none" w:pos="1016"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questions arising under the Plan or under these Standard Terms and Conditions shall be decided by the Committee in its total and absolute discretion.</w:t>
      </w:r>
    </w:p>
    <w:p>
      <w:pPr>
        <w:spacing w:after="0" w:line="154" w:lineRule="exact"/>
        <w:rPr>
          <w:sz w:val="20"/>
          <w:szCs w:val="20"/>
          <w:color w:val="auto"/>
        </w:rPr>
      </w:pPr>
    </w:p>
    <w:p>
      <w:pPr>
        <w:ind w:left="760" w:hanging="752"/>
        <w:spacing w:after="0"/>
        <w:tabs>
          <w:tab w:leader="none" w:pos="760" w:val="left"/>
        </w:tabs>
        <w:numPr>
          <w:ilvl w:val="0"/>
          <w:numId w:val="8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CLAWBACK</w:t>
      </w:r>
    </w:p>
    <w:p>
      <w:pPr>
        <w:spacing w:after="0" w:line="210"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The RSUs and any shares of Common Stock received upon settlement of the RSUs are subject to recoupment in accordance with any recoupment policy that the Company may adopt from time to time, to the extent any such policy is applicable to the Participant and to such compensation, including the Petco Health and Wellness Company, Inc. Clawback Policy (as amended from time to time), designed to comply with the requirements of Rule 10D-1 promulgated under the Act, as well as any recoupment provisions required under applicable law. For purposes of the foregoing, the Participant expressly and explicitly authorizes (x) the Company to issue instructions, on the Participant’s behalf, to any brokerage firm and/or third party administrator engaged by the Company to hold shares of Common Stock and other amounts acquired under the Award or the Plan to re-convey, transfer or otherwise return such shares and/or other amounts to the Company and (y) the Company’s recovery of any covered compensation through any method of recovery that the Company deems appropriate, including by reducing any amount that is or may become payable to the Participant. The Participant further agrees to comply with any request or demand for repayment by any affiliate of the Company in order to comply with such policies or applicable law. To the extent that the Standard Terms and Conditions and any Company recoupment policy conflict, the terms of the recoupment policy shall prevail.</w:t>
      </w:r>
    </w:p>
    <w:p>
      <w:pPr>
        <w:spacing w:after="0" w:line="178" w:lineRule="exact"/>
        <w:rPr>
          <w:sz w:val="20"/>
          <w:szCs w:val="20"/>
          <w:color w:val="auto"/>
        </w:rPr>
      </w:pPr>
    </w:p>
    <w:p>
      <w:pPr>
        <w:ind w:left="760" w:hanging="752"/>
        <w:spacing w:after="0"/>
        <w:tabs>
          <w:tab w:leader="none" w:pos="760" w:val="left"/>
        </w:tabs>
        <w:numPr>
          <w:ilvl w:val="0"/>
          <w:numId w:val="9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ELECTRONIC DELIVERY</w:t>
      </w:r>
    </w:p>
    <w:p>
      <w:pPr>
        <w:spacing w:after="0" w:line="21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By executing the Grant Notice, the Participant hereby consents to the delivery of information (including, without limitation, information required to be delivered to the Participant pursuant to applicable securities laws) regarding the Company and the Subsidiaries, the Plan, and the Restricted Stock Units via Company web site or other electronic delivery.</w:t>
      </w:r>
    </w:p>
    <w:p>
      <w:pPr>
        <w:spacing w:after="0" w:line="200" w:lineRule="exact"/>
        <w:rPr>
          <w:sz w:val="20"/>
          <w:szCs w:val="20"/>
          <w:color w:val="auto"/>
        </w:rPr>
      </w:pPr>
    </w:p>
    <w:p>
      <w:pPr>
        <w:spacing w:after="0" w:line="37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08" w:right="419" w:bottom="1440" w:gutter="0" w:footer="0" w:header="0"/>
        </w:sectPr>
      </w:pPr>
    </w:p>
    <w:bookmarkStart w:id="134" w:name="page135"/>
    <w:bookmarkEnd w:id="134"/>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EXHIBIT B</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CONFIDENTIALITY AND INVENTIONS AGREEMENT</w:t>
      </w:r>
    </w:p>
    <w:p>
      <w:pPr>
        <w:spacing w:after="0" w:line="21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As a condition to the receipt of the Award granted pursuant to the Grant Notice to which this Confidentiality and Inventions Agreement is attached and in consideration of the Participant’s continued employment with the Company, the Participant hereby confirms the Participant’s agreement as follows:</w:t>
      </w:r>
    </w:p>
    <w:p>
      <w:pPr>
        <w:spacing w:after="0" w:line="169" w:lineRule="exact"/>
        <w:rPr>
          <w:sz w:val="20"/>
          <w:szCs w:val="20"/>
          <w:color w:val="auto"/>
        </w:rPr>
      </w:pPr>
    </w:p>
    <w:p>
      <w:pPr>
        <w:ind w:left="520" w:hanging="512"/>
        <w:spacing w:after="0"/>
        <w:tabs>
          <w:tab w:leader="none" w:pos="520" w:val="left"/>
        </w:tabs>
        <w:numPr>
          <w:ilvl w:val="0"/>
          <w:numId w:val="9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GENERAL</w:t>
      </w:r>
    </w:p>
    <w:p>
      <w:pPr>
        <w:spacing w:after="0" w:line="210"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1"/>
          <w:szCs w:val="21"/>
          <w:color w:val="auto"/>
        </w:rPr>
        <w:t>The Participant’s employment by the Company is in a capacity in which he or she may have access to, or contribute to the production of, Confidential Information and the Company Work Product (both as defined below). The Participant’s employment creates a relationship of confidence and trust between the Company and the Participant with respect to the Confidential Information and the Company Work Product as set forth herein. This Confidentiality and Inventions Agreement are subject to the terms of the Standard Terms and Conditions attached as Exhibit A to the Grant Notice to which this Confidentiality and Inventions Agreement is attached; provided however, that in the event of any conflict between the Standard Terms and Conditions and this Confidentiality and Inventions Agreement, this Confidentiality and Inventions Agreement shall control.</w:t>
      </w:r>
    </w:p>
    <w:p>
      <w:pPr>
        <w:spacing w:after="0" w:line="166" w:lineRule="exact"/>
        <w:rPr>
          <w:sz w:val="20"/>
          <w:szCs w:val="20"/>
          <w:color w:val="auto"/>
        </w:rPr>
      </w:pPr>
    </w:p>
    <w:p>
      <w:pPr>
        <w:ind w:left="520" w:hanging="512"/>
        <w:spacing w:after="0"/>
        <w:tabs>
          <w:tab w:leader="none" w:pos="520" w:val="left"/>
        </w:tabs>
        <w:numPr>
          <w:ilvl w:val="0"/>
          <w:numId w:val="9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DEFINITIONS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Capitalized terms not otherwise defined herein shall have the meaning set forth in the Petco Health and Wellness Company, Inc.</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2021 Equity Incentive Plan, as amended from time to time. For purposes of this Confidentiality and Inventions Agreement:</w:t>
      </w:r>
    </w:p>
    <w:p>
      <w:pPr>
        <w:spacing w:after="0" w:line="176" w:lineRule="exact"/>
        <w:rPr>
          <w:sz w:val="20"/>
          <w:szCs w:val="20"/>
          <w:color w:val="auto"/>
        </w:rPr>
      </w:pPr>
    </w:p>
    <w:p>
      <w:pPr>
        <w:jc w:val="both"/>
        <w:ind w:right="80" w:firstLine="757"/>
        <w:spacing w:after="0" w:line="244" w:lineRule="auto"/>
        <w:tabs>
          <w:tab w:leader="none" w:pos="1016" w:val="left"/>
        </w:tabs>
        <w:numPr>
          <w:ilvl w:val="0"/>
          <w:numId w:val="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Confidential Information</w:t>
      </w:r>
      <w:r>
        <w:rPr>
          <w:rFonts w:ascii="Times New Roman" w:cs="Times New Roman" w:eastAsia="Times New Roman" w:hAnsi="Times New Roman"/>
          <w:sz w:val="21"/>
          <w:szCs w:val="21"/>
          <w:color w:val="auto"/>
        </w:rPr>
        <w:t>” shall mean information or material (i) that is proprietary to the Company or confidential to the Company, whether or not designated or labeled as such, and (ii) that the Participant creates, discovers or develops, or of which the Participant obtains knowledge of or access to, in the course of the Participant’s employment with the Company. Confidential Information may include, but is not limited to, designs, works of authorship, formulae, ideas, concepts, techniques, inventions, devices, improvements, know-how, methods, processes, drawings, specifications, models, data, diagrams, flow charts, research, procedures, computer programs, marketing techniques and materials, business, marketing, development and product plans, financial information, customer lists and contact information, personnel information, and other confidential business or technical information created on behalf of the Company or obtained as a result of or in the course of employment with the Company. For purposes of this Confidentiality and Inventions Agreement, the “</w:t>
      </w:r>
      <w:r>
        <w:rPr>
          <w:rFonts w:ascii="Times New Roman" w:cs="Times New Roman" w:eastAsia="Times New Roman" w:hAnsi="Times New Roman"/>
          <w:sz w:val="21"/>
          <w:szCs w:val="21"/>
          <w:b w:val="1"/>
          <w:bCs w:val="1"/>
          <w:i w:val="1"/>
          <w:iCs w:val="1"/>
          <w:color w:val="auto"/>
        </w:rPr>
        <w:t>Company</w:t>
      </w:r>
      <w:r>
        <w:rPr>
          <w:rFonts w:ascii="Times New Roman" w:cs="Times New Roman" w:eastAsia="Times New Roman" w:hAnsi="Times New Roman"/>
          <w:sz w:val="21"/>
          <w:szCs w:val="21"/>
          <w:color w:val="auto"/>
        </w:rPr>
        <w:t>” shall mean the Company or any of its Affiliates. To the extent that the participant can demonstrate by competent proof that one of the following exceptions applies, the Participant shall have no obligation under this Confidentiality and Inventions Agreement to maintain in confidence any: (I) INFORMATION THAT IS OR BECOMES GENERALLY PUBLICLY KNOWN OTHER THAN AS A RESULT OF THE PARTICIPANT’S DISCLOSURE IN VIOLATION OF THIS AGREEMENT, (II) INFORMATION THAT WAS KNOWN BY THE PARTICIPANT OR AVAILABLE TO THE PARTICIPANT WITHOUT RESTRICTION PRIOR TO DISCLOSURE TO THE PARTICIPANT BY THE COMPANY, (III) INFORMATION THAT BECOMES</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w:t>
      </w:r>
      <w:r>
        <w:rPr>
          <w:rFonts w:ascii="Times New Roman" w:cs="Times New Roman" w:eastAsia="Times New Roman" w:hAnsi="Times New Roman"/>
          <w:sz w:val="14"/>
          <w:szCs w:val="14"/>
          <w:color w:val="auto"/>
        </w:rPr>
        <w:t>xhibit</w:t>
      </w:r>
      <w:r>
        <w:rPr>
          <w:rFonts w:ascii="Times New Roman" w:cs="Times New Roman" w:eastAsia="Times New Roman" w:hAnsi="Times New Roman"/>
          <w:sz w:val="22"/>
          <w:szCs w:val="22"/>
          <w:color w:val="auto"/>
        </w:rPr>
        <w:t xml:space="preserve"> B</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w:t>
      </w:r>
      <w:r>
        <w:rPr>
          <w:rFonts w:ascii="Times New Roman" w:cs="Times New Roman" w:eastAsia="Times New Roman" w:hAnsi="Times New Roman"/>
          <w:sz w:val="14"/>
          <w:szCs w:val="14"/>
          <w:color w:val="auto"/>
        </w:rPr>
        <w:t>onfidentiality and</w:t>
      </w:r>
      <w:r>
        <w:rPr>
          <w:rFonts w:ascii="Times New Roman" w:cs="Times New Roman" w:eastAsia="Times New Roman" w:hAnsi="Times New Roman"/>
          <w:sz w:val="22"/>
          <w:szCs w:val="22"/>
          <w:color w:val="auto"/>
        </w:rPr>
        <w:t xml:space="preserve"> I</w:t>
      </w:r>
      <w:r>
        <w:rPr>
          <w:rFonts w:ascii="Times New Roman" w:cs="Times New Roman" w:eastAsia="Times New Roman" w:hAnsi="Times New Roman"/>
          <w:sz w:val="14"/>
          <w:szCs w:val="14"/>
          <w:color w:val="auto"/>
        </w:rPr>
        <w:t>nventions</w:t>
      </w:r>
      <w:r>
        <w:rPr>
          <w:rFonts w:ascii="Times New Roman" w:cs="Times New Roman" w:eastAsia="Times New Roman" w:hAnsi="Times New Roman"/>
          <w:sz w:val="22"/>
          <w:szCs w:val="22"/>
          <w:color w:val="auto"/>
        </w:rPr>
        <w:t xml:space="preserve"> A</w:t>
      </w:r>
      <w:r>
        <w:rPr>
          <w:rFonts w:ascii="Times New Roman" w:cs="Times New Roman" w:eastAsia="Times New Roman" w:hAnsi="Times New Roman"/>
          <w:sz w:val="14"/>
          <w:szCs w:val="14"/>
          <w:color w:val="auto"/>
        </w:rPr>
        <w:t>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462915</wp:posOffset>
            </wp:positionV>
            <wp:extent cx="7157720" cy="425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35" w:name="page136"/>
    <w:bookmarkEnd w:id="135"/>
    <w:p>
      <w:pPr>
        <w:spacing w:after="0" w:line="184"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AVAILABLE TO THE PARTICIPANT ON A NON-CONFIDENTIAL BASIS FROM A THIRD PARTY THAT IS NOT SUBJECT TO CONFIDENTIALITY OBLIGATIONS IN FAVOR, OR THAT INURE TO THE BENEFIT, OF THE COMPANY, AND (IV) INFORMATION THAT WAS DEVELOPED INDEPENDENTLY BY OR FOR THE PARTICIPANT WITHOUT REFERENCE TO THE CONFIDENTIAL INFORMATION, USE OF COMPANY RESOURCES OR BREACH OF THIS AGREEMENT, INCLUDING, WITHOUT LIMITATION, THE “PRE-EMPLOYMENT WORK PRODUCT” (AS DEFINED BELOW).</w:t>
      </w:r>
    </w:p>
    <w:p>
      <w:pPr>
        <w:spacing w:after="0" w:line="175"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(b)“</w:t>
      </w:r>
      <w:r>
        <w:rPr>
          <w:rFonts w:ascii="Times New Roman" w:cs="Times New Roman" w:eastAsia="Times New Roman" w:hAnsi="Times New Roman"/>
          <w:sz w:val="22"/>
          <w:szCs w:val="22"/>
          <w:b w:val="1"/>
          <w:bCs w:val="1"/>
          <w:i w:val="1"/>
          <w:iCs w:val="1"/>
          <w:color w:val="auto"/>
        </w:rPr>
        <w:t>Work Product</w:t>
      </w:r>
      <w:r>
        <w:rPr>
          <w:rFonts w:ascii="Times New Roman" w:cs="Times New Roman" w:eastAsia="Times New Roman" w:hAnsi="Times New Roman"/>
          <w:sz w:val="22"/>
          <w:szCs w:val="22"/>
          <w:color w:val="auto"/>
        </w:rPr>
        <w:t>” shall mean inventions, data, ideas, designs, drawings, works of authorship, trademarks, service marks, trade names, service names, logos, developments, formulae, concepts, techniques, devices, improvements, know-how, methods, processes, programs and discoveries, whether or not patentable or protectable under applicable copyright or trademark law, or under other similar law, and whether or not reduced to practice or tangible form, together with any improvements thereon or thereto, derivative works therefrom, and intellectual property rights therein created on behalf of the Company as part of the obligation of employment in performing work for the Company or otherwise in the course of employment with the Company.</w:t>
      </w:r>
    </w:p>
    <w:p>
      <w:pPr>
        <w:spacing w:after="0" w:line="178" w:lineRule="exact"/>
        <w:rPr>
          <w:sz w:val="20"/>
          <w:szCs w:val="20"/>
          <w:color w:val="auto"/>
        </w:rPr>
      </w:pPr>
    </w:p>
    <w:p>
      <w:pPr>
        <w:ind w:left="520" w:hanging="512"/>
        <w:spacing w:after="0"/>
        <w:tabs>
          <w:tab w:leader="none" w:pos="520" w:val="left"/>
        </w:tabs>
        <w:numPr>
          <w:ilvl w:val="0"/>
          <w:numId w:val="9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CONFIDENTIALITY</w:t>
      </w:r>
    </w:p>
    <w:p>
      <w:pPr>
        <w:spacing w:after="0" w:line="210" w:lineRule="exact"/>
        <w:rPr>
          <w:rFonts w:ascii="Times New Roman" w:cs="Times New Roman" w:eastAsia="Times New Roman" w:hAnsi="Times New Roman"/>
          <w:sz w:val="22"/>
          <w:szCs w:val="22"/>
          <w:b w:val="1"/>
          <w:bCs w:val="1"/>
          <w:color w:val="auto"/>
        </w:rPr>
      </w:pPr>
    </w:p>
    <w:p>
      <w:pPr>
        <w:jc w:val="both"/>
        <w:ind w:firstLine="757"/>
        <w:spacing w:after="0" w:line="233" w:lineRule="auto"/>
        <w:tabs>
          <w:tab w:leader="none" w:pos="1016" w:val="left"/>
        </w:tabs>
        <w:numPr>
          <w:ilvl w:val="1"/>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the term of the Participant’s employment by the Company and at all times thereafter, the Participant will keep in strict confidence and trust all Confidential Information, and the Participant will not, directly or indirectly, disclose, distribute, sell, transfer, use, lecture upon or publish any Confidential Information, except as may be necessary in the course of performing the Participant’s duties as an employee of the Company or as the Company authorizes or permits. Notwithstanding the foregoing, the Participant shall be entitled to continue to use Confidential Information of the Company transferred to a purchaser (“</w:t>
      </w:r>
      <w:r>
        <w:rPr>
          <w:rFonts w:ascii="Times New Roman" w:cs="Times New Roman" w:eastAsia="Times New Roman" w:hAnsi="Times New Roman"/>
          <w:sz w:val="22"/>
          <w:szCs w:val="22"/>
          <w:b w:val="1"/>
          <w:bCs w:val="1"/>
          <w:i w:val="1"/>
          <w:iCs w:val="1"/>
          <w:color w:val="auto"/>
        </w:rPr>
        <w:t>Purchaser</w:t>
      </w:r>
      <w:r>
        <w:rPr>
          <w:rFonts w:ascii="Times New Roman" w:cs="Times New Roman" w:eastAsia="Times New Roman" w:hAnsi="Times New Roman"/>
          <w:sz w:val="22"/>
          <w:szCs w:val="22"/>
          <w:color w:val="auto"/>
        </w:rPr>
        <w:t>”) of all or substantially all of the assets of a business (“</w:t>
      </w:r>
      <w:r>
        <w:rPr>
          <w:rFonts w:ascii="Times New Roman" w:cs="Times New Roman" w:eastAsia="Times New Roman" w:hAnsi="Times New Roman"/>
          <w:sz w:val="22"/>
          <w:szCs w:val="22"/>
          <w:b w:val="1"/>
          <w:bCs w:val="1"/>
          <w:i w:val="1"/>
          <w:iCs w:val="1"/>
          <w:color w:val="auto"/>
        </w:rPr>
        <w:t>Business</w:t>
      </w:r>
      <w:r>
        <w:rPr>
          <w:rFonts w:ascii="Times New Roman" w:cs="Times New Roman" w:eastAsia="Times New Roman" w:hAnsi="Times New Roman"/>
          <w:sz w:val="22"/>
          <w:szCs w:val="22"/>
          <w:color w:val="auto"/>
        </w:rPr>
        <w:t>”) of Company (an “</w:t>
      </w:r>
      <w:r>
        <w:rPr>
          <w:rFonts w:ascii="Times New Roman" w:cs="Times New Roman" w:eastAsia="Times New Roman" w:hAnsi="Times New Roman"/>
          <w:sz w:val="22"/>
          <w:szCs w:val="22"/>
          <w:b w:val="1"/>
          <w:bCs w:val="1"/>
          <w:i w:val="1"/>
          <w:iCs w:val="1"/>
          <w:color w:val="auto"/>
        </w:rPr>
        <w:t>Acquisition</w:t>
      </w:r>
      <w:r>
        <w:rPr>
          <w:rFonts w:ascii="Times New Roman" w:cs="Times New Roman" w:eastAsia="Times New Roman" w:hAnsi="Times New Roman"/>
          <w:sz w:val="22"/>
          <w:szCs w:val="22"/>
          <w:color w:val="auto"/>
        </w:rPr>
        <w:t>”) solely to the extent that the Participant becomes an employee of such Purchaser or Purchaser’s designated affiliate upon consummation of the Acquisition and such Confidential Information is used in the Business prior to consummation of the Acquisition. The Participant acknowledges and agrees that, upon consummation of the Acquisition, the Confidential Information shall be deemed the Confidential Information of the Purchaser and subject to the Participant’s applicable employment, confidentiality and inventions assignment agreement with such Purchaser.</w:t>
      </w:r>
    </w:p>
    <w:p>
      <w:pPr>
        <w:spacing w:after="0" w:line="187"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(b)The Participant recognizes that the Company has received and in the future will receive information from third parties which is subject to an obligation on the Company’s part to maintain the confidentiality of such information and to use it only for certain limited purposes. The Participant agrees, during the term of the Participant’s employment and thereafter, to hold all such confidential or proprietary information of third parties in the strictest confidence and not to disclose or use it, except as necessary in performing the Participant’s duties as an employee of the Company consistent with the Company’s agreement with such third party. The Participant agrees that such information will be subject to the terms of this Confidentiality and Inventions Agreement as Confidential Information.</w:t>
      </w:r>
    </w:p>
    <w:p>
      <w:pPr>
        <w:spacing w:after="0" w:line="183" w:lineRule="exact"/>
        <w:rPr>
          <w:sz w:val="20"/>
          <w:szCs w:val="20"/>
          <w:color w:val="auto"/>
        </w:rPr>
      </w:pPr>
    </w:p>
    <w:p>
      <w:pPr>
        <w:ind w:left="5460" w:right="3100" w:hanging="4703"/>
        <w:spacing w:after="0" w:line="847" w:lineRule="auto"/>
        <w:tabs>
          <w:tab w:leader="none" w:pos="1022"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Protected Disclosures</w:t>
      </w:r>
      <w:r>
        <w:rPr>
          <w:rFonts w:ascii="Times New Roman" w:cs="Times New Roman" w:eastAsia="Times New Roman" w:hAnsi="Times New Roman"/>
          <w:sz w:val="22"/>
          <w:szCs w:val="22"/>
          <w:color w:val="auto"/>
        </w:rPr>
        <w:t>. 18 U.S.C. § 1833(b) provides: “An individual shall not be 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53975</wp:posOffset>
            </wp:positionV>
            <wp:extent cx="7157720" cy="425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136" w:name="page137"/>
    <w:bookmarkEnd w:id="136"/>
    <w:p>
      <w:pPr>
        <w:jc w:val="both"/>
        <w:ind w:right="80"/>
        <w:spacing w:after="0" w:line="232" w:lineRule="auto"/>
        <w:rPr>
          <w:sz w:val="20"/>
          <w:szCs w:val="20"/>
          <w:color w:val="auto"/>
        </w:rPr>
      </w:pPr>
      <w:r>
        <w:rPr>
          <w:rFonts w:ascii="Times New Roman" w:cs="Times New Roman" w:eastAsia="Times New Roman" w:hAnsi="Times New Roman"/>
          <w:sz w:val="22"/>
          <w:szCs w:val="22"/>
          <w:color w:val="auto"/>
        </w:rPr>
        <w:t>held criminally or civilly liable under any Federal or State trade secret law for the disclosure of a trade secret that—(A) is made —(i)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 Nothing in this Agreement is intended to conflict with 18 U.S.C. § 1833(b) or create liability for disclosures of trade secrets that are expressly allowed by 18 U.S.C. § 1833(b). Accordingly, the parties to this Agreement have the right to disclose in confidence trade secrets to federal, state, and local government officials, or to an attorney, for the sole purpose of reporting or investigating a suspected violation of law. The parties also have the right to disclose trade secrets in a document filed in a lawsuit or other proceeding, but only if the filing is made under seal and protected from public disclosure. Nothing in this Confidentiality and Inventions Agreement prevents the Participant from discussing or disclosing information about unlawful acts in the workplace, such as harassment or discrimination or any other conduct that the Participant has reason to believe is unlawful. Furthermore, and for the avoidance of doubt, nothing in this Confidentiality and Inventions Agreement limits or restricts the Participant’s ability to communicate with the Securities and Exchange Commission or any other federal, state or local governmental agency or commission (each a “</w:t>
      </w:r>
      <w:r>
        <w:rPr>
          <w:rFonts w:ascii="Times New Roman" w:cs="Times New Roman" w:eastAsia="Times New Roman" w:hAnsi="Times New Roman"/>
          <w:sz w:val="22"/>
          <w:szCs w:val="22"/>
          <w:b w:val="1"/>
          <w:bCs w:val="1"/>
          <w:i w:val="1"/>
          <w:iCs w:val="1"/>
          <w:color w:val="auto"/>
        </w:rPr>
        <w:t>Government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Agency</w:t>
      </w:r>
      <w:r>
        <w:rPr>
          <w:rFonts w:ascii="Times New Roman" w:cs="Times New Roman" w:eastAsia="Times New Roman" w:hAnsi="Times New Roman"/>
          <w:sz w:val="22"/>
          <w:szCs w:val="22"/>
          <w:color w:val="auto"/>
        </w:rPr>
        <w:t>”) or otherwise participate in any investigation or proceeding that may be conducted by any Government Agency,</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including providing documents or other information and reporting possible violations of law or regulation or other disclosures protected under the whistleblower provisions of applicable law or regulation, without notice to the Company.</w:t>
      </w:r>
    </w:p>
    <w:p>
      <w:pPr>
        <w:spacing w:after="0" w:line="187" w:lineRule="exact"/>
        <w:rPr>
          <w:sz w:val="20"/>
          <w:szCs w:val="20"/>
          <w:color w:val="auto"/>
        </w:rPr>
      </w:pPr>
    </w:p>
    <w:p>
      <w:pPr>
        <w:ind w:left="520" w:hanging="512"/>
        <w:spacing w:after="0"/>
        <w:tabs>
          <w:tab w:leader="none" w:pos="520" w:val="left"/>
        </w:tabs>
        <w:numPr>
          <w:ilvl w:val="0"/>
          <w:numId w:val="9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COMPANY PROPERTY</w:t>
      </w:r>
    </w:p>
    <w:p>
      <w:pPr>
        <w:spacing w:after="0" w:line="210"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1"/>
          <w:szCs w:val="21"/>
          <w:color w:val="auto"/>
        </w:rPr>
        <w:t>All apparatus, computers, computer files and media, notes, data, documents, reference materials, sketches, memoranda, records, drawings, engineering log books, equipment, lab/inventor notebooks, programs, prototypes, samples, equipment, tangible embodiments of information, and other physical property, whether or not pertaining to Confidential Information, furnished to the Participant or produced by the Participant or others in connection with the Participant’s employment, shall be and remain the sole property of the Company and any such property actually in the Participant’s possession or control shall be returned promptly to the Company as and when requested in writing by the Company. Should the Company not so request, the Participant shall return and deliver all such property to the Company upon termination of the Participant’s employment. The Participant may not retain any such property or any reproduction of such property upon such termination. The Participant further agrees that any property situated on the Company’s premises and owned, leased, maintained or otherwise contracted for by the Company, including, but not limited to, computers, computer files, e-mail, voicemail, disks and other electronic storage media, filing cabinets, desks or other work areas, are subject to inspection by the Company’s representatives at any time with or without notice.</w:t>
      </w:r>
    </w:p>
    <w:p>
      <w:pPr>
        <w:spacing w:after="0" w:line="173" w:lineRule="exact"/>
        <w:rPr>
          <w:sz w:val="20"/>
          <w:szCs w:val="20"/>
          <w:color w:val="auto"/>
        </w:rPr>
      </w:pPr>
    </w:p>
    <w:p>
      <w:pPr>
        <w:ind w:left="520" w:hanging="512"/>
        <w:spacing w:after="0"/>
        <w:tabs>
          <w:tab w:leader="none" w:pos="520" w:val="left"/>
        </w:tabs>
        <w:numPr>
          <w:ilvl w:val="0"/>
          <w:numId w:val="9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COMPANY WORK PRODUCT</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1"/>
          <w:szCs w:val="21"/>
          <w:color w:val="auto"/>
        </w:rPr>
        <w:t>Subject to Section 6 and 7 below, the Participant agrees that any Work Product, in whole or in part, conceived, developed, made or reduced to practice by the Participant (either solely or in conjunction with others) during the term of his or her employment with the Company (collectively, the “</w:t>
      </w:r>
      <w:r>
        <w:rPr>
          <w:rFonts w:ascii="Times New Roman" w:cs="Times New Roman" w:eastAsia="Times New Roman" w:hAnsi="Times New Roman"/>
          <w:sz w:val="21"/>
          <w:szCs w:val="21"/>
          <w:b w:val="1"/>
          <w:bCs w:val="1"/>
          <w:i w:val="1"/>
          <w:iCs w:val="1"/>
          <w:color w:val="auto"/>
        </w:rPr>
        <w:t>Company Work Product</w:t>
      </w:r>
      <w:r>
        <w:rPr>
          <w:rFonts w:ascii="Times New Roman" w:cs="Times New Roman" w:eastAsia="Times New Roman" w:hAnsi="Times New Roman"/>
          <w:sz w:val="21"/>
          <w:szCs w:val="21"/>
          <w:color w:val="auto"/>
        </w:rPr>
        <w:t>”) shall be owned exclusively by the Company (or, to the extent</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37" w:name="page138"/>
    <w:bookmarkEnd w:id="137"/>
    <w:p>
      <w:pPr>
        <w:spacing w:after="0" w:line="184"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2"/>
          <w:szCs w:val="22"/>
          <w:color w:val="auto"/>
        </w:rPr>
        <w:t>applicable, a Purchaser pursuant to an Acquisition). Without limiting the foregoing, the Participant agrees that any of the Company Work Product shall be deemed to be “works made for hire” as defined in U.S. Copyright Act §101, and all right, title, and interest therein shall vest solely in the Company from conception. The Participant hereby irrevocably assigns and transfers, and agrees to assign and transfer in the future on the Company’s request, to the Company all right, title and interest in and to any Company Work Product, including, but not limited to, patents, copyrights and other intellectual property rights therein. The Participant shall treat any such Company Work Product as Confidential Information. The Participant will execute all applications, assignments, instruments and other documents and perform all acts consistent herewith as the Company or its counsel may deem necessary or desirable to obtain, perfect or enforce any patents, copyright registrations or other protections on such Company Work Product and to otherwise protect the interests of the Company therein. The Participant’s obligation to reasonably assist the Company in obtaining and enforcing the intellectual property and other rights in the Company Work Product in any and all jurisdictions shall continue beyond the termination of the Participant’s employment. The Participant acknowledges that the Company may need to secure the Participant’s signature for lawful and necessary documents required to apply for, maintain or enforce intellectual property and other rights with respect to the Company Work Product (including, but not limited to, renewals, extensions, continuations, divisions or continuations in part of patent applications). The Participant hereby irrevocably designates and appoints the Company and its duly authorized officers and agents, as the Participant’s agents and attorneys-in-fact, to act for and on the Participant’s behalf and instead of the Participant, to execute and file any such document(s) and to do all other lawfully permitted acts to further the prosecution, issuance and enforcement of patents, copyright registrations and other protections on the Company Work Product with the same legal force and effect as if executed by the Participant. The Participant further hereby waives and relinquishes any and all moral rights that the Participant may have in the Company Work Product.</w:t>
      </w:r>
    </w:p>
    <w:p>
      <w:pPr>
        <w:spacing w:after="0" w:line="181" w:lineRule="exact"/>
        <w:rPr>
          <w:sz w:val="20"/>
          <w:szCs w:val="20"/>
          <w:color w:val="auto"/>
        </w:rPr>
      </w:pPr>
    </w:p>
    <w:p>
      <w:pPr>
        <w:ind w:left="520" w:hanging="512"/>
        <w:spacing w:after="0"/>
        <w:tabs>
          <w:tab w:leader="none" w:pos="520" w:val="left"/>
        </w:tabs>
        <w:numPr>
          <w:ilvl w:val="0"/>
          <w:numId w:val="9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EXCEPTION TO ASSIGNMENTS</w:t>
      </w:r>
    </w:p>
    <w:p>
      <w:pPr>
        <w:spacing w:after="0" w:line="21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Pursuant to Section 2870 of the California Labor Code, the requirements set forth in Section 5 of this Agreement shall not apply to an invention that the Participant develops entirely on his or her own time without using the Company’s equipment, supplies, facilities, or trade secret information except for those inventions that either: (i) relate at the time of conception or reduction to practice of the invention to the Company’s business, or actual or demonstrably anticipated research or development of the Company; or (ii) result from any work performed by the Participant for the Company.</w:t>
      </w:r>
    </w:p>
    <w:p>
      <w:pPr>
        <w:spacing w:after="0" w:line="173" w:lineRule="exact"/>
        <w:rPr>
          <w:sz w:val="20"/>
          <w:szCs w:val="20"/>
          <w:color w:val="auto"/>
        </w:rPr>
      </w:pPr>
    </w:p>
    <w:p>
      <w:pPr>
        <w:ind w:left="520" w:hanging="512"/>
        <w:spacing w:after="0"/>
        <w:tabs>
          <w:tab w:leader="none" w:pos="520" w:val="left"/>
        </w:tabs>
        <w:numPr>
          <w:ilvl w:val="0"/>
          <w:numId w:val="9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PRE-EMPLOYMENT WORK PRODUCT</w:t>
      </w:r>
    </w:p>
    <w:p>
      <w:pPr>
        <w:spacing w:after="0" w:line="21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(a) Work Product includes only things done for the Company in performing work for the Company.</w:t>
      </w:r>
    </w:p>
    <w:p>
      <w:pPr>
        <w:spacing w:after="0" w:line="206" w:lineRule="exact"/>
        <w:rPr>
          <w:sz w:val="20"/>
          <w:szCs w:val="20"/>
          <w:color w:val="auto"/>
        </w:rPr>
      </w:pPr>
    </w:p>
    <w:p>
      <w:pPr>
        <w:jc w:val="both"/>
        <w:ind w:right="80" w:firstLine="749"/>
        <w:spacing w:after="0" w:line="238" w:lineRule="auto"/>
        <w:rPr>
          <w:sz w:val="20"/>
          <w:szCs w:val="20"/>
          <w:color w:val="auto"/>
        </w:rPr>
      </w:pPr>
      <w:r>
        <w:rPr>
          <w:rFonts w:ascii="Times New Roman" w:cs="Times New Roman" w:eastAsia="Times New Roman" w:hAnsi="Times New Roman"/>
          <w:sz w:val="22"/>
          <w:szCs w:val="22"/>
          <w:color w:val="auto"/>
        </w:rPr>
        <w:t>(b)The Participant acknowledges that the Company has a strict policy against using proprietary information belonging to any other person or entity without the express permission of the owner of that information. The Participant represents and warrants that the Participant’s performance of all of the terms of this Confidentiality and Inventions Agreement and as an employee of the Company does not and will not result in a breach of any duty owed by the Participant to a third party to keep in confidence any information, knowledge or data. The</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8" w:name="page139"/>
    <w:bookmarkEnd w:id="138"/>
    <w:p>
      <w:pPr>
        <w:jc w:val="both"/>
        <w:ind w:right="80"/>
        <w:spacing w:after="0" w:line="238" w:lineRule="auto"/>
        <w:rPr>
          <w:sz w:val="20"/>
          <w:szCs w:val="20"/>
          <w:color w:val="auto"/>
        </w:rPr>
      </w:pPr>
      <w:r>
        <w:rPr>
          <w:rFonts w:ascii="Times New Roman" w:cs="Times New Roman" w:eastAsia="Times New Roman" w:hAnsi="Times New Roman"/>
          <w:sz w:val="22"/>
          <w:szCs w:val="22"/>
          <w:color w:val="auto"/>
        </w:rPr>
        <w:t>Participant has not brought or used, and will not bring to the Company, or use, induce the Company to use, or disclose in the performance of the Participant’s duties, nor has the Participant used or disclosed in the performance of any services for the Company prior to the effective date of the Participant’s employment with the Company (if any), any equipment, supplies, facility, electronic media, software, trade secret or other information or property of any former employer or any other person or entity, unless the Participant has obtained their written authorization for its possession and use.</w:t>
      </w:r>
    </w:p>
    <w:p>
      <w:pPr>
        <w:spacing w:after="0" w:line="173" w:lineRule="exact"/>
        <w:rPr>
          <w:sz w:val="20"/>
          <w:szCs w:val="20"/>
          <w:color w:val="auto"/>
        </w:rPr>
      </w:pPr>
    </w:p>
    <w:p>
      <w:pPr>
        <w:ind w:left="520" w:hanging="512"/>
        <w:spacing w:after="0"/>
        <w:tabs>
          <w:tab w:leader="none" w:pos="520" w:val="left"/>
        </w:tabs>
        <w:numPr>
          <w:ilvl w:val="0"/>
          <w:numId w:val="10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RECORDS</w:t>
      </w:r>
    </w:p>
    <w:p>
      <w:pPr>
        <w:spacing w:after="0" w:line="21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The Participant agrees that he or she will keep and maintain adequate and current written records (in the form of notes, sketches, drawings or such other form(s) as may be specified by the Company) of all the Company Work Product made by the Participant during the term of his or his or her employment with the Company, which records shall be available at all times to the Company and shall remain the sole property of the Company.</w:t>
      </w:r>
    </w:p>
    <w:p>
      <w:pPr>
        <w:spacing w:after="0" w:line="176" w:lineRule="exact"/>
        <w:rPr>
          <w:sz w:val="20"/>
          <w:szCs w:val="20"/>
          <w:color w:val="auto"/>
        </w:rPr>
      </w:pPr>
    </w:p>
    <w:p>
      <w:pPr>
        <w:ind w:left="520" w:hanging="512"/>
        <w:spacing w:after="0"/>
        <w:tabs>
          <w:tab w:leader="none" w:pos="520" w:val="left"/>
        </w:tabs>
        <w:numPr>
          <w:ilvl w:val="0"/>
          <w:numId w:val="10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PRESUMPTION</w:t>
      </w:r>
    </w:p>
    <w:p>
      <w:pPr>
        <w:spacing w:after="0" w:line="21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If any application for any United States or foreign patent related to or useful in the business of the Company or any customer of the Company shall be filed by or for the Participant during the period of one year after the Participant’s employment is terminated, the subject matter covered by such application shall be presumed to have been conceived during the Participant’s employment with the Company.</w:t>
      </w:r>
    </w:p>
    <w:p>
      <w:pPr>
        <w:spacing w:after="0" w:line="176" w:lineRule="exact"/>
        <w:rPr>
          <w:sz w:val="20"/>
          <w:szCs w:val="20"/>
          <w:color w:val="auto"/>
        </w:rPr>
      </w:pPr>
    </w:p>
    <w:p>
      <w:pPr>
        <w:ind w:left="520" w:hanging="512"/>
        <w:spacing w:after="0"/>
        <w:tabs>
          <w:tab w:leader="none" w:pos="520" w:val="left"/>
        </w:tabs>
        <w:numPr>
          <w:ilvl w:val="0"/>
          <w:numId w:val="10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AGREEMENTS WITH THIRD PARTIES OR THE U.S. GOVERNMENT.</w:t>
      </w:r>
    </w:p>
    <w:p>
      <w:pPr>
        <w:spacing w:after="0" w:line="21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Participant acknowledges that the Company from time to time may have agreements with other persons or entities, or with the U.S. Government or agencies thereof, which impose obligations or restrictions on the Company regarding inventions made during the course of work thereunder or regarding the confidential nature of such work. The Participant agrees to be bound by all such obligations and restrictions of which the Participant has been made aware of by the Company and to take all action necessary to discharge the obligations of the Company thereunder.</w:t>
      </w:r>
    </w:p>
    <w:p>
      <w:pPr>
        <w:spacing w:after="0" w:line="173" w:lineRule="exact"/>
        <w:rPr>
          <w:sz w:val="20"/>
          <w:szCs w:val="20"/>
          <w:color w:val="auto"/>
        </w:rPr>
      </w:pPr>
    </w:p>
    <w:p>
      <w:pPr>
        <w:ind w:left="520" w:hanging="512"/>
        <w:spacing w:after="0"/>
        <w:tabs>
          <w:tab w:leader="none" w:pos="520" w:val="left"/>
        </w:tabs>
        <w:numPr>
          <w:ilvl w:val="0"/>
          <w:numId w:val="10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INJUNCTIVE RELIEF</w:t>
      </w:r>
    </w:p>
    <w:p>
      <w:pPr>
        <w:spacing w:after="0" w:line="210"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Because of the unique nature of the Confidential Information and the Company Work Product, the Participant understands and agrees that the Company may suffer immediate and irreparable harm if the Participant fails to comply with any of his or her obligations under this Confidentiality and Inventions Agreement and that monetary damages may be inadequate to compensate the Company for such breach. Accordingly, the Participant agrees that in the event of a breach or threatened breach of this Confidentiality and Inventions Agreement, in addition to any other remedies available to it at law or in equity, the Company will be entitled, without posting bond or other security, to seek injunctive relief to enforce the terms of this Confidentiality and Inventions Agreement, including, but not limited to, restraining the Participant from violating this Confidentiality and Inventions Agreement or compelling the Participant to cease and desist all unauthorized use and disclosure of the Confidential Information and the Company Work Product. The Participant will indemnify the Company against any costs, including, but not limited to, reasonable outside legal fees and costs, incurred in obtaining relief against the Participant’s breach</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B-5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39" w:name="page140"/>
    <w:bookmarkEnd w:id="139"/>
    <w:p>
      <w:pPr>
        <w:spacing w:after="0" w:line="18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of this Confidentiality and Inventions Agreement. Nothing in this Section 11 shall be construed as prohibiting the Company from pursuing any other remedies available to it for such breach or threatened breach, including, but not limited to, recovery of damages.</w:t>
      </w:r>
    </w:p>
    <w:p>
      <w:pPr>
        <w:spacing w:after="0" w:line="169" w:lineRule="exact"/>
        <w:rPr>
          <w:sz w:val="20"/>
          <w:szCs w:val="20"/>
          <w:color w:val="auto"/>
        </w:rPr>
      </w:pPr>
    </w:p>
    <w:p>
      <w:pPr>
        <w:ind w:left="520" w:hanging="512"/>
        <w:spacing w:after="0"/>
        <w:tabs>
          <w:tab w:leader="none" w:pos="520" w:val="left"/>
        </w:tabs>
        <w:numPr>
          <w:ilvl w:val="0"/>
          <w:numId w:val="10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DISCLOSURE OF OBLIGATIONS</w:t>
      </w:r>
    </w:p>
    <w:p>
      <w:pPr>
        <w:spacing w:after="0" w:line="21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The Participant is hereby permitted and the Participant authorizes the Company to provide a copy of this Confidentiality and Inventions Agreement and any exhibits hereto to any of the Participant’s future employers, and to notify any such future employers of the Participant’s obligations and the Company’s rights hereunder, provided that neither party is under any obligation to do so.</w:t>
      </w:r>
    </w:p>
    <w:p>
      <w:pPr>
        <w:spacing w:after="0" w:line="176" w:lineRule="exact"/>
        <w:rPr>
          <w:sz w:val="20"/>
          <w:szCs w:val="20"/>
          <w:color w:val="auto"/>
        </w:rPr>
      </w:pPr>
    </w:p>
    <w:p>
      <w:pPr>
        <w:ind w:left="520" w:hanging="512"/>
        <w:spacing w:after="0"/>
        <w:tabs>
          <w:tab w:leader="none" w:pos="520" w:val="left"/>
        </w:tabs>
        <w:numPr>
          <w:ilvl w:val="0"/>
          <w:numId w:val="10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JURISDICTION AND VENUE</w:t>
      </w:r>
    </w:p>
    <w:p>
      <w:pPr>
        <w:spacing w:after="0" w:line="21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This Confidentiality and Inventions Agreement will be governed by the laws of the State of California without regard to any conflicts-of-law rules. To the extent that any lawsuit is permitted under this Confidentiality and Inventions Agreement, the Participant hereby expressly consents to the personal and exclusive jurisdiction and venue of the state and federal courts located in San Diego, California for any lawsuit filed against the Participant by the Company. Nothing herein shall limit the right of the Company to seek and obtain injunctive relief in any jurisdiction for violation of the portions of this Confidentiality and Inventions Agreement dealing with protection of Confidential Information or the Company Work Product.</w:t>
      </w:r>
    </w:p>
    <w:p>
      <w:pPr>
        <w:spacing w:after="0" w:line="177" w:lineRule="exact"/>
        <w:rPr>
          <w:sz w:val="20"/>
          <w:szCs w:val="20"/>
          <w:color w:val="auto"/>
        </w:rPr>
      </w:pPr>
    </w:p>
    <w:p>
      <w:pPr>
        <w:ind w:left="520" w:hanging="512"/>
        <w:spacing w:after="0"/>
        <w:tabs>
          <w:tab w:leader="none" w:pos="520" w:val="left"/>
        </w:tabs>
        <w:numPr>
          <w:ilvl w:val="0"/>
          <w:numId w:val="10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ASSIGNMENT; INUREMENT</w:t>
      </w:r>
    </w:p>
    <w:p>
      <w:pPr>
        <w:spacing w:after="0" w:line="21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Neither this Confidentiality and Inventions Agreement nor any duties or obligations under this Confidentiality and Inventions Agreement may be assigned by the Participant without the prior written consent of the Company. The Participant understands and agrees that the Company may freely assign this Confidentiality and Inventions Agreement. This Agreement shall inure to the benefit of, and shall be binding upon, the permitted assigns, successors in interest (including any Purchaser upon consummation of an Acquisition), personal representatives, estates, heirs, and legatees of each of the parties hereto. Any assignment in violation of this Section 14 shall be null and void.</w:t>
      </w:r>
    </w:p>
    <w:p>
      <w:pPr>
        <w:spacing w:after="0" w:line="177" w:lineRule="exact"/>
        <w:rPr>
          <w:sz w:val="20"/>
          <w:szCs w:val="20"/>
          <w:color w:val="auto"/>
        </w:rPr>
      </w:pPr>
    </w:p>
    <w:p>
      <w:pPr>
        <w:ind w:left="520" w:hanging="512"/>
        <w:spacing w:after="0"/>
        <w:tabs>
          <w:tab w:leader="none" w:pos="520" w:val="left"/>
        </w:tabs>
        <w:numPr>
          <w:ilvl w:val="0"/>
          <w:numId w:val="10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SURVIVORSHIP</w:t>
      </w:r>
    </w:p>
    <w:p>
      <w:pPr>
        <w:spacing w:after="0" w:line="21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The rights and obligations of the parties to this Confidentiality and Inventions Agreement will survive termination of my employment with the Company.</w:t>
      </w:r>
    </w:p>
    <w:p>
      <w:pPr>
        <w:spacing w:after="0" w:line="154" w:lineRule="exact"/>
        <w:rPr>
          <w:sz w:val="20"/>
          <w:szCs w:val="20"/>
          <w:color w:val="auto"/>
        </w:rPr>
      </w:pPr>
    </w:p>
    <w:p>
      <w:pPr>
        <w:ind w:left="520" w:hanging="512"/>
        <w:spacing w:after="0"/>
        <w:tabs>
          <w:tab w:leader="none" w:pos="520" w:val="left"/>
        </w:tabs>
        <w:numPr>
          <w:ilvl w:val="0"/>
          <w:numId w:val="10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MISCELLANEOUS</w:t>
      </w:r>
    </w:p>
    <w:p>
      <w:pPr>
        <w:spacing w:after="0" w:line="21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In the event that any provision hereof or any obligation or grant of rights by the Participant hereunder is found invalid or unenforceable pursuant to judicial decree or decision, any such provision, obligation or grant of rights shall be deemed and construed to extend only to the maximum permitted by law, the invalid or unenforceable portions shall be severed, and the remainder of this Confidentiality and Inventions Agreement shall remain valid and enforceable according to its terms. This Confidentiality and Inventions Agreement may not be amended, waived or modified, except by an instrument in writing executed by the Participant and a duly authorized representative of the Company.</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B-6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0" w:name="page141"/>
    <w:bookmarkEnd w:id="140"/>
    <w:p>
      <w:pPr>
        <w:spacing w:after="0" w:line="180" w:lineRule="exact"/>
        <w:rPr>
          <w:sz w:val="20"/>
          <w:szCs w:val="20"/>
          <w:color w:val="auto"/>
        </w:rPr>
      </w:pPr>
    </w:p>
    <w:p>
      <w:pPr>
        <w:ind w:left="520" w:hanging="512"/>
        <w:spacing w:after="0"/>
        <w:tabs>
          <w:tab w:leader="none" w:pos="520" w:val="left"/>
        </w:tabs>
        <w:numPr>
          <w:ilvl w:val="0"/>
          <w:numId w:val="10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ACKNOWLEDGMENT</w:t>
      </w:r>
    </w:p>
    <w:p>
      <w:pPr>
        <w:spacing w:after="0" w:line="12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1"/>
          <w:szCs w:val="21"/>
          <w:color w:val="auto"/>
        </w:rPr>
        <w:t>EMPLOYEE ACKNOWLEDGES THAT, IN EXECUTING THE GRANT NOTICE TO WHICH THIS CONFIDENTIALITY AND INVENTIONS AGREEMENT IS ATTACHED, EMPLOYEE HAS HAD THE OPPORTUNITY TO SEEK THE ADVICE OF INDEPENDENT LEGAL COUNSEL, AND EMPLOYEE HAS READ AND UNDERSTOOD ALL OF THE</w:t>
      </w:r>
    </w:p>
    <w:p>
      <w:pPr>
        <w:spacing w:after="0" w:line="1"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TERMS AND PROVISIONS OF THIS CONFIDENTIALITY AND INVENTIONS AGREEMENT. THIS CONFIDENTIALITY AND INVENTIONS AGREEMENT SHALL NOT BE CONSTRUED AGAINST ANY PARTY BY REASON OF THE DRAFTING OR PREPARATION HEREOF.</w:t>
      </w:r>
    </w:p>
    <w:p>
      <w:pPr>
        <w:spacing w:after="0" w:line="200" w:lineRule="exact"/>
        <w:rPr>
          <w:sz w:val="20"/>
          <w:szCs w:val="20"/>
          <w:color w:val="auto"/>
        </w:rPr>
      </w:pPr>
    </w:p>
    <w:p>
      <w:pPr>
        <w:spacing w:after="0" w:line="38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B-7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141" w:name="page142"/>
    <w:bookmarkEnd w:id="141"/>
    <w:p>
      <w:pPr>
        <w:spacing w:after="0"/>
        <w:tabs>
          <w:tab w:leader="none" w:pos="4740" w:val="left"/>
        </w:tabs>
        <w:rPr>
          <w:sz w:val="20"/>
          <w:szCs w:val="20"/>
          <w:color w:val="auto"/>
        </w:rPr>
      </w:pPr>
      <w:r>
        <w:rPr>
          <w:rFonts w:ascii="Times New Roman" w:cs="Times New Roman" w:eastAsia="Times New Roman" w:hAnsi="Times New Roman"/>
          <w:sz w:val="22"/>
          <w:szCs w:val="22"/>
          <w:b w:val="1"/>
          <w:bCs w:val="1"/>
          <w:i w:val="1"/>
          <w:iCs w:val="1"/>
          <w:color w:val="auto"/>
        </w:rPr>
        <w:t>2026 CEO Form</w:t>
      </w:r>
      <w:r>
        <w:rPr>
          <w:sz w:val="20"/>
          <w:szCs w:val="20"/>
          <w:color w:val="auto"/>
        </w:rPr>
        <w:tab/>
      </w:r>
      <w:r>
        <w:rPr>
          <w:rFonts w:ascii="Times New Roman" w:cs="Times New Roman" w:eastAsia="Times New Roman" w:hAnsi="Times New Roman"/>
          <w:sz w:val="21"/>
          <w:szCs w:val="21"/>
          <w:b w:val="1"/>
          <w:bCs w:val="1"/>
          <w:i w:val="1"/>
          <w:iCs w:val="1"/>
          <w:color w:val="auto"/>
        </w:rPr>
        <w:t>Exhibit 10.42</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PETCO HEALTH AND WELLNESS COMPANY, INC.</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2021 EQUITY INCENTIVE PLAN</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GRANT NOTICE FOR</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RESTRICTED STOCK UNIT AWARD</w:t>
      </w:r>
    </w:p>
    <w:p>
      <w:pPr>
        <w:spacing w:after="0" w:line="217"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FOR GOOD AND VALUABLE CONSIDERATION, Petco Health and Wellness Company, Inc.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hereby grants to the Participant named below the number of Restricted Stock Units (the “</w:t>
      </w:r>
      <w:r>
        <w:rPr>
          <w:rFonts w:ascii="Times New Roman" w:cs="Times New Roman" w:eastAsia="Times New Roman" w:hAnsi="Times New Roman"/>
          <w:sz w:val="22"/>
          <w:szCs w:val="22"/>
          <w:b w:val="1"/>
          <w:bCs w:val="1"/>
          <w:i w:val="1"/>
          <w:iCs w:val="1"/>
          <w:color w:val="auto"/>
        </w:rPr>
        <w:t>RSUs</w:t>
      </w:r>
      <w:r>
        <w:rPr>
          <w:rFonts w:ascii="Times New Roman" w:cs="Times New Roman" w:eastAsia="Times New Roman" w:hAnsi="Times New Roman"/>
          <w:sz w:val="22"/>
          <w:szCs w:val="22"/>
          <w:color w:val="auto"/>
        </w:rPr>
        <w:t>”) specified below (the “</w:t>
      </w:r>
      <w:r>
        <w:rPr>
          <w:rFonts w:ascii="Times New Roman" w:cs="Times New Roman" w:eastAsia="Times New Roman" w:hAnsi="Times New Roman"/>
          <w:sz w:val="22"/>
          <w:szCs w:val="22"/>
          <w:b w:val="1"/>
          <w:bCs w:val="1"/>
          <w:i w:val="1"/>
          <w:iCs w:val="1"/>
          <w:color w:val="auto"/>
        </w:rPr>
        <w:t>Award</w:t>
      </w:r>
      <w:r>
        <w:rPr>
          <w:rFonts w:ascii="Times New Roman" w:cs="Times New Roman" w:eastAsia="Times New Roman" w:hAnsi="Times New Roman"/>
          <w:sz w:val="22"/>
          <w:szCs w:val="22"/>
          <w:color w:val="auto"/>
        </w:rPr>
        <w:t>”) under the Petco Health and Wellness Company, Inc. 2021 Equity Incentive Plan (as amended from time to time, the “</w:t>
      </w:r>
      <w:r>
        <w:rPr>
          <w:rFonts w:ascii="Times New Roman" w:cs="Times New Roman" w:eastAsia="Times New Roman" w:hAnsi="Times New Roman"/>
          <w:sz w:val="22"/>
          <w:szCs w:val="22"/>
          <w:b w:val="1"/>
          <w:bCs w:val="1"/>
          <w:i w:val="1"/>
          <w:iCs w:val="1"/>
          <w:color w:val="auto"/>
        </w:rPr>
        <w:t>Plan</w:t>
      </w:r>
      <w:r>
        <w:rPr>
          <w:rFonts w:ascii="Times New Roman" w:cs="Times New Roman" w:eastAsia="Times New Roman" w:hAnsi="Times New Roman"/>
          <w:sz w:val="22"/>
          <w:szCs w:val="22"/>
          <w:color w:val="auto"/>
        </w:rPr>
        <w:t>”). Each RSU represents the right to receive one share of Common Stock, upon the terms and subject to the conditions set forth in this Grant Notice, the Plan and the Standard Terms and Conditions (the “</w:t>
      </w:r>
      <w:r>
        <w:rPr>
          <w:rFonts w:ascii="Times New Roman" w:cs="Times New Roman" w:eastAsia="Times New Roman" w:hAnsi="Times New Roman"/>
          <w:sz w:val="22"/>
          <w:szCs w:val="22"/>
          <w:b w:val="1"/>
          <w:bCs w:val="1"/>
          <w:i w:val="1"/>
          <w:iCs w:val="1"/>
          <w:color w:val="auto"/>
        </w:rPr>
        <w:t>Standard Terms and Conditions</w:t>
      </w:r>
      <w:r>
        <w:rPr>
          <w:rFonts w:ascii="Times New Roman" w:cs="Times New Roman" w:eastAsia="Times New Roman" w:hAnsi="Times New Roman"/>
          <w:sz w:val="22"/>
          <w:szCs w:val="22"/>
          <w:color w:val="auto"/>
        </w:rPr>
        <w:t xml:space="preserve">”) promulgated under such Plan and attached hereto as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and the Confidentiality and Inventions Agreement attached hereto as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 This Award is granted pursuant to the Plan and is subject to and qualified in its entirety by the Standard Terms and Conditions. Capitalized terms not otherwise defined herein shall have the meanings set forth in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134225" cy="12280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82">
                      <a:extLst>
                        <a:ext uri="{28A0092B-C50C-407E-A947-70E740481C1C}"/>
                      </a:extLst>
                    </a:blip>
                    <a:srcRect/>
                    <a:stretch>
                      <a:fillRect/>
                    </a:stretch>
                  </pic:blipFill>
                  <pic:spPr bwMode="auto">
                    <a:xfrm>
                      <a:off x="0" y="0"/>
                      <a:ext cx="7134225" cy="1228090"/>
                    </a:xfrm>
                    <a:prstGeom prst="rect">
                      <a:avLst/>
                    </a:prstGeom>
                    <a:noFill/>
                  </pic:spPr>
                </pic:pic>
              </a:graphicData>
            </a:graphic>
          </wp:anchor>
        </w:drawing>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color w:val="auto"/>
        </w:rPr>
        <w:t>Name of Participant:</w:t>
      </w:r>
    </w:p>
    <w:p>
      <w:pPr>
        <w:spacing w:after="0" w:line="2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color w:val="auto"/>
        </w:rPr>
        <w:t>Grant Date:</w:t>
      </w:r>
    </w:p>
    <w:p>
      <w:pPr>
        <w:spacing w:after="0" w:line="2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color w:val="auto"/>
        </w:rPr>
        <w:t>Number of RSUs:</w:t>
      </w:r>
    </w:p>
    <w:p>
      <w:pPr>
        <w:spacing w:after="0" w:line="2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color w:val="auto"/>
        </w:rPr>
        <w:t>Vesting Schedule: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1121410</wp:posOffset>
            </wp:positionV>
            <wp:extent cx="7157720" cy="425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4" w:right="339" w:bottom="1440" w:gutter="0" w:footer="0" w:header="0"/>
        </w:sectPr>
      </w:pPr>
    </w:p>
    <w:bookmarkStart w:id="142" w:name="page143"/>
    <w:bookmarkEnd w:id="142"/>
    <w:p>
      <w:pPr>
        <w:spacing w:after="0" w:line="103"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IN ORDER TO RECEIVE THE BENEFITS OF THIS AGREEMENT, PARTICIPANT MUST EXECUTE AND RETURN THIS GRANT NOTICE (THE “</w:t>
      </w:r>
      <w:r>
        <w:rPr>
          <w:rFonts w:ascii="Times New Roman" w:cs="Times New Roman" w:eastAsia="Times New Roman" w:hAnsi="Times New Roman"/>
          <w:sz w:val="22"/>
          <w:szCs w:val="22"/>
          <w:b w:val="1"/>
          <w:bCs w:val="1"/>
          <w:i w:val="1"/>
          <w:iCs w:val="1"/>
          <w:color w:val="auto"/>
        </w:rPr>
        <w:t>ACCEPTANCE REQUIREMENTS</w:t>
      </w:r>
      <w:r>
        <w:rPr>
          <w:rFonts w:ascii="Times New Roman" w:cs="Times New Roman" w:eastAsia="Times New Roman" w:hAnsi="Times New Roman"/>
          <w:sz w:val="22"/>
          <w:szCs w:val="22"/>
          <w:color w:val="auto"/>
        </w:rPr>
        <w:t>”). IF PARTICIPANT FAILS TO SATISFY THE ACCEPTANCE REQUIREMENTS WITHIN 60 DAYS AFTER THE GRANT DATE, THEN (1) THIS GRANT NOTICE WILL BE OF NO FORCE OR EFFECT AND THIS AWARD WILL BE AUTOMATICALLY FORFEITED TO THE COMPANY WITHOUT CONSIDERATION, AND (2) NEITHER PARTICIPANT NOR THE COMPANY WILL HAVE ANY FUTURE RIGHTS OR OBLIGATIONS UNDER THIS GRANT NOTICE OR THE STANDARD TERMS AND CONDITIONS.</w:t>
      </w:r>
    </w:p>
    <w:p>
      <w:pPr>
        <w:spacing w:after="0" w:line="8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By accepting this Grant Notice, Participant acknowledges that Participant has received and read, and agrees that this Award shall be subject to, the terms of this Grant Notice, the Plan, and the Standard Terms and Conditions and the Confidentiality and Inventions Agreement.</w:t>
      </w:r>
    </w:p>
    <w:p>
      <w:pPr>
        <w:spacing w:after="0" w:line="200" w:lineRule="exact"/>
        <w:rPr>
          <w:sz w:val="20"/>
          <w:szCs w:val="20"/>
          <w:color w:val="auto"/>
        </w:rPr>
      </w:pPr>
    </w:p>
    <w:p>
      <w:pPr>
        <w:spacing w:after="0" w:line="239"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2"/>
          <w:szCs w:val="22"/>
          <w:b w:val="1"/>
          <w:bCs w:val="1"/>
          <w:color w:val="auto"/>
        </w:rPr>
        <w:t>PETCO HEALTH AND WELLNESS COMPANY, INC.</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3293745</wp:posOffset>
            </wp:positionH>
            <wp:positionV relativeFrom="paragraph">
              <wp:posOffset>-13970</wp:posOffset>
            </wp:positionV>
            <wp:extent cx="1722120"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84">
                      <a:extLst>
                        <a:ext uri="{28A0092B-C50C-407E-A947-70E740481C1C}"/>
                      </a:extLst>
                    </a:blip>
                    <a:srcRect/>
                    <a:stretch>
                      <a:fillRect/>
                    </a:stretch>
                  </pic:blipFill>
                  <pic:spPr bwMode="auto">
                    <a:xfrm>
                      <a:off x="0" y="0"/>
                      <a:ext cx="1722120" cy="8255"/>
                    </a:xfrm>
                    <a:prstGeom prst="rect">
                      <a:avLst/>
                    </a:prstGeom>
                    <a:noFill/>
                  </pic:spPr>
                </pic:pic>
              </a:graphicData>
            </a:graphic>
          </wp:anchor>
        </w:drawing>
      </w:r>
    </w:p>
    <w:p>
      <w:pPr>
        <w:ind w:left="4880"/>
        <w:spacing w:after="0"/>
        <w:rPr>
          <w:sz w:val="20"/>
          <w:szCs w:val="20"/>
          <w:color w:val="auto"/>
        </w:rPr>
      </w:pPr>
      <w:r>
        <w:rPr>
          <w:rFonts w:ascii="Times New Roman" w:cs="Times New Roman" w:eastAsia="Times New Roman" w:hAnsi="Times New Roman"/>
          <w:sz w:val="22"/>
          <w:szCs w:val="22"/>
          <w:color w:val="auto"/>
        </w:rPr>
        <w:t>Name:</w:t>
      </w:r>
    </w:p>
    <w:p>
      <w:pPr>
        <w:ind w:left="4880"/>
        <w:spacing w:after="0"/>
        <w:rPr>
          <w:sz w:val="20"/>
          <w:szCs w:val="20"/>
          <w:color w:val="auto"/>
        </w:rPr>
      </w:pPr>
      <w:r>
        <w:rPr>
          <w:rFonts w:ascii="Times New Roman" w:cs="Times New Roman" w:eastAsia="Times New Roman" w:hAnsi="Times New Roman"/>
          <w:sz w:val="22"/>
          <w:szCs w:val="22"/>
          <w:color w:val="auto"/>
        </w:rPr>
        <w:t>Title:</w:t>
      </w: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3095625</wp:posOffset>
            </wp:positionH>
            <wp:positionV relativeFrom="paragraph">
              <wp:posOffset>605155</wp:posOffset>
            </wp:positionV>
            <wp:extent cx="1920240"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85">
                      <a:extLst>
                        <a:ext uri="{28A0092B-C50C-407E-A947-70E740481C1C}"/>
                      </a:extLst>
                    </a:blip>
                    <a:srcRect/>
                    <a:stretch>
                      <a:fillRect/>
                    </a:stretch>
                  </pic:blipFill>
                  <pic:spPr bwMode="auto">
                    <a:xfrm>
                      <a:off x="0" y="0"/>
                      <a:ext cx="19202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w:t>
      </w:r>
      <w:r>
        <w:rPr>
          <w:rFonts w:ascii="Times New Roman" w:cs="Times New Roman" w:eastAsia="Times New Roman" w:hAnsi="Times New Roman"/>
          <w:sz w:val="14"/>
          <w:szCs w:val="14"/>
          <w:color w:val="auto"/>
        </w:rPr>
        <w:t>ignature</w:t>
      </w:r>
      <w:r>
        <w:rPr>
          <w:rFonts w:ascii="Times New Roman" w:cs="Times New Roman" w:eastAsia="Times New Roman" w:hAnsi="Times New Roman"/>
          <w:sz w:val="22"/>
          <w:szCs w:val="22"/>
          <w:color w:val="auto"/>
        </w:rPr>
        <w:t xml:space="preserve"> P</w:t>
      </w:r>
      <w:r>
        <w:rPr>
          <w:rFonts w:ascii="Times New Roman" w:cs="Times New Roman" w:eastAsia="Times New Roman" w:hAnsi="Times New Roman"/>
          <w:sz w:val="14"/>
          <w:szCs w:val="14"/>
          <w:color w:val="auto"/>
        </w:rPr>
        <w:t>age to</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G</w:t>
      </w:r>
      <w:r>
        <w:rPr>
          <w:rFonts w:ascii="Times New Roman" w:cs="Times New Roman" w:eastAsia="Times New Roman" w:hAnsi="Times New Roman"/>
          <w:sz w:val="14"/>
          <w:szCs w:val="14"/>
          <w:color w:val="auto"/>
        </w:rPr>
        <w:t>rant</w:t>
      </w:r>
      <w:r>
        <w:rPr>
          <w:rFonts w:ascii="Times New Roman" w:cs="Times New Roman" w:eastAsia="Times New Roman" w:hAnsi="Times New Roman"/>
          <w:sz w:val="22"/>
          <w:szCs w:val="22"/>
          <w:color w:val="auto"/>
        </w:rPr>
        <w:t xml:space="preserve"> N</w:t>
      </w:r>
      <w:r>
        <w:rPr>
          <w:rFonts w:ascii="Times New Roman" w:cs="Times New Roman" w:eastAsia="Times New Roman" w:hAnsi="Times New Roman"/>
          <w:sz w:val="14"/>
          <w:szCs w:val="14"/>
          <w:color w:val="auto"/>
        </w:rPr>
        <w:t>otice for</w:t>
      </w:r>
    </w:p>
    <w:p>
      <w:pPr>
        <w:jc w:val="center"/>
        <w:spacing w:after="0"/>
        <w:rPr>
          <w:sz w:val="20"/>
          <w:szCs w:val="20"/>
          <w:color w:val="auto"/>
        </w:rPr>
      </w:pPr>
      <w:r>
        <w:rPr>
          <w:rFonts w:ascii="Times New Roman" w:cs="Times New Roman" w:eastAsia="Times New Roman" w:hAnsi="Times New Roman"/>
          <w:sz w:val="22"/>
          <w:szCs w:val="22"/>
          <w:color w:val="auto"/>
        </w:rPr>
        <w:t>R</w:t>
      </w:r>
      <w:r>
        <w:rPr>
          <w:rFonts w:ascii="Times New Roman" w:cs="Times New Roman" w:eastAsia="Times New Roman" w:hAnsi="Times New Roman"/>
          <w:sz w:val="14"/>
          <w:szCs w:val="14"/>
          <w:color w:val="auto"/>
        </w:rPr>
        <w:t>estricted</w:t>
      </w:r>
      <w:r>
        <w:rPr>
          <w:rFonts w:ascii="Times New Roman" w:cs="Times New Roman" w:eastAsia="Times New Roman" w:hAnsi="Times New Roman"/>
          <w:sz w:val="22"/>
          <w:szCs w:val="22"/>
          <w:color w:val="auto"/>
        </w:rPr>
        <w:t xml:space="preserve"> S</w:t>
      </w:r>
      <w:r>
        <w:rPr>
          <w:rFonts w:ascii="Times New Roman" w:cs="Times New Roman" w:eastAsia="Times New Roman" w:hAnsi="Times New Roman"/>
          <w:sz w:val="14"/>
          <w:szCs w:val="14"/>
          <w:color w:val="auto"/>
        </w:rPr>
        <w:t>tock</w:t>
      </w:r>
      <w:r>
        <w:rPr>
          <w:rFonts w:ascii="Times New Roman" w:cs="Times New Roman" w:eastAsia="Times New Roman" w:hAnsi="Times New Roman"/>
          <w:sz w:val="22"/>
          <w:szCs w:val="22"/>
          <w:color w:val="auto"/>
        </w:rPr>
        <w:t xml:space="preserve"> U</w:t>
      </w:r>
      <w:r>
        <w:rPr>
          <w:rFonts w:ascii="Times New Roman" w:cs="Times New Roman" w:eastAsia="Times New Roman" w:hAnsi="Times New Roman"/>
          <w:sz w:val="14"/>
          <w:szCs w:val="14"/>
          <w:color w:val="auto"/>
        </w:rPr>
        <w:t>nit</w:t>
      </w:r>
      <w:r>
        <w:rPr>
          <w:rFonts w:ascii="Times New Roman" w:cs="Times New Roman" w:eastAsia="Times New Roman" w:hAnsi="Times New Roman"/>
          <w:sz w:val="22"/>
          <w:szCs w:val="22"/>
          <w:color w:val="auto"/>
        </w:rPr>
        <w:t xml:space="preserve"> A</w:t>
      </w:r>
      <w:r>
        <w:rPr>
          <w:rFonts w:ascii="Times New Roman" w:cs="Times New Roman" w:eastAsia="Times New Roman" w:hAnsi="Times New Roman"/>
          <w:sz w:val="14"/>
          <w:szCs w:val="14"/>
          <w:color w:val="auto"/>
        </w:rPr>
        <w:t>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462915</wp:posOffset>
            </wp:positionV>
            <wp:extent cx="7157720" cy="425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3" w:name="page144"/>
    <w:bookmarkEnd w:id="143"/>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EXHIBIT A</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PETCO HEALTH AND WELLNESS COMPANY, INC.</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2021 EQUITY INCENTIVE PLAN</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STANDARD TERMS AND CONDITIONS FOR</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RESTRICTED STOCK UNITS</w:t>
      </w:r>
    </w:p>
    <w:p>
      <w:pPr>
        <w:spacing w:after="0" w:line="22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1"/>
          <w:szCs w:val="21"/>
          <w:color w:val="auto"/>
        </w:rPr>
        <w:t>These Standard Terms and Conditions apply to the Award of Restricted Stock Units granted pursuant to the Petco Health and Wellness Company, Inc. 2021 Equity Incentive Plan (the “</w:t>
      </w:r>
      <w:r>
        <w:rPr>
          <w:rFonts w:ascii="Times New Roman" w:cs="Times New Roman" w:eastAsia="Times New Roman" w:hAnsi="Times New Roman"/>
          <w:sz w:val="21"/>
          <w:szCs w:val="21"/>
          <w:b w:val="1"/>
          <w:bCs w:val="1"/>
          <w:i w:val="1"/>
          <w:iCs w:val="1"/>
          <w:color w:val="auto"/>
        </w:rPr>
        <w:t>Plan</w:t>
      </w:r>
      <w:r>
        <w:rPr>
          <w:rFonts w:ascii="Times New Roman" w:cs="Times New Roman" w:eastAsia="Times New Roman" w:hAnsi="Times New Roman"/>
          <w:sz w:val="21"/>
          <w:szCs w:val="21"/>
          <w:color w:val="auto"/>
        </w:rPr>
        <w:t>”), which are evidenced by a Grant Notice or an action of the Committee that specifically refers to these Standard Terms and Conditions. In addition to these Standard Terms and Conditions, the Restricted Stock Units shall be subject to the terms of the Plan, which are incorporated into these Standard Terms and Conditions by this reference. Capitalized terms not otherwise defined herein shall have the meaning set forth in the Plan.</w:t>
      </w:r>
    </w:p>
    <w:p>
      <w:pPr>
        <w:spacing w:after="0" w:line="164" w:lineRule="exact"/>
        <w:rPr>
          <w:sz w:val="20"/>
          <w:szCs w:val="20"/>
          <w:color w:val="auto"/>
        </w:rPr>
      </w:pPr>
    </w:p>
    <w:p>
      <w:pPr>
        <w:ind w:left="760" w:hanging="752"/>
        <w:spacing w:after="0"/>
        <w:tabs>
          <w:tab w:leader="none" w:pos="760" w:val="left"/>
        </w:tabs>
        <w:numPr>
          <w:ilvl w:val="0"/>
          <w:numId w:val="11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TERMS OF RESTRICTED STOCK UNITS</w:t>
      </w:r>
    </w:p>
    <w:p>
      <w:pPr>
        <w:spacing w:after="0" w:line="204" w:lineRule="exact"/>
        <w:rPr>
          <w:sz w:val="20"/>
          <w:szCs w:val="20"/>
          <w:color w:val="auto"/>
        </w:rPr>
      </w:pPr>
    </w:p>
    <w:p>
      <w:pPr>
        <w:jc w:val="both"/>
        <w:ind w:right="80"/>
        <w:spacing w:after="0" w:line="253" w:lineRule="auto"/>
        <w:rPr>
          <w:sz w:val="20"/>
          <w:szCs w:val="20"/>
          <w:color w:val="auto"/>
        </w:rPr>
      </w:pPr>
      <w:r>
        <w:rPr>
          <w:rFonts w:ascii="Times New Roman" w:cs="Times New Roman" w:eastAsia="Times New Roman" w:hAnsi="Times New Roman"/>
          <w:sz w:val="21"/>
          <w:szCs w:val="21"/>
          <w:color w:val="auto"/>
        </w:rPr>
        <w:t>Petco Health and Wellness Company, Inc. (the “</w:t>
      </w:r>
      <w:r>
        <w:rPr>
          <w:rFonts w:ascii="Times New Roman" w:cs="Times New Roman" w:eastAsia="Times New Roman" w:hAnsi="Times New Roman"/>
          <w:sz w:val="21"/>
          <w:szCs w:val="21"/>
          <w:b w:val="1"/>
          <w:bCs w:val="1"/>
          <w:i w:val="1"/>
          <w:iCs w:val="1"/>
          <w:color w:val="auto"/>
        </w:rPr>
        <w:t>Company</w:t>
      </w:r>
      <w:r>
        <w:rPr>
          <w:rFonts w:ascii="Times New Roman" w:cs="Times New Roman" w:eastAsia="Times New Roman" w:hAnsi="Times New Roman"/>
          <w:sz w:val="21"/>
          <w:szCs w:val="21"/>
          <w:color w:val="auto"/>
        </w:rPr>
        <w:t>”) has granted to the Participant named in the Grant Notice provided to said Participant herewith (the “</w:t>
      </w:r>
      <w:r>
        <w:rPr>
          <w:rFonts w:ascii="Times New Roman" w:cs="Times New Roman" w:eastAsia="Times New Roman" w:hAnsi="Times New Roman"/>
          <w:sz w:val="21"/>
          <w:szCs w:val="21"/>
          <w:b w:val="1"/>
          <w:bCs w:val="1"/>
          <w:i w:val="1"/>
          <w:iCs w:val="1"/>
          <w:color w:val="auto"/>
        </w:rPr>
        <w:t>Grant Notice</w:t>
      </w:r>
      <w:r>
        <w:rPr>
          <w:rFonts w:ascii="Times New Roman" w:cs="Times New Roman" w:eastAsia="Times New Roman" w:hAnsi="Times New Roman"/>
          <w:sz w:val="21"/>
          <w:szCs w:val="21"/>
          <w:color w:val="auto"/>
        </w:rPr>
        <w:t>”) an award of Restricted Stock Units (the “</w:t>
      </w:r>
      <w:r>
        <w:rPr>
          <w:rFonts w:ascii="Times New Roman" w:cs="Times New Roman" w:eastAsia="Times New Roman" w:hAnsi="Times New Roman"/>
          <w:sz w:val="21"/>
          <w:szCs w:val="21"/>
          <w:b w:val="1"/>
          <w:bCs w:val="1"/>
          <w:i w:val="1"/>
          <w:iCs w:val="1"/>
          <w:color w:val="auto"/>
        </w:rPr>
        <w:t>Award</w:t>
      </w:r>
      <w:r>
        <w:rPr>
          <w:rFonts w:ascii="Times New Roman" w:cs="Times New Roman" w:eastAsia="Times New Roman" w:hAnsi="Times New Roman"/>
          <w:sz w:val="21"/>
          <w:szCs w:val="21"/>
          <w:color w:val="auto"/>
        </w:rPr>
        <w:t>” or “</w:t>
      </w:r>
      <w:r>
        <w:rPr>
          <w:rFonts w:ascii="Times New Roman" w:cs="Times New Roman" w:eastAsia="Times New Roman" w:hAnsi="Times New Roman"/>
          <w:sz w:val="21"/>
          <w:szCs w:val="21"/>
          <w:b w:val="1"/>
          <w:bCs w:val="1"/>
          <w:i w:val="1"/>
          <w:iCs w:val="1"/>
          <w:color w:val="auto"/>
        </w:rPr>
        <w:t>RSUs</w:t>
      </w:r>
      <w:r>
        <w:rPr>
          <w:rFonts w:ascii="Times New Roman" w:cs="Times New Roman" w:eastAsia="Times New Roman" w:hAnsi="Times New Roman"/>
          <w:sz w:val="21"/>
          <w:szCs w:val="21"/>
          <w:color w:val="auto"/>
        </w:rPr>
        <w:t>”) specified in the Grant Notice, with each Restricted Stock Unit representing the right to receive one share of Common Stock. The Award is subject to the conditions set forth in the Grant Notice, these Standard Terms and Conditions and the Plan. For purposes of these Standard Terms and Conditions and the Grant Notice, any reference to the Company shall include a reference to any Subsidiary.</w:t>
      </w:r>
    </w:p>
    <w:p>
      <w:pPr>
        <w:spacing w:after="0" w:line="160" w:lineRule="exact"/>
        <w:rPr>
          <w:sz w:val="20"/>
          <w:szCs w:val="20"/>
          <w:color w:val="auto"/>
        </w:rPr>
      </w:pPr>
    </w:p>
    <w:p>
      <w:pPr>
        <w:ind w:left="760" w:hanging="752"/>
        <w:spacing w:after="0"/>
        <w:tabs>
          <w:tab w:leader="none" w:pos="760" w:val="left"/>
        </w:tabs>
        <w:numPr>
          <w:ilvl w:val="0"/>
          <w:numId w:val="11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VESTING AND SETTLEMENT OF RESTRICTED STOCK UNITS</w:t>
      </w:r>
    </w:p>
    <w:p>
      <w:pPr>
        <w:spacing w:after="0" w:line="210" w:lineRule="exact"/>
        <w:rPr>
          <w:rFonts w:ascii="Times New Roman" w:cs="Times New Roman" w:eastAsia="Times New Roman" w:hAnsi="Times New Roman"/>
          <w:sz w:val="22"/>
          <w:szCs w:val="22"/>
          <w:b w:val="1"/>
          <w:bCs w:val="1"/>
          <w:color w:val="auto"/>
        </w:rPr>
      </w:pPr>
    </w:p>
    <w:p>
      <w:pPr>
        <w:jc w:val="both"/>
        <w:ind w:right="80" w:firstLine="757"/>
        <w:spacing w:after="0" w:line="235" w:lineRule="auto"/>
        <w:tabs>
          <w:tab w:leader="none" w:pos="1016" w:val="left"/>
        </w:tabs>
        <w:numPr>
          <w:ilvl w:val="1"/>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Award shall not be vested as of the Grant Date set forth in the Grant Notice and shall be forfeitable unless and until otherwise vested pursuant to the terms of the Grant Notice and these Standard Terms and Conditions. After the Grant Date, subject to termination or acceleration as provided in these Standard Terms and Conditions and the Plan, the Award shall become vested as described in the Grant Notice with respect to that number of Restricted Stock Units as set forth in the Grant Notice. Restricted Stock Units that have vested and are no longer subject to forfeiture are referred to herein as “</w:t>
      </w:r>
      <w:r>
        <w:rPr>
          <w:rFonts w:ascii="Times New Roman" w:cs="Times New Roman" w:eastAsia="Times New Roman" w:hAnsi="Times New Roman"/>
          <w:sz w:val="22"/>
          <w:szCs w:val="22"/>
          <w:b w:val="1"/>
          <w:bCs w:val="1"/>
          <w:i w:val="1"/>
          <w:iCs w:val="1"/>
          <w:color w:val="auto"/>
        </w:rPr>
        <w:t>Vested RSUs</w:t>
      </w:r>
      <w:r>
        <w:rPr>
          <w:rFonts w:ascii="Times New Roman" w:cs="Times New Roman" w:eastAsia="Times New Roman" w:hAnsi="Times New Roman"/>
          <w:sz w:val="22"/>
          <w:szCs w:val="22"/>
          <w:color w:val="auto"/>
        </w:rPr>
        <w:t>.” Restricted Stock Units awarded hereunder that are not vested and remain subject to forfeiture are referred to herein as “</w:t>
      </w:r>
      <w:r>
        <w:rPr>
          <w:rFonts w:ascii="Times New Roman" w:cs="Times New Roman" w:eastAsia="Times New Roman" w:hAnsi="Times New Roman"/>
          <w:sz w:val="22"/>
          <w:szCs w:val="22"/>
          <w:b w:val="1"/>
          <w:bCs w:val="1"/>
          <w:i w:val="1"/>
          <w:iCs w:val="1"/>
          <w:color w:val="auto"/>
        </w:rPr>
        <w:t>Unvested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RSUs</w:t>
      </w:r>
      <w:r>
        <w:rPr>
          <w:rFonts w:ascii="Times New Roman" w:cs="Times New Roman" w:eastAsia="Times New Roman" w:hAnsi="Times New Roman"/>
          <w:sz w:val="22"/>
          <w:szCs w:val="22"/>
          <w:color w:val="auto"/>
        </w:rPr>
        <w:t>.”</w:t>
      </w:r>
    </w:p>
    <w:p>
      <w:pPr>
        <w:spacing w:after="0" w:line="183" w:lineRule="exact"/>
        <w:rPr>
          <w:sz w:val="20"/>
          <w:szCs w:val="20"/>
          <w:color w:val="auto"/>
        </w:rPr>
      </w:pPr>
    </w:p>
    <w:p>
      <w:pPr>
        <w:jc w:val="both"/>
        <w:ind w:right="80" w:firstLine="749"/>
        <w:spacing w:after="0" w:line="235" w:lineRule="auto"/>
        <w:rPr>
          <w:sz w:val="20"/>
          <w:szCs w:val="20"/>
          <w:color w:val="auto"/>
        </w:rPr>
      </w:pPr>
      <w:r>
        <w:rPr>
          <w:rFonts w:ascii="Times New Roman" w:cs="Times New Roman" w:eastAsia="Times New Roman" w:hAnsi="Times New Roman"/>
          <w:sz w:val="22"/>
          <w:szCs w:val="22"/>
          <w:color w:val="auto"/>
        </w:rPr>
        <w:t xml:space="preserve">(b)As soon as administratively practicable following the vesting of the RSUs pursuant to the Grant Notice and this </w:t>
      </w:r>
      <w:r>
        <w:rPr>
          <w:rFonts w:ascii="Times New Roman" w:cs="Times New Roman" w:eastAsia="Times New Roman" w:hAnsi="Times New Roman"/>
          <w:sz w:val="22"/>
          <w:szCs w:val="22"/>
          <w:u w:val="single" w:color="auto"/>
          <w:color w:val="auto"/>
        </w:rPr>
        <w:t>Section 2</w:t>
      </w:r>
      <w:r>
        <w:rPr>
          <w:rFonts w:ascii="Times New Roman" w:cs="Times New Roman" w:eastAsia="Times New Roman" w:hAnsi="Times New Roman"/>
          <w:sz w:val="22"/>
          <w:szCs w:val="22"/>
          <w:color w:val="auto"/>
        </w:rPr>
        <w:t xml:space="preserve">, but in no event later than 30 days after each vesting date, the Company shall deliver to the Participant a number of shares of Common Stock equal to the number of RSUs that vested on such date; provided, however, that to the extent insufficient shares of Common Stock are available for issuance under the Plan, as soon as administratively practicable following the vesting of the RSUs pursuant to the Grant Notice and this </w:t>
      </w:r>
      <w:r>
        <w:rPr>
          <w:rFonts w:ascii="Times New Roman" w:cs="Times New Roman" w:eastAsia="Times New Roman" w:hAnsi="Times New Roman"/>
          <w:sz w:val="22"/>
          <w:szCs w:val="22"/>
          <w:u w:val="single" w:color="auto"/>
          <w:color w:val="auto"/>
        </w:rPr>
        <w:t>Section 2</w:t>
      </w:r>
      <w:r>
        <w:rPr>
          <w:rFonts w:ascii="Times New Roman" w:cs="Times New Roman" w:eastAsia="Times New Roman" w:hAnsi="Times New Roman"/>
          <w:sz w:val="22"/>
          <w:szCs w:val="22"/>
          <w:color w:val="auto"/>
        </w:rPr>
        <w:t>, but in no event later than 30 days after each vesting date, the Company shall instead deliver to the Participant a lump sum cash payment equal to (i) the Fair Market Value of a share of Common</w:t>
      </w: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E</w:t>
      </w:r>
      <w:r>
        <w:rPr>
          <w:rFonts w:ascii="Times New Roman" w:cs="Times New Roman" w:eastAsia="Times New Roman" w:hAnsi="Times New Roman"/>
          <w:sz w:val="14"/>
          <w:szCs w:val="14"/>
          <w:color w:val="auto"/>
        </w:rPr>
        <w:t>xhibit</w:t>
      </w:r>
      <w:r>
        <w:rPr>
          <w:rFonts w:ascii="Times New Roman" w:cs="Times New Roman" w:eastAsia="Times New Roman" w:hAnsi="Times New Roman"/>
          <w:sz w:val="22"/>
          <w:szCs w:val="22"/>
          <w:color w:val="auto"/>
        </w:rPr>
        <w:t xml:space="preserve"> A</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S</w:t>
      </w:r>
      <w:r>
        <w:rPr>
          <w:rFonts w:ascii="Times New Roman" w:cs="Times New Roman" w:eastAsia="Times New Roman" w:hAnsi="Times New Roman"/>
          <w:sz w:val="14"/>
          <w:szCs w:val="14"/>
          <w:color w:val="auto"/>
        </w:rPr>
        <w:t>tandard</w:t>
      </w:r>
      <w:r>
        <w:rPr>
          <w:rFonts w:ascii="Times New Roman" w:cs="Times New Roman" w:eastAsia="Times New Roman" w:hAnsi="Times New Roman"/>
          <w:sz w:val="22"/>
          <w:szCs w:val="22"/>
          <w:color w:val="auto"/>
        </w:rPr>
        <w:t xml:space="preserve"> T</w:t>
      </w:r>
      <w:r>
        <w:rPr>
          <w:rFonts w:ascii="Times New Roman" w:cs="Times New Roman" w:eastAsia="Times New Roman" w:hAnsi="Times New Roman"/>
          <w:sz w:val="14"/>
          <w:szCs w:val="14"/>
          <w:color w:val="auto"/>
        </w:rPr>
        <w:t>erms and</w:t>
      </w:r>
      <w:r>
        <w:rPr>
          <w:rFonts w:ascii="Times New Roman" w:cs="Times New Roman" w:eastAsia="Times New Roman" w:hAnsi="Times New Roman"/>
          <w:sz w:val="22"/>
          <w:szCs w:val="22"/>
          <w:color w:val="auto"/>
        </w:rPr>
        <w:t xml:space="preserve"> C</w:t>
      </w:r>
      <w:r>
        <w:rPr>
          <w:rFonts w:ascii="Times New Roman" w:cs="Times New Roman" w:eastAsia="Times New Roman" w:hAnsi="Times New Roman"/>
          <w:sz w:val="14"/>
          <w:szCs w:val="14"/>
          <w:color w:val="auto"/>
        </w:rPr>
        <w:t>onditions for</w:t>
      </w:r>
    </w:p>
    <w:p>
      <w:pPr>
        <w:jc w:val="center"/>
        <w:ind w:right="-19"/>
        <w:spacing w:after="0"/>
        <w:rPr>
          <w:sz w:val="20"/>
          <w:szCs w:val="20"/>
          <w:color w:val="auto"/>
        </w:rPr>
      </w:pPr>
      <w:r>
        <w:rPr>
          <w:rFonts w:ascii="Times New Roman" w:cs="Times New Roman" w:eastAsia="Times New Roman" w:hAnsi="Times New Roman"/>
          <w:sz w:val="22"/>
          <w:szCs w:val="22"/>
          <w:color w:val="auto"/>
        </w:rPr>
        <w:t>R</w:t>
      </w:r>
      <w:r>
        <w:rPr>
          <w:rFonts w:ascii="Times New Roman" w:cs="Times New Roman" w:eastAsia="Times New Roman" w:hAnsi="Times New Roman"/>
          <w:sz w:val="14"/>
          <w:szCs w:val="14"/>
          <w:color w:val="auto"/>
        </w:rPr>
        <w:t>estricted</w:t>
      </w:r>
      <w:r>
        <w:rPr>
          <w:rFonts w:ascii="Times New Roman" w:cs="Times New Roman" w:eastAsia="Times New Roman" w:hAnsi="Times New Roman"/>
          <w:sz w:val="22"/>
          <w:szCs w:val="22"/>
          <w:color w:val="auto"/>
        </w:rPr>
        <w:t xml:space="preserve"> S</w:t>
      </w:r>
      <w:r>
        <w:rPr>
          <w:rFonts w:ascii="Times New Roman" w:cs="Times New Roman" w:eastAsia="Times New Roman" w:hAnsi="Times New Roman"/>
          <w:sz w:val="14"/>
          <w:szCs w:val="14"/>
          <w:color w:val="auto"/>
        </w:rPr>
        <w:t>tock</w:t>
      </w:r>
      <w:r>
        <w:rPr>
          <w:rFonts w:ascii="Times New Roman" w:cs="Times New Roman" w:eastAsia="Times New Roman" w:hAnsi="Times New Roman"/>
          <w:sz w:val="22"/>
          <w:szCs w:val="22"/>
          <w:color w:val="auto"/>
        </w:rPr>
        <w:t xml:space="preserve"> U</w:t>
      </w:r>
      <w:r>
        <w:rPr>
          <w:rFonts w:ascii="Times New Roman" w:cs="Times New Roman" w:eastAsia="Times New Roman" w:hAnsi="Times New Roman"/>
          <w:sz w:val="14"/>
          <w:szCs w:val="14"/>
          <w:color w:val="auto"/>
        </w:rPr>
        <w:t>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462915</wp:posOffset>
            </wp:positionV>
            <wp:extent cx="7157720" cy="425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22"/>
          <w:szCs w:val="22"/>
          <w:color w:val="auto"/>
        </w:rPr>
        <w:t xml:space="preserve">Stock on such vesting date, </w:t>
      </w:r>
      <w:r>
        <w:rPr>
          <w:rFonts w:ascii="Times New Roman" w:cs="Times New Roman" w:eastAsia="Times New Roman" w:hAnsi="Times New Roman"/>
          <w:sz w:val="22"/>
          <w:szCs w:val="22"/>
          <w:i w:val="1"/>
          <w:iCs w:val="1"/>
          <w:color w:val="auto"/>
        </w:rPr>
        <w:t>multiplied by</w:t>
      </w:r>
      <w:r>
        <w:rPr>
          <w:rFonts w:ascii="Times New Roman" w:cs="Times New Roman" w:eastAsia="Times New Roman" w:hAnsi="Times New Roman"/>
          <w:sz w:val="22"/>
          <w:szCs w:val="22"/>
          <w:color w:val="auto"/>
        </w:rPr>
        <w:t xml:space="preserve"> (ii) the number of RSUs that vested on such date.</w:t>
      </w:r>
    </w:p>
    <w:p>
      <w:pPr>
        <w:spacing w:after="0" w:line="210" w:lineRule="exact"/>
        <w:rPr>
          <w:sz w:val="20"/>
          <w:szCs w:val="20"/>
          <w:color w:val="auto"/>
        </w:rPr>
      </w:pPr>
    </w:p>
    <w:p>
      <w:pPr>
        <w:jc w:val="both"/>
        <w:ind w:right="80" w:firstLine="757"/>
        <w:spacing w:after="0" w:line="244" w:lineRule="auto"/>
        <w:tabs>
          <w:tab w:leader="none" w:pos="1016"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Participant’s Termination of Employment is as a result of the Participant’s death or Disability, subject to the Participant’s (or the Participant’s personal representative’s) execution and nonrevocation of a general release of claims in a form provided by the Company, all then Unvested RSUs shall become Vested RSUs.</w:t>
      </w:r>
    </w:p>
    <w:p>
      <w:pPr>
        <w:spacing w:after="0" w:line="173" w:lineRule="exact"/>
        <w:rPr>
          <w:sz w:val="20"/>
          <w:szCs w:val="20"/>
          <w:color w:val="auto"/>
        </w:rPr>
      </w:pPr>
    </w:p>
    <w:p>
      <w:pPr>
        <w:jc w:val="both"/>
        <w:ind w:right="80" w:firstLine="749"/>
        <w:spacing w:after="0" w:line="235" w:lineRule="auto"/>
        <w:rPr>
          <w:sz w:val="20"/>
          <w:szCs w:val="20"/>
          <w:color w:val="auto"/>
        </w:rPr>
      </w:pPr>
      <w:r>
        <w:rPr>
          <w:rFonts w:ascii="Times New Roman" w:cs="Times New Roman" w:eastAsia="Times New Roman" w:hAnsi="Times New Roman"/>
          <w:sz w:val="22"/>
          <w:szCs w:val="22"/>
          <w:color w:val="auto"/>
        </w:rPr>
        <w:t>(d)If the Participant’s Termination of Employment is as a result of the Participant’s Retirement (as defined below), subject to the Participant’s execution and nonrevocation of a general release of claims in a form provided by the Company, (i) if the Termination Date is prior to the first anniversary of the Grant Date, (A) a pro-rated portion of the Unvested RSUs shall become Vested RSUs calculated by multiplying (I) the number of Unvested RSUs by (II) a fraction, the numerator of which is the number of days between the Grant Date and the Termination Date and the denominator of which is the number of days between the Grant Date and the first anniversary of the Grant Date and (B) any then Unvested RSUs, after giving effect to the foregoing clause (A) shall be forfeited and canceled as of the Termination Date, and (ii) if the Termination Date is on or following the first anniversary of the Grant Date, any then Unvested RSUs shall become Vested RSUs.</w:t>
      </w:r>
    </w:p>
    <w:p>
      <w:pPr>
        <w:spacing w:after="0" w:line="178" w:lineRule="exact"/>
        <w:rPr>
          <w:sz w:val="20"/>
          <w:szCs w:val="20"/>
          <w:color w:val="auto"/>
        </w:rPr>
      </w:pPr>
    </w:p>
    <w:p>
      <w:pPr>
        <w:jc w:val="both"/>
        <w:ind w:right="80" w:firstLine="757"/>
        <w:spacing w:after="0" w:line="244" w:lineRule="auto"/>
        <w:tabs>
          <w:tab w:leader="none" w:pos="1016"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Participant’s Termination of Employment is as a result of an Involuntary Termination (as defined below) on or within 24-months following a Change in Control, subject to the Participant’s execution and nonrevocation of a general release of claims in a form provided by the Company, any then Unvested RSUs shall become Vested RSUs.</w:t>
      </w:r>
    </w:p>
    <w:p>
      <w:pPr>
        <w:spacing w:after="0" w:line="173" w:lineRule="exact"/>
        <w:rPr>
          <w:rFonts w:ascii="Times New Roman" w:cs="Times New Roman" w:eastAsia="Times New Roman" w:hAnsi="Times New Roman"/>
          <w:sz w:val="22"/>
          <w:szCs w:val="22"/>
          <w:color w:val="auto"/>
        </w:rPr>
      </w:pPr>
    </w:p>
    <w:p>
      <w:pPr>
        <w:jc w:val="both"/>
        <w:ind w:firstLine="757"/>
        <w:spacing w:after="0" w:line="238" w:lineRule="auto"/>
        <w:tabs>
          <w:tab w:leader="none" w:pos="1018"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Participant’s Termination of Employment is as a result of an Involuntary Termination at any time other than on or within 24-months following a Change in Control, subject to the Participant’s execution and nonrevocation of a general release of claims in a form provided by the Company, (i) the Unvested RSUs that would have vested within the 12-month period following the Termination Date shall become Vested RSUs, and (ii) any then Unvested RSUs, after giving effect to the foregoing clause (i), shall be forfeited and canceled as of the Termination Date.</w:t>
      </w:r>
    </w:p>
    <w:p>
      <w:pPr>
        <w:spacing w:after="0" w:line="177" w:lineRule="exact"/>
        <w:rPr>
          <w:sz w:val="20"/>
          <w:szCs w:val="20"/>
          <w:color w:val="auto"/>
        </w:rPr>
      </w:pPr>
    </w:p>
    <w:p>
      <w:pPr>
        <w:ind w:right="80" w:firstLine="749"/>
        <w:spacing w:after="0" w:line="258" w:lineRule="auto"/>
        <w:rPr>
          <w:sz w:val="20"/>
          <w:szCs w:val="20"/>
          <w:color w:val="auto"/>
        </w:rPr>
      </w:pPr>
      <w:r>
        <w:rPr>
          <w:rFonts w:ascii="Times New Roman" w:cs="Times New Roman" w:eastAsia="Times New Roman" w:hAnsi="Times New Roman"/>
          <w:sz w:val="22"/>
          <w:szCs w:val="22"/>
          <w:color w:val="auto"/>
        </w:rPr>
        <w:t xml:space="preserve">(g)Upon Participant’s Termination of Employment for any other reason not set forth in </w:t>
      </w:r>
      <w:r>
        <w:rPr>
          <w:rFonts w:ascii="Times New Roman" w:cs="Times New Roman" w:eastAsia="Times New Roman" w:hAnsi="Times New Roman"/>
          <w:sz w:val="22"/>
          <w:szCs w:val="22"/>
          <w:u w:val="single" w:color="auto"/>
          <w:color w:val="auto"/>
        </w:rPr>
        <w:t>Section 2(c)</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2(e)</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2(f),</w:t>
      </w:r>
      <w:r>
        <w:rPr>
          <w:rFonts w:ascii="Times New Roman" w:cs="Times New Roman" w:eastAsia="Times New Roman" w:hAnsi="Times New Roman"/>
          <w:sz w:val="22"/>
          <w:szCs w:val="22"/>
          <w:color w:val="auto"/>
        </w:rPr>
        <w:t xml:space="preserve"> any then Unvested RSUs held by the Participant shall be forfeited and canceled as of the Termination Date.</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(h)As used in this </w:t>
      </w:r>
      <w:r>
        <w:rPr>
          <w:rFonts w:ascii="Times New Roman" w:cs="Times New Roman" w:eastAsia="Times New Roman" w:hAnsi="Times New Roman"/>
          <w:sz w:val="22"/>
          <w:szCs w:val="22"/>
          <w:u w:val="single" w:color="auto"/>
          <w:color w:val="auto"/>
        </w:rPr>
        <w:t>Section 2</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jc w:val="both"/>
        <w:ind w:firstLine="1505"/>
        <w:spacing w:after="0" w:line="236" w:lineRule="auto"/>
        <w:tabs>
          <w:tab w:leader="none" w:pos="2036"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Good Reason</w:t>
      </w:r>
      <w:r>
        <w:rPr>
          <w:rFonts w:ascii="Times New Roman" w:cs="Times New Roman" w:eastAsia="Times New Roman" w:hAnsi="Times New Roman"/>
          <w:sz w:val="22"/>
          <w:szCs w:val="22"/>
          <w:color w:val="auto"/>
        </w:rPr>
        <w:t>” has the meaning set forth in the written employment, offer, services or severance agreement or letter between the Participant and the Company or an Affiliate, or if there is no such agreement or no such term is defined in such agreement, means, without the Participant’s consent: (A) a material diminution in the Participant’s authority, duties or responsibilities with the Company or an Affiliate; (B) a material diminution in the Participant’s base salary; (C) a relocation of the Participant’s principal place of employment by more than 50 miles; or (D) a material breach by the Company of any of its obligations under these Standard Terms and Conditions. Notwithstanding the foregoing, any assertion by the Participant of a termination for Good Reason shall not be effective unless (1) the Participant provides written</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45" w:name="page146"/>
    <w:bookmarkEnd w:id="145"/>
    <w:p>
      <w:pPr>
        <w:jc w:val="both"/>
        <w:spacing w:after="0" w:line="239" w:lineRule="auto"/>
        <w:rPr>
          <w:sz w:val="20"/>
          <w:szCs w:val="20"/>
          <w:color w:val="auto"/>
        </w:rPr>
      </w:pPr>
      <w:r>
        <w:rPr>
          <w:rFonts w:ascii="Times New Roman" w:cs="Times New Roman" w:eastAsia="Times New Roman" w:hAnsi="Times New Roman"/>
          <w:sz w:val="22"/>
          <w:szCs w:val="22"/>
          <w:color w:val="auto"/>
        </w:rPr>
        <w:t>notice to the Company of the existence of one or more of the foregoing conditions within 30 days after the initial occurrence of such condition(s); (2) the condition(s) specified in such notice must remain uncorrected for 30 days following the Company’s receipt of such written notice; and (3) the date of the termination of the Participant’s employment must occur within 90 days after the initial occurrence of the condition(s) specified in such notice.</w:t>
      </w:r>
    </w:p>
    <w:p>
      <w:pPr>
        <w:spacing w:after="0" w:line="174" w:lineRule="exact"/>
        <w:rPr>
          <w:sz w:val="20"/>
          <w:szCs w:val="20"/>
          <w:color w:val="auto"/>
        </w:rPr>
      </w:pPr>
    </w:p>
    <w:p>
      <w:pPr>
        <w:ind w:right="20" w:firstLine="1505"/>
        <w:spacing w:after="0" w:line="264" w:lineRule="auto"/>
        <w:tabs>
          <w:tab w:leader="none" w:pos="2036" w:val="left"/>
        </w:tabs>
        <w:numPr>
          <w:ilvl w:val="2"/>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Involuntary Termination</w:t>
      </w:r>
      <w:r>
        <w:rPr>
          <w:rFonts w:ascii="Times New Roman" w:cs="Times New Roman" w:eastAsia="Times New Roman" w:hAnsi="Times New Roman"/>
          <w:sz w:val="22"/>
          <w:szCs w:val="22"/>
          <w:color w:val="auto"/>
        </w:rPr>
        <w:t>” means a Termination of Employment by the Company without Cause (and not as a result of death or Disability) or by the Participant for Good Reason.</w:t>
      </w:r>
    </w:p>
    <w:p>
      <w:pPr>
        <w:spacing w:after="0" w:line="145" w:lineRule="exact"/>
        <w:rPr>
          <w:rFonts w:ascii="Times New Roman" w:cs="Times New Roman" w:eastAsia="Times New Roman" w:hAnsi="Times New Roman"/>
          <w:sz w:val="22"/>
          <w:szCs w:val="22"/>
          <w:color w:val="auto"/>
        </w:rPr>
      </w:pPr>
    </w:p>
    <w:p>
      <w:pPr>
        <w:ind w:firstLine="1505"/>
        <w:spacing w:after="0" w:line="264" w:lineRule="auto"/>
        <w:tabs>
          <w:tab w:leader="none" w:pos="2036" w:val="left"/>
        </w:tabs>
        <w:numPr>
          <w:ilvl w:val="2"/>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Retirement</w:t>
      </w:r>
      <w:r>
        <w:rPr>
          <w:rFonts w:ascii="Times New Roman" w:cs="Times New Roman" w:eastAsia="Times New Roman" w:hAnsi="Times New Roman"/>
          <w:sz w:val="22"/>
          <w:szCs w:val="22"/>
          <w:color w:val="auto"/>
        </w:rPr>
        <w:t>” means a Termination of Employment by the Participant upon achieving (A) 55 or more years of age and (B) five or more consecutive years of service with the Company and its Affiliates.</w:t>
      </w:r>
    </w:p>
    <w:p>
      <w:pPr>
        <w:spacing w:after="0" w:line="145"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2"/>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Termination Date</w:t>
      </w:r>
      <w:r>
        <w:rPr>
          <w:rFonts w:ascii="Times New Roman" w:cs="Times New Roman" w:eastAsia="Times New Roman" w:hAnsi="Times New Roman"/>
          <w:sz w:val="22"/>
          <w:szCs w:val="22"/>
          <w:color w:val="auto"/>
        </w:rPr>
        <w:t>” means the date of the Participant’s Termination of Employment.</w:t>
      </w:r>
    </w:p>
    <w:p>
      <w:pPr>
        <w:spacing w:after="0" w:line="208" w:lineRule="exact"/>
        <w:rPr>
          <w:rFonts w:ascii="Times New Roman" w:cs="Times New Roman" w:eastAsia="Times New Roman" w:hAnsi="Times New Roman"/>
          <w:sz w:val="22"/>
          <w:szCs w:val="22"/>
          <w:color w:val="auto"/>
        </w:rPr>
      </w:pPr>
    </w:p>
    <w:p>
      <w:pPr>
        <w:ind w:left="760" w:hanging="752"/>
        <w:spacing w:after="0"/>
        <w:tabs>
          <w:tab w:leader="none" w:pos="760" w:val="left"/>
        </w:tabs>
        <w:numPr>
          <w:ilvl w:val="0"/>
          <w:numId w:val="11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RIGHTS AS STOCKHOLDER; DIVIDEND EQUIVALENTS</w:t>
      </w:r>
    </w:p>
    <w:p>
      <w:pPr>
        <w:spacing w:after="0" w:line="210" w:lineRule="exact"/>
        <w:rPr>
          <w:rFonts w:ascii="Times New Roman" w:cs="Times New Roman" w:eastAsia="Times New Roman" w:hAnsi="Times New Roman"/>
          <w:sz w:val="22"/>
          <w:szCs w:val="22"/>
          <w:b w:val="1"/>
          <w:bCs w:val="1"/>
          <w:color w:val="auto"/>
        </w:rPr>
      </w:pPr>
    </w:p>
    <w:p>
      <w:pPr>
        <w:jc w:val="both"/>
        <w:ind w:right="80" w:firstLine="757"/>
        <w:spacing w:after="0" w:line="244" w:lineRule="auto"/>
        <w:tabs>
          <w:tab w:leader="none" w:pos="1016" w:val="left"/>
        </w:tabs>
        <w:numPr>
          <w:ilvl w:val="1"/>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Participant shall not be, nor have any of the rights or privileges of, a stockholder of the Company in respect of any RSUs unless and until shares of Common Stock settled for such RSUs shall have been issued by the Company to Participant (as evidenced by the appropriate entry on the books of the Company or of a duly authorized transfer agent of the Company).</w:t>
      </w:r>
    </w:p>
    <w:p>
      <w:pPr>
        <w:spacing w:after="0" w:line="173" w:lineRule="exact"/>
        <w:rPr>
          <w:sz w:val="20"/>
          <w:szCs w:val="20"/>
          <w:color w:val="auto"/>
        </w:rPr>
      </w:pPr>
    </w:p>
    <w:p>
      <w:pPr>
        <w:jc w:val="both"/>
        <w:ind w:right="80" w:firstLine="749"/>
        <w:spacing w:after="0" w:line="234" w:lineRule="auto"/>
        <w:rPr>
          <w:sz w:val="20"/>
          <w:szCs w:val="20"/>
          <w:color w:val="auto"/>
        </w:rPr>
      </w:pPr>
      <w:r>
        <w:rPr>
          <w:rFonts w:ascii="Times New Roman" w:cs="Times New Roman" w:eastAsia="Times New Roman" w:hAnsi="Times New Roman"/>
          <w:sz w:val="22"/>
          <w:szCs w:val="22"/>
          <w:color w:val="auto"/>
        </w:rPr>
        <w:t>(b)Notwithstanding the foregoing, from and after the Grant Date and until the earlier of (i) the Participant’s receipt of Common Stock upon payment of RSUs and (ii) the time when the Participant’s right to receive Common Stock upon payment of RSUs is forfeited, on the date that the Company pays a cash dividend (if any) to holders of Common Stock generally, the Participant shall be entitled, as a Dividend Equivalent, to a number of additional whole RSUs determined by dividing (i) the product of (A) the dollar amount of the cash dividend paid per share of Common Stock on such date and (B) the total number of RSUs (including dividend equivalents paid thereon) previously credited to the Participant as of such date, by (ii) the Fair Market Value per share of Common Stock on such date. Such Dividend Equivalents (if any) shall be subject to the same terms and conditions and shall be settled or forfeited in the same manner and at the same time as the RSUs to which the Dividend Equivalents were credited.</w:t>
      </w:r>
    </w:p>
    <w:p>
      <w:pPr>
        <w:spacing w:after="0" w:line="179" w:lineRule="exact"/>
        <w:rPr>
          <w:sz w:val="20"/>
          <w:szCs w:val="20"/>
          <w:color w:val="auto"/>
        </w:rPr>
      </w:pPr>
    </w:p>
    <w:p>
      <w:pPr>
        <w:ind w:left="760" w:hanging="752"/>
        <w:spacing w:after="0"/>
        <w:tabs>
          <w:tab w:leader="none" w:pos="760" w:val="left"/>
        </w:tabs>
        <w:numPr>
          <w:ilvl w:val="0"/>
          <w:numId w:val="11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RESTRICTIONS ON RESALES OF SHARES</w:t>
      </w:r>
    </w:p>
    <w:p>
      <w:pPr>
        <w:spacing w:after="0" w:line="210" w:lineRule="exact"/>
        <w:rPr>
          <w:sz w:val="20"/>
          <w:szCs w:val="20"/>
          <w:color w:val="auto"/>
        </w:rPr>
      </w:pPr>
    </w:p>
    <w:p>
      <w:pPr>
        <w:jc w:val="both"/>
        <w:ind w:right="80"/>
        <w:spacing w:after="0" w:line="238" w:lineRule="auto"/>
        <w:rPr>
          <w:sz w:val="20"/>
          <w:szCs w:val="20"/>
          <w:color w:val="auto"/>
        </w:rPr>
      </w:pPr>
      <w:r>
        <w:rPr>
          <w:rFonts w:ascii="Times New Roman" w:cs="Times New Roman" w:eastAsia="Times New Roman" w:hAnsi="Times New Roman"/>
          <w:sz w:val="22"/>
          <w:szCs w:val="22"/>
          <w:color w:val="auto"/>
        </w:rPr>
        <w:t>The Company may impose such restrictions, conditions or limitations as it determines appropriate as to the timing and manner of any resales by the Participant or other subsequent transfers by the Participant of any shares of Common Stock issued pursuant to Vested RSUs, including (a) restrictions under an insider trading policy, (b) restrictions designed to delay and/or coordinate the timing and manner of sales by Participant and other holders and (c) restrictions as to the use of a specified brokerage firm for such resales or other transfers.</w:t>
      </w:r>
    </w:p>
    <w:p>
      <w:pPr>
        <w:spacing w:after="0" w:line="173" w:lineRule="exact"/>
        <w:rPr>
          <w:sz w:val="20"/>
          <w:szCs w:val="20"/>
          <w:color w:val="auto"/>
        </w:rPr>
      </w:pPr>
    </w:p>
    <w:p>
      <w:pPr>
        <w:ind w:left="760" w:hanging="752"/>
        <w:spacing w:after="0"/>
        <w:tabs>
          <w:tab w:leader="none" w:pos="760" w:val="left"/>
        </w:tabs>
        <w:numPr>
          <w:ilvl w:val="0"/>
          <w:numId w:val="11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INCOME TAXES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To the extent required by applicable federal, state, local or foreign law, the Participant shall make</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46" w:name="page147"/>
    <w:bookmarkEnd w:id="146"/>
    <w:p>
      <w:pPr>
        <w:spacing w:after="0" w:line="18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arrangements satisfactory to the Company for the satisfaction of any withholding tax obligations that arise by reason of the grant or vesting of the RSUs. The Company shall not be required to issue shares or to recognize the disposition of such shares until such obligations are satisfied.</w:t>
      </w:r>
    </w:p>
    <w:p>
      <w:pPr>
        <w:spacing w:after="0" w:line="169" w:lineRule="exact"/>
        <w:rPr>
          <w:sz w:val="20"/>
          <w:szCs w:val="20"/>
          <w:color w:val="auto"/>
        </w:rPr>
      </w:pPr>
    </w:p>
    <w:p>
      <w:pPr>
        <w:ind w:left="760" w:hanging="752"/>
        <w:spacing w:after="0"/>
        <w:tabs>
          <w:tab w:leader="none" w:pos="760" w:val="left"/>
        </w:tabs>
        <w:numPr>
          <w:ilvl w:val="0"/>
          <w:numId w:val="11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NONTRANSFERABILITY­ OF AWARD</w:t>
      </w:r>
    </w:p>
    <w:p>
      <w:pPr>
        <w:spacing w:after="0" w:line="21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The Participant understands, acknowledges and agrees that, except as otherwise provided in the Plan or as permitted by the Committee, the Award may not be sold, assigned, transferred, pledged or otherwise directly or indirectly encumbered or disposed of other than by will or the laws of descent and distribution. Notwithstanding the foregoing, (a) the Participant shall be permitted to transfer the Award as a gift to an Assignee Entity in accordance with and subject to the limits of Section 17 of the Plan and (b) if not previously so transferred, any shares of Common Stock that become issuable hereunder but which otherwise remain unissued at the time of the Participant’s death shall be transferred to the Participant’s designated beneficiary or, if none, to the Participant’s estate.</w:t>
      </w:r>
    </w:p>
    <w:p>
      <w:pPr>
        <w:spacing w:after="0" w:line="179" w:lineRule="exact"/>
        <w:rPr>
          <w:sz w:val="20"/>
          <w:szCs w:val="20"/>
          <w:color w:val="auto"/>
        </w:rPr>
      </w:pPr>
    </w:p>
    <w:p>
      <w:pPr>
        <w:ind w:left="760" w:hanging="752"/>
        <w:spacing w:after="0"/>
        <w:tabs>
          <w:tab w:leader="none" w:pos="760" w:val="left"/>
        </w:tabs>
        <w:numPr>
          <w:ilvl w:val="0"/>
          <w:numId w:val="12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OTHER AGREEMENTS SUPERSEDED</w:t>
      </w:r>
    </w:p>
    <w:p>
      <w:pPr>
        <w:spacing w:after="0" w:line="21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Grant Notice, these Standard Terms and Conditions, the Confidentiality and Inventions Agreement and the Plan constitute the entire understanding between the Participant and the Company regarding the Award. Any prior agreements, commitments or negotiations concerning the Award are superseded; provided, however, that the terms of the Confidentiality and Inventions Agreement are in addition to and complement (and do not replace or supersede) all other agreements and obligations between the Company and any of its affiliates and the Participant with respect to confidentiality and intellectual property.</w:t>
      </w:r>
    </w:p>
    <w:p>
      <w:pPr>
        <w:spacing w:after="0" w:line="173" w:lineRule="exact"/>
        <w:rPr>
          <w:sz w:val="20"/>
          <w:szCs w:val="20"/>
          <w:color w:val="auto"/>
        </w:rPr>
      </w:pPr>
    </w:p>
    <w:p>
      <w:pPr>
        <w:ind w:left="760" w:hanging="752"/>
        <w:spacing w:after="0"/>
        <w:tabs>
          <w:tab w:leader="none" w:pos="760" w:val="left"/>
        </w:tabs>
        <w:numPr>
          <w:ilvl w:val="0"/>
          <w:numId w:val="12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LIMITATION OF INTEREST IN SHARES SUBJECT TO RESTRICTED STOCK UNITS</w:t>
      </w:r>
    </w:p>
    <w:p>
      <w:pPr>
        <w:spacing w:after="0" w:line="21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Neither the Participant (individually or as a member of a group) nor any beneficiary or other person claiming under or through the Participant shall have any right, title, interest, or privilege in or to any shares of Common Stock allocated or reserved for the purpose of the Plan or subject to the Grant Notice or these Standard Terms and Conditions except as to such shares of Common Stock, if any, as shall have been issued to such person in connection with the Award. Nothing in the Plan, in the Grant Notice, these Standard Terms and Conditions or any other instrument executed pursuant to the Plan shall confer upon the Participant any right to continue in the Company’s employ or service nor limit in any way the Company’s right to terminate the Participant’s employment at any time for any reason.</w:t>
      </w:r>
    </w:p>
    <w:p>
      <w:pPr>
        <w:spacing w:after="0" w:line="179" w:lineRule="exact"/>
        <w:rPr>
          <w:sz w:val="20"/>
          <w:szCs w:val="20"/>
          <w:color w:val="auto"/>
        </w:rPr>
      </w:pPr>
    </w:p>
    <w:p>
      <w:pPr>
        <w:ind w:left="760" w:hanging="752"/>
        <w:spacing w:after="0"/>
        <w:tabs>
          <w:tab w:leader="none" w:pos="760" w:val="left"/>
        </w:tabs>
        <w:numPr>
          <w:ilvl w:val="0"/>
          <w:numId w:val="12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GENERAL</w:t>
      </w:r>
    </w:p>
    <w:p>
      <w:pPr>
        <w:spacing w:after="0" w:line="210" w:lineRule="exact"/>
        <w:rPr>
          <w:rFonts w:ascii="Times New Roman" w:cs="Times New Roman" w:eastAsia="Times New Roman" w:hAnsi="Times New Roman"/>
          <w:sz w:val="22"/>
          <w:szCs w:val="22"/>
          <w:b w:val="1"/>
          <w:bCs w:val="1"/>
          <w:color w:val="auto"/>
        </w:rPr>
      </w:pPr>
    </w:p>
    <w:p>
      <w:pPr>
        <w:jc w:val="both"/>
        <w:ind w:firstLine="757"/>
        <w:spacing w:after="0" w:line="255" w:lineRule="auto"/>
        <w:tabs>
          <w:tab w:leader="none" w:pos="1016" w:val="left"/>
        </w:tabs>
        <w:numPr>
          <w:ilvl w:val="1"/>
          <w:numId w:val="1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event that any provision of these Standard Terms and Conditions is declared to be illegal, invalid or otherwise unenforceable by a court of competent jurisdiction, such provision shall be reformed, if possible, to the extent necessary to render it legal, valid and enforceable, or otherwise deleted, and the remainder of these Standard Terms and Conditions shall not be affected except to the extent necessary to reform or delete such illegal, invalid or unenforceable provision.</w:t>
      </w:r>
    </w:p>
    <w:p>
      <w:pPr>
        <w:spacing w:after="0" w:line="200" w:lineRule="exact"/>
        <w:rPr>
          <w:sz w:val="20"/>
          <w:szCs w:val="20"/>
          <w:color w:val="auto"/>
        </w:rPr>
      </w:pPr>
    </w:p>
    <w:p>
      <w:pPr>
        <w:spacing w:after="0" w:line="36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147" w:name="page148"/>
    <w:bookmarkEnd w:id="147"/>
    <w:p>
      <w:pPr>
        <w:spacing w:after="0" w:line="184"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color w:val="auto"/>
        </w:rPr>
        <w:t>(b)The headings preceding the text of the sections hereof are inserted solely for convenience of reference, and shall not constitute a part of these Standard Terms and Conditions, nor shall they affect its meaning, construction or effect. Words in the masculine gender shall include the feminine gender, and where appropriate, the plural shall include the singular and the singular shall include the plural. The use herein of the word “including” following any general statement, term or matter shall not be construed to limit such statement, term or matter to the specific items or matters set forth immediately following such word or to similar items or matters, whether or not non-limiting language (such as “without limitation”, “but not limited to”, or words of similar import) is used with reference thereto, but rather shall be deemed to refer to all other items or matters that could reasonably fall within the broadest possible scope of such general statement, term or matter. References herein to any agreement, instrument or other document means such agreement, instrument or other document as amended, supplemented and modified from time to time to the extent permitted by the provisions thereof and not prohibited by the Plan or these Standard Terms and Conditions.</w:t>
      </w:r>
    </w:p>
    <w:p>
      <w:pPr>
        <w:spacing w:after="0" w:line="187" w:lineRule="exact"/>
        <w:rPr>
          <w:sz w:val="20"/>
          <w:szCs w:val="20"/>
          <w:color w:val="auto"/>
        </w:rPr>
      </w:pPr>
    </w:p>
    <w:p>
      <w:pPr>
        <w:ind w:firstLine="757"/>
        <w:spacing w:after="0" w:line="258" w:lineRule="auto"/>
        <w:tabs>
          <w:tab w:leader="none" w:pos="1016" w:val="left"/>
        </w:tabs>
        <w:numPr>
          <w:ilvl w:val="0"/>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These Standard Terms and Conditions shall inure to the benefit of and be binding upon the parties hereto and their respective permitted heirs, beneficiaries, successors and assigns.</w:t>
      </w:r>
    </w:p>
    <w:p>
      <w:pPr>
        <w:spacing w:after="0" w:line="158"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22"/>
          <w:szCs w:val="22"/>
          <w:color w:val="auto"/>
        </w:rPr>
        <w:t>(d)These Standard Terms and Conditions shall be construed in accordance with and governed by the laws of the State of Delaware, without regard to principles of conflicts of law.</w:t>
      </w:r>
    </w:p>
    <w:p>
      <w:pPr>
        <w:spacing w:after="0" w:line="158" w:lineRule="exact"/>
        <w:rPr>
          <w:sz w:val="20"/>
          <w:szCs w:val="20"/>
          <w:color w:val="auto"/>
        </w:rPr>
      </w:pPr>
    </w:p>
    <w:p>
      <w:pPr>
        <w:jc w:val="both"/>
        <w:ind w:firstLine="757"/>
        <w:spacing w:after="0" w:line="244" w:lineRule="auto"/>
        <w:tabs>
          <w:tab w:leader="none" w:pos="1016" w:val="left"/>
        </w:tabs>
        <w:numPr>
          <w:ilvl w:val="0"/>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of any conflict between the Grant Notice, these Standard Terms and Conditions and the Plan, the Grant Notice and these Standard Terms and Conditions shall control. In the event of any conflict between the Grant Notice and these Standard Terms and Conditions, the Grant Notice shall control.</w:t>
      </w:r>
    </w:p>
    <w:p>
      <w:pPr>
        <w:spacing w:after="0" w:line="173" w:lineRule="exact"/>
        <w:rPr>
          <w:rFonts w:ascii="Times New Roman" w:cs="Times New Roman" w:eastAsia="Times New Roman" w:hAnsi="Times New Roman"/>
          <w:sz w:val="22"/>
          <w:szCs w:val="22"/>
          <w:color w:val="auto"/>
        </w:rPr>
      </w:pPr>
    </w:p>
    <w:p>
      <w:pPr>
        <w:ind w:firstLine="757"/>
        <w:spacing w:after="0" w:line="258" w:lineRule="auto"/>
        <w:tabs>
          <w:tab w:leader="none" w:pos="1016" w:val="left"/>
        </w:tabs>
        <w:numPr>
          <w:ilvl w:val="0"/>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questions arising under the Plan or under these Standard Terms and Conditions shall be decided by the Committee in its total and absolute discretion.</w:t>
      </w:r>
    </w:p>
    <w:p>
      <w:pPr>
        <w:spacing w:after="0" w:line="154" w:lineRule="exact"/>
        <w:rPr>
          <w:sz w:val="20"/>
          <w:szCs w:val="20"/>
          <w:color w:val="auto"/>
        </w:rPr>
      </w:pPr>
    </w:p>
    <w:p>
      <w:pPr>
        <w:ind w:left="760" w:hanging="752"/>
        <w:spacing w:after="0"/>
        <w:tabs>
          <w:tab w:leader="none" w:pos="760" w:val="left"/>
        </w:tabs>
        <w:numPr>
          <w:ilvl w:val="0"/>
          <w:numId w:val="12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CLAWBACK</w:t>
      </w:r>
    </w:p>
    <w:p>
      <w:pPr>
        <w:spacing w:after="0" w:line="210"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The RSUs and any shares of Common Stock received upon settlement of the RSUs are subject to recoupment in accordance with any recoupment policy that the Company may adopt from time to time, to the extent any such policy is applicable to the Participant and to such compensation, including the Petco Health and Wellness Company, Inc. Clawback Policy (as amended from time to time), designed to comply with the requirements of Rule 10D-1 promulgated under the Act, as well as any recoupment provisions required under applicable law. For purposes of the foregoing, the Participant expressly and explicitly authorizes (x) the Company to issue instructions, on the Participant’s behalf, to any brokerage firm and/or third party administrator engaged by the Company to hold shares of Common Stock and other amounts acquired under the Award or the Plan to re-convey, transfer or otherwise return such shares and/or other amounts to the Company and (y) the Company’s recovery of any covered compensation through any method of recovery that the Company deems appropriate, including by reducing any amount that is or may become payable to the Participant. The Participant further agrees to comply with any request or demand for repayment by any affiliate of the Company in order to comply with such policies or applicable law. To the extent that the Standard Terms and Conditions and any Company recoupment policy conflict, the terms of the recoupment policy shall prevail.</w:t>
      </w:r>
    </w:p>
    <w:p>
      <w:pPr>
        <w:spacing w:after="0" w:line="200" w:lineRule="exact"/>
        <w:rPr>
          <w:sz w:val="20"/>
          <w:szCs w:val="20"/>
          <w:color w:val="auto"/>
        </w:rPr>
      </w:pPr>
    </w:p>
    <w:p>
      <w:pPr>
        <w:spacing w:after="0" w:line="38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148" w:name="page149"/>
    <w:bookmarkEnd w:id="148"/>
    <w:p>
      <w:pPr>
        <w:spacing w:after="0" w:line="180" w:lineRule="exact"/>
        <w:rPr>
          <w:sz w:val="20"/>
          <w:szCs w:val="20"/>
          <w:color w:val="auto"/>
        </w:rPr>
      </w:pPr>
    </w:p>
    <w:p>
      <w:pPr>
        <w:ind w:left="760" w:hanging="752"/>
        <w:spacing w:after="0"/>
        <w:tabs>
          <w:tab w:leader="none" w:pos="760" w:val="left"/>
        </w:tabs>
        <w:numPr>
          <w:ilvl w:val="0"/>
          <w:numId w:val="12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ELECTRONIC DELIVERY</w:t>
      </w:r>
    </w:p>
    <w:p>
      <w:pPr>
        <w:spacing w:after="0" w:line="21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By executing the Grant Notice, the Participant hereby consents to the delivery of information (including, without limitation, information required to be delivered to the Participant pursuant to applicable securities laws) regarding the Company and the Subsidiaries, the Plan, and the Restricted Stock Units via Company web site or other electronic delivery.</w:t>
      </w:r>
    </w:p>
    <w:p>
      <w:pPr>
        <w:spacing w:after="0" w:line="200" w:lineRule="exact"/>
        <w:rPr>
          <w:sz w:val="20"/>
          <w:szCs w:val="20"/>
          <w:color w:val="auto"/>
        </w:rPr>
      </w:pPr>
    </w:p>
    <w:p>
      <w:pPr>
        <w:spacing w:after="0" w:line="37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149" w:name="page150"/>
    <w:bookmarkEnd w:id="149"/>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EXHIBIT B</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CONFIDENTIALITY AND INVENTIONS AGREEMENT</w:t>
      </w:r>
    </w:p>
    <w:p>
      <w:pPr>
        <w:spacing w:after="0" w:line="21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As a condition to the receipt of the Award granted pursuant to the Grant Notice to which this Confidentiality and Inventions Agreement is attached and in consideration of the Participant’s continued employment with the Company, the Participant hereby confirms the Participant’s agreement as follows:</w:t>
      </w:r>
    </w:p>
    <w:p>
      <w:pPr>
        <w:spacing w:after="0" w:line="169" w:lineRule="exact"/>
        <w:rPr>
          <w:sz w:val="20"/>
          <w:szCs w:val="20"/>
          <w:color w:val="auto"/>
        </w:rPr>
      </w:pPr>
    </w:p>
    <w:p>
      <w:pPr>
        <w:ind w:left="520" w:hanging="512"/>
        <w:spacing w:after="0"/>
        <w:tabs>
          <w:tab w:leader="none" w:pos="520" w:val="left"/>
        </w:tabs>
        <w:numPr>
          <w:ilvl w:val="0"/>
          <w:numId w:val="12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GENERAL</w:t>
      </w:r>
    </w:p>
    <w:p>
      <w:pPr>
        <w:spacing w:after="0" w:line="210"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1"/>
          <w:szCs w:val="21"/>
          <w:color w:val="auto"/>
        </w:rPr>
        <w:t>The Participant’s employment by the Company is in a capacity in which he or she may have access to, or contribute to the production of, Confidential Information and the Company Work Product (both as defined below). The Participant’s employment creates a relationship of confidence and trust between the Company and the Participant with respect to the Confidential Information and the Company Work Product as set forth herein. This Confidentiality and Inventions Agreement are subject to the terms of the Standard Terms and Conditions attached as Exhibit A to the Grant Notice to which this Confidentiality and Inventions Agreement is attached; provided however, that in the event of any conflict between the Standard Terms and Conditions and this Confidentiality and Inventions Agreement, this Confidentiality and Inventions Agreement shall control.</w:t>
      </w:r>
    </w:p>
    <w:p>
      <w:pPr>
        <w:spacing w:after="0" w:line="166" w:lineRule="exact"/>
        <w:rPr>
          <w:sz w:val="20"/>
          <w:szCs w:val="20"/>
          <w:color w:val="auto"/>
        </w:rPr>
      </w:pPr>
    </w:p>
    <w:p>
      <w:pPr>
        <w:ind w:left="520" w:hanging="512"/>
        <w:spacing w:after="0"/>
        <w:tabs>
          <w:tab w:leader="none" w:pos="520" w:val="left"/>
        </w:tabs>
        <w:numPr>
          <w:ilvl w:val="0"/>
          <w:numId w:val="12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DEFINITIONS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Capitalized terms not otherwise defined herein shall have the meaning set forth in the Petco Health and Wellness Company, Inc.</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2021 Equity Incentive Plan, as amended from time to time. For purposes of this Confidentiality and Inventions Agreement:</w:t>
      </w:r>
    </w:p>
    <w:p>
      <w:pPr>
        <w:spacing w:after="0" w:line="176" w:lineRule="exact"/>
        <w:rPr>
          <w:sz w:val="20"/>
          <w:szCs w:val="20"/>
          <w:color w:val="auto"/>
        </w:rPr>
      </w:pPr>
    </w:p>
    <w:p>
      <w:pPr>
        <w:jc w:val="both"/>
        <w:ind w:right="80" w:firstLine="757"/>
        <w:spacing w:after="0" w:line="244" w:lineRule="auto"/>
        <w:tabs>
          <w:tab w:leader="none" w:pos="1016" w:val="left"/>
        </w:tabs>
        <w:numPr>
          <w:ilvl w:val="0"/>
          <w:numId w:val="1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Confidential Information</w:t>
      </w:r>
      <w:r>
        <w:rPr>
          <w:rFonts w:ascii="Times New Roman" w:cs="Times New Roman" w:eastAsia="Times New Roman" w:hAnsi="Times New Roman"/>
          <w:sz w:val="21"/>
          <w:szCs w:val="21"/>
          <w:color w:val="auto"/>
        </w:rPr>
        <w:t>” shall mean information or material (i) that is proprietary to the Company or confidential to the Company, whether or not designated or labeled as such, and (ii) that the Participant creates, discovers or develops, or of which the Participant obtains knowledge of or access to, in the course of the Participant’s employment with the Company. Confidential Information may include, but is not limited to, designs, works of authorship, formulae, ideas, concepts, techniques, inventions, devices, improvements, know-how, methods, processes, drawings, specifications, models, data, diagrams, flow charts, research, procedures, computer programs, marketing techniques and materials, business, marketing, development and product plans, financial information, customer lists and contact information, personnel information, and other confidential business or technical information created on behalf of the Company or obtained as a result of or in the course of employment with the Company. For purposes of this Confidentiality and Inventions Agreement, the “</w:t>
      </w:r>
      <w:r>
        <w:rPr>
          <w:rFonts w:ascii="Times New Roman" w:cs="Times New Roman" w:eastAsia="Times New Roman" w:hAnsi="Times New Roman"/>
          <w:sz w:val="21"/>
          <w:szCs w:val="21"/>
          <w:b w:val="1"/>
          <w:bCs w:val="1"/>
          <w:i w:val="1"/>
          <w:iCs w:val="1"/>
          <w:color w:val="auto"/>
        </w:rPr>
        <w:t>Company</w:t>
      </w:r>
      <w:r>
        <w:rPr>
          <w:rFonts w:ascii="Times New Roman" w:cs="Times New Roman" w:eastAsia="Times New Roman" w:hAnsi="Times New Roman"/>
          <w:sz w:val="21"/>
          <w:szCs w:val="21"/>
          <w:color w:val="auto"/>
        </w:rPr>
        <w:t>” shall mean the Company or any of its Affiliates. To the extent that the participant can demonstrate by competent proof that one of the following exceptions applies, the Participant shall have no obligation under this Confidentiality and Inventions Agreement to maintain in confidence any: (I) INFORMATION THAT IS OR BECOMES GENERALLY PUBLICLY KNOWN OTHER THAN AS A RESULT OF THE PARTICIPANT’S DISCLOSURE IN VIOLATION OF THIS AGREEMENT, (II) INFORMATION THAT WAS KNOWN BY THE PARTICIPANT OR AVAILABLE TO THE PARTICIPANT WITHOUT RESTRICTION PRIOR TO DISCLOSURE TO THE PARTICIPANT BY THE COMPANY, (III) INFORMATION THAT BECOMES</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w:t>
      </w:r>
      <w:r>
        <w:rPr>
          <w:rFonts w:ascii="Times New Roman" w:cs="Times New Roman" w:eastAsia="Times New Roman" w:hAnsi="Times New Roman"/>
          <w:sz w:val="14"/>
          <w:szCs w:val="14"/>
          <w:color w:val="auto"/>
        </w:rPr>
        <w:t>xhibit</w:t>
      </w:r>
      <w:r>
        <w:rPr>
          <w:rFonts w:ascii="Times New Roman" w:cs="Times New Roman" w:eastAsia="Times New Roman" w:hAnsi="Times New Roman"/>
          <w:sz w:val="22"/>
          <w:szCs w:val="22"/>
          <w:color w:val="auto"/>
        </w:rPr>
        <w:t xml:space="preserve"> B</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w:t>
      </w:r>
      <w:r>
        <w:rPr>
          <w:rFonts w:ascii="Times New Roman" w:cs="Times New Roman" w:eastAsia="Times New Roman" w:hAnsi="Times New Roman"/>
          <w:sz w:val="14"/>
          <w:szCs w:val="14"/>
          <w:color w:val="auto"/>
        </w:rPr>
        <w:t>onfidentiality and</w:t>
      </w:r>
      <w:r>
        <w:rPr>
          <w:rFonts w:ascii="Times New Roman" w:cs="Times New Roman" w:eastAsia="Times New Roman" w:hAnsi="Times New Roman"/>
          <w:sz w:val="22"/>
          <w:szCs w:val="22"/>
          <w:color w:val="auto"/>
        </w:rPr>
        <w:t xml:space="preserve"> I</w:t>
      </w:r>
      <w:r>
        <w:rPr>
          <w:rFonts w:ascii="Times New Roman" w:cs="Times New Roman" w:eastAsia="Times New Roman" w:hAnsi="Times New Roman"/>
          <w:sz w:val="14"/>
          <w:szCs w:val="14"/>
          <w:color w:val="auto"/>
        </w:rPr>
        <w:t>nventions</w:t>
      </w:r>
      <w:r>
        <w:rPr>
          <w:rFonts w:ascii="Times New Roman" w:cs="Times New Roman" w:eastAsia="Times New Roman" w:hAnsi="Times New Roman"/>
          <w:sz w:val="22"/>
          <w:szCs w:val="22"/>
          <w:color w:val="auto"/>
        </w:rPr>
        <w:t xml:space="preserve"> A</w:t>
      </w:r>
      <w:r>
        <w:rPr>
          <w:rFonts w:ascii="Times New Roman" w:cs="Times New Roman" w:eastAsia="Times New Roman" w:hAnsi="Times New Roman"/>
          <w:sz w:val="14"/>
          <w:szCs w:val="14"/>
          <w:color w:val="auto"/>
        </w:rPr>
        <w:t>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462915</wp:posOffset>
            </wp:positionV>
            <wp:extent cx="7157720" cy="425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50" w:name="page151"/>
    <w:bookmarkEnd w:id="150"/>
    <w:p>
      <w:pPr>
        <w:spacing w:after="0" w:line="184"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AVAILABLE TO THE PARTICIPANT ON A NON-CONFIDENTIAL BASIS FROM A THIRD PARTY THAT IS NOT SUBJECT TO CONFIDENTIALITY OBLIGATIONS IN FAVOR, OR THAT INURE TO THE BENEFIT, OF THE COMPANY, AND (IV) INFORMATION THAT WAS DEVELOPED INDEPENDENTLY BY OR FOR THE PARTICIPANT WITHOUT REFERENCE TO THE CONFIDENTIAL INFORMATION, USE OF COMPANY RESOURCES OR BREACH OF THIS AGREEMENT, INCLUDING, WITHOUT LIMITATION, THE “PRE-EMPLOYMENT WORK PRODUCT” (AS DEFINED BELOW).</w:t>
      </w:r>
    </w:p>
    <w:p>
      <w:pPr>
        <w:spacing w:after="0" w:line="175"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(b)“</w:t>
      </w:r>
      <w:r>
        <w:rPr>
          <w:rFonts w:ascii="Times New Roman" w:cs="Times New Roman" w:eastAsia="Times New Roman" w:hAnsi="Times New Roman"/>
          <w:sz w:val="22"/>
          <w:szCs w:val="22"/>
          <w:b w:val="1"/>
          <w:bCs w:val="1"/>
          <w:i w:val="1"/>
          <w:iCs w:val="1"/>
          <w:color w:val="auto"/>
        </w:rPr>
        <w:t>Work Product</w:t>
      </w:r>
      <w:r>
        <w:rPr>
          <w:rFonts w:ascii="Times New Roman" w:cs="Times New Roman" w:eastAsia="Times New Roman" w:hAnsi="Times New Roman"/>
          <w:sz w:val="22"/>
          <w:szCs w:val="22"/>
          <w:color w:val="auto"/>
        </w:rPr>
        <w:t>” shall mean inventions, data, ideas, designs, drawings, works of authorship, trademarks, service marks, trade names, service names, logos, developments, formulae, concepts, techniques, devices, improvements, know-how, methods, processes, programs and discoveries, whether or not patentable or protectable under applicable copyright or trademark law, or under other similar law, and whether or not reduced to practice or tangible form, together with any improvements thereon or thereto, derivative works therefrom, and intellectual property rights therein created on behalf of the Company as part of the obligation of employment in performing work for the Company or otherwise in the course of employment with the Company.</w:t>
      </w:r>
    </w:p>
    <w:p>
      <w:pPr>
        <w:spacing w:after="0" w:line="178" w:lineRule="exact"/>
        <w:rPr>
          <w:sz w:val="20"/>
          <w:szCs w:val="20"/>
          <w:color w:val="auto"/>
        </w:rPr>
      </w:pPr>
    </w:p>
    <w:p>
      <w:pPr>
        <w:ind w:left="520" w:hanging="512"/>
        <w:spacing w:after="0"/>
        <w:tabs>
          <w:tab w:leader="none" w:pos="520" w:val="left"/>
        </w:tabs>
        <w:numPr>
          <w:ilvl w:val="0"/>
          <w:numId w:val="13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CONFIDENTIALITY</w:t>
      </w:r>
    </w:p>
    <w:p>
      <w:pPr>
        <w:spacing w:after="0" w:line="210" w:lineRule="exact"/>
        <w:rPr>
          <w:rFonts w:ascii="Times New Roman" w:cs="Times New Roman" w:eastAsia="Times New Roman" w:hAnsi="Times New Roman"/>
          <w:sz w:val="22"/>
          <w:szCs w:val="22"/>
          <w:b w:val="1"/>
          <w:bCs w:val="1"/>
          <w:color w:val="auto"/>
        </w:rPr>
      </w:pPr>
    </w:p>
    <w:p>
      <w:pPr>
        <w:jc w:val="both"/>
        <w:ind w:firstLine="757"/>
        <w:spacing w:after="0" w:line="233" w:lineRule="auto"/>
        <w:tabs>
          <w:tab w:leader="none" w:pos="1016" w:val="left"/>
        </w:tabs>
        <w:numPr>
          <w:ilvl w:val="1"/>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the term of the Participant’s employment by the Company and at all times thereafter, the Participant will keep in strict confidence and trust all Confidential Information, and the Participant will not, directly or indirectly, disclose, distribute, sell, transfer, use, lecture upon or publish any Confidential Information, except as may be necessary in the course of performing the Participant’s duties as an employee of the Company or as the Company authorizes or permits. Notwithstanding the foregoing, the Participant shall be entitled to continue to use Confidential Information of the Company transferred to a purchaser (“</w:t>
      </w:r>
      <w:r>
        <w:rPr>
          <w:rFonts w:ascii="Times New Roman" w:cs="Times New Roman" w:eastAsia="Times New Roman" w:hAnsi="Times New Roman"/>
          <w:sz w:val="22"/>
          <w:szCs w:val="22"/>
          <w:b w:val="1"/>
          <w:bCs w:val="1"/>
          <w:i w:val="1"/>
          <w:iCs w:val="1"/>
          <w:color w:val="auto"/>
        </w:rPr>
        <w:t>Purchaser</w:t>
      </w:r>
      <w:r>
        <w:rPr>
          <w:rFonts w:ascii="Times New Roman" w:cs="Times New Roman" w:eastAsia="Times New Roman" w:hAnsi="Times New Roman"/>
          <w:sz w:val="22"/>
          <w:szCs w:val="22"/>
          <w:color w:val="auto"/>
        </w:rPr>
        <w:t>”) of all or substantially all of the assets of a business (“</w:t>
      </w:r>
      <w:r>
        <w:rPr>
          <w:rFonts w:ascii="Times New Roman" w:cs="Times New Roman" w:eastAsia="Times New Roman" w:hAnsi="Times New Roman"/>
          <w:sz w:val="22"/>
          <w:szCs w:val="22"/>
          <w:b w:val="1"/>
          <w:bCs w:val="1"/>
          <w:i w:val="1"/>
          <w:iCs w:val="1"/>
          <w:color w:val="auto"/>
        </w:rPr>
        <w:t>Business</w:t>
      </w:r>
      <w:r>
        <w:rPr>
          <w:rFonts w:ascii="Times New Roman" w:cs="Times New Roman" w:eastAsia="Times New Roman" w:hAnsi="Times New Roman"/>
          <w:sz w:val="22"/>
          <w:szCs w:val="22"/>
          <w:color w:val="auto"/>
        </w:rPr>
        <w:t>”) of Company (an “</w:t>
      </w:r>
      <w:r>
        <w:rPr>
          <w:rFonts w:ascii="Times New Roman" w:cs="Times New Roman" w:eastAsia="Times New Roman" w:hAnsi="Times New Roman"/>
          <w:sz w:val="22"/>
          <w:szCs w:val="22"/>
          <w:b w:val="1"/>
          <w:bCs w:val="1"/>
          <w:i w:val="1"/>
          <w:iCs w:val="1"/>
          <w:color w:val="auto"/>
        </w:rPr>
        <w:t>Acquisition</w:t>
      </w:r>
      <w:r>
        <w:rPr>
          <w:rFonts w:ascii="Times New Roman" w:cs="Times New Roman" w:eastAsia="Times New Roman" w:hAnsi="Times New Roman"/>
          <w:sz w:val="22"/>
          <w:szCs w:val="22"/>
          <w:color w:val="auto"/>
        </w:rPr>
        <w:t>”) solely to the extent that the Participant becomes an employee of such Purchaser or Purchaser’s designated affiliate upon consummation of the Acquisition and such Confidential Information is used in the Business prior to consummation of the Acquisition. The Participant acknowledges and agrees that, upon consummation of the Acquisition, the Confidential Information shall be deemed the Confidential Information of the Purchaser and subject to the Participant’s applicable employment, confidentiality and inventions assignment agreement with such Purchaser.</w:t>
      </w:r>
    </w:p>
    <w:p>
      <w:pPr>
        <w:spacing w:after="0" w:line="187"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(b)The Participant recognizes that the Company has received and in the future will receive information from third parties which is subject to an obligation on the Company’s part to maintain the confidentiality of such information and to use it only for certain limited purposes. The Participant agrees, during the term of the Participant’s employment and thereafter, to hold all such confidential or proprietary information of third parties in the strictest confidence and not to disclose or use it, except as necessary in performing the Participant’s duties as an employee of the Company consistent with the Company’s agreement with such third party. The Participant agrees that such information will be subject to the terms of this Confidentiality and Inventions Agreement as Confidential Information.</w:t>
      </w:r>
    </w:p>
    <w:p>
      <w:pPr>
        <w:spacing w:after="0" w:line="183" w:lineRule="exact"/>
        <w:rPr>
          <w:sz w:val="20"/>
          <w:szCs w:val="20"/>
          <w:color w:val="auto"/>
        </w:rPr>
      </w:pPr>
    </w:p>
    <w:p>
      <w:pPr>
        <w:ind w:left="5460" w:right="3100" w:hanging="4703"/>
        <w:spacing w:after="0" w:line="847" w:lineRule="auto"/>
        <w:tabs>
          <w:tab w:leader="none" w:pos="1022" w:val="left"/>
        </w:tabs>
        <w:numPr>
          <w:ilvl w:val="0"/>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Protected Disclosures</w:t>
      </w:r>
      <w:r>
        <w:rPr>
          <w:rFonts w:ascii="Times New Roman" w:cs="Times New Roman" w:eastAsia="Times New Roman" w:hAnsi="Times New Roman"/>
          <w:sz w:val="22"/>
          <w:szCs w:val="22"/>
          <w:color w:val="auto"/>
        </w:rPr>
        <w:t>. 18 U.S.C. § 1833(b) provides: “An individual shall not be 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53975</wp:posOffset>
            </wp:positionV>
            <wp:extent cx="7157720" cy="4254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151" w:name="page152"/>
    <w:bookmarkEnd w:id="151"/>
    <w:p>
      <w:pPr>
        <w:jc w:val="both"/>
        <w:ind w:right="80"/>
        <w:spacing w:after="0" w:line="232" w:lineRule="auto"/>
        <w:rPr>
          <w:sz w:val="20"/>
          <w:szCs w:val="20"/>
          <w:color w:val="auto"/>
        </w:rPr>
      </w:pPr>
      <w:r>
        <w:rPr>
          <w:rFonts w:ascii="Times New Roman" w:cs="Times New Roman" w:eastAsia="Times New Roman" w:hAnsi="Times New Roman"/>
          <w:sz w:val="22"/>
          <w:szCs w:val="22"/>
          <w:color w:val="auto"/>
        </w:rPr>
        <w:t>held criminally or civilly liable under any Federal or State trade secret law for the disclosure of a trade secret that—(A) is made —(i)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 Nothing in this Agreement is intended to conflict with 18 U.S.C. § 1833(b) or create liability for disclosures of trade secrets that are expressly allowed by 18 U.S.C. § 1833(b). Accordingly, the parties to this Agreement have the right to disclose in confidence trade secrets to federal, state, and local government officials, or to an attorney, for the sole purpose of reporting or investigating a suspected violation of law. The parties also have the right to disclose trade secrets in a document filed in a lawsuit or other proceeding, but only if the filing is made under seal and protected from public disclosure. Nothing in this Confidentiality and Inventions Agreement prevents the Participant from discussing or disclosing information about unlawful acts in the workplace, such as harassment or discrimination or any other conduct that the Participant has reason to believe is unlawful. Furthermore, and for the avoidance of doubt, nothing in this Confidentiality and Inventions Agreement limits or restricts the Participant’s ability to communicate with the Securities and Exchange Commission or any other federal, state or local governmental agency or commission (each a “</w:t>
      </w:r>
      <w:r>
        <w:rPr>
          <w:rFonts w:ascii="Times New Roman" w:cs="Times New Roman" w:eastAsia="Times New Roman" w:hAnsi="Times New Roman"/>
          <w:sz w:val="22"/>
          <w:szCs w:val="22"/>
          <w:b w:val="1"/>
          <w:bCs w:val="1"/>
          <w:i w:val="1"/>
          <w:iCs w:val="1"/>
          <w:color w:val="auto"/>
        </w:rPr>
        <w:t>Government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Agency</w:t>
      </w:r>
      <w:r>
        <w:rPr>
          <w:rFonts w:ascii="Times New Roman" w:cs="Times New Roman" w:eastAsia="Times New Roman" w:hAnsi="Times New Roman"/>
          <w:sz w:val="22"/>
          <w:szCs w:val="22"/>
          <w:color w:val="auto"/>
        </w:rPr>
        <w:t>”) or otherwise participate in any investigation or proceeding that may be conducted by any Government Agency,</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including providing documents or other information and reporting possible violations of law or regulation or other disclosures protected under the whistleblower provisions of applicable law or regulation, without notice to the Company.</w:t>
      </w:r>
    </w:p>
    <w:p>
      <w:pPr>
        <w:spacing w:after="0" w:line="187" w:lineRule="exact"/>
        <w:rPr>
          <w:sz w:val="20"/>
          <w:szCs w:val="20"/>
          <w:color w:val="auto"/>
        </w:rPr>
      </w:pPr>
    </w:p>
    <w:p>
      <w:pPr>
        <w:ind w:left="520" w:hanging="512"/>
        <w:spacing w:after="0"/>
        <w:tabs>
          <w:tab w:leader="none" w:pos="520" w:val="left"/>
        </w:tabs>
        <w:numPr>
          <w:ilvl w:val="0"/>
          <w:numId w:val="13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COMPANY PROPERTY</w:t>
      </w:r>
    </w:p>
    <w:p>
      <w:pPr>
        <w:spacing w:after="0" w:line="210"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1"/>
          <w:szCs w:val="21"/>
          <w:color w:val="auto"/>
        </w:rPr>
        <w:t>All apparatus, computers, computer files and media, notes, data, documents, reference materials, sketches, memoranda, records, drawings, engineering log books, equipment, lab/inventor notebooks, programs, prototypes, samples, equipment, tangible embodiments of information, and other physical property, whether or not pertaining to Confidential Information, furnished to the Participant or produced by the Participant or others in connection with the Participant’s employment, shall be and remain the sole property of the Company and any such property actually in the Participant’s possession or control shall be returned promptly to the Company as and when requested in writing by the Company. Should the Company not so request, the Participant shall return and deliver all such property to the Company upon termination of the Participant’s employment. The Participant may not retain any such property or any reproduction of such property upon such termination. The Participant further agrees that any property situated on the Company’s premises and owned, leased, maintained or otherwise contracted for by the Company, including, but not limited to, computers, computer files, e-mail, voicemail, disks and other electronic storage media, filing cabinets, desks or other work areas, are subject to inspection by the Company’s representatives at any time with or without notice.</w:t>
      </w:r>
    </w:p>
    <w:p>
      <w:pPr>
        <w:spacing w:after="0" w:line="173" w:lineRule="exact"/>
        <w:rPr>
          <w:sz w:val="20"/>
          <w:szCs w:val="20"/>
          <w:color w:val="auto"/>
        </w:rPr>
      </w:pPr>
    </w:p>
    <w:p>
      <w:pPr>
        <w:ind w:left="520" w:hanging="512"/>
        <w:spacing w:after="0"/>
        <w:tabs>
          <w:tab w:leader="none" w:pos="520" w:val="left"/>
        </w:tabs>
        <w:numPr>
          <w:ilvl w:val="0"/>
          <w:numId w:val="13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COMPANY WORK PRODUCT</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1"/>
          <w:szCs w:val="21"/>
          <w:color w:val="auto"/>
        </w:rPr>
        <w:t>Subject to Section 6 and 7 below, the Participant agrees that any Work Product, in whole or in part, conceived, developed, made or reduced to practice by the Participant (either solely or in conjunction with others) during the term of his or her employment with the Company (collectively, the “</w:t>
      </w:r>
      <w:r>
        <w:rPr>
          <w:rFonts w:ascii="Times New Roman" w:cs="Times New Roman" w:eastAsia="Times New Roman" w:hAnsi="Times New Roman"/>
          <w:sz w:val="21"/>
          <w:szCs w:val="21"/>
          <w:b w:val="1"/>
          <w:bCs w:val="1"/>
          <w:i w:val="1"/>
          <w:iCs w:val="1"/>
          <w:color w:val="auto"/>
        </w:rPr>
        <w:t>Company Work Product</w:t>
      </w:r>
      <w:r>
        <w:rPr>
          <w:rFonts w:ascii="Times New Roman" w:cs="Times New Roman" w:eastAsia="Times New Roman" w:hAnsi="Times New Roman"/>
          <w:sz w:val="21"/>
          <w:szCs w:val="21"/>
          <w:color w:val="auto"/>
        </w:rPr>
        <w:t>”) shall be owned exclusively by the Company (or, to the extent</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52" w:name="page153"/>
    <w:bookmarkEnd w:id="152"/>
    <w:p>
      <w:pPr>
        <w:spacing w:after="0" w:line="185"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1"/>
          <w:szCs w:val="21"/>
          <w:color w:val="auto"/>
        </w:rPr>
        <w:t>applicable, a Purchaser pursuant to an Acquisition). Without limiting the foregoing, the Participant agrees that any of the Company Work Product shall be deemed to be “works made for hire” as defined in U.S. Copyright Act §101, and all right, title, and interest therein shall vest solely in the Company from conception. The Participant hereby irrevocably assigns and transfers, and agrees to assign and transfer in the future on the Company’s request, to the Company all right, title and interest in and to any Company Work Product, including, but not limited to, patents, copyrights and other intellectual property rights therein. The Participant shall treat any such Company Work Product as Confidential Information. The Participant will execute all applications, assignments, instruments and other documents and perform all acts consistent herewith as the Company or its counsel may deem necessary or desirable to obtain, perfect or enforce any patents, copyright registrations or other protections on such Company Work Product and to otherwise protect the interests of the Company therein. The Participant’s obligation to reasonably assist the Company in obtaining and enforcing the intellectual property and other rights in the Company Work Product in any and all jurisdictions shall continue beyond the termination of the Participant’s employment. The Participant acknowledges that the Company may need to secure the Participant’s signature for lawful and necessary documents required to apply for, maintain or enforce intellectual property and other rights with respect to the Company Work Product (including, but not limited to, renewals, extensions, continuations, divisions or continuations in part of patent applications). The Participant hereby irrevocably designates and appoints the Company and its duly authorized officers and agents, as the Participant’s agents and attorneys-in-fact, to act for and on the Participant’s behalf and instead of the Participant, to execute and file any such document(s) and to do all other lawfully permitted acts to further the prosecution, issuance and enforcement of patents, copyright registrations and other protections on the Company Work Product with the same legal force and effect as if executed by the Participant. The Participant further hereby waives and relinquishes any and all moral rights that the Participant may have in the Company Work Product.</w:t>
      </w:r>
    </w:p>
    <w:p>
      <w:pPr>
        <w:spacing w:after="0" w:line="183" w:lineRule="exact"/>
        <w:rPr>
          <w:sz w:val="20"/>
          <w:szCs w:val="20"/>
          <w:color w:val="auto"/>
        </w:rPr>
      </w:pPr>
    </w:p>
    <w:p>
      <w:pPr>
        <w:ind w:left="520" w:hanging="512"/>
        <w:spacing w:after="0"/>
        <w:tabs>
          <w:tab w:leader="none" w:pos="520" w:val="left"/>
        </w:tabs>
        <w:numPr>
          <w:ilvl w:val="0"/>
          <w:numId w:val="13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EXCEPTION TO ASSIGNMENTS</w:t>
      </w:r>
    </w:p>
    <w:p>
      <w:pPr>
        <w:spacing w:after="0" w:line="21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Pursuant to Section 2870 of the California Labor Code, the requirements set forth in Section 5 of this Agreement shall not apply to an invention that the Participant develops entirely on his or her own time without using the Company’s equipment, supplies, facilities, or trade secret information except for those inventions that either: (i) relate at the time of conception or reduction to practice of the invention to the Company’s business, or actual or demonstrably anticipated research or development of the Company; or (ii) result from any work performed by the Participant for the Company.</w:t>
      </w:r>
    </w:p>
    <w:p>
      <w:pPr>
        <w:spacing w:after="0" w:line="173" w:lineRule="exact"/>
        <w:rPr>
          <w:sz w:val="20"/>
          <w:szCs w:val="20"/>
          <w:color w:val="auto"/>
        </w:rPr>
      </w:pPr>
    </w:p>
    <w:p>
      <w:pPr>
        <w:ind w:left="520" w:hanging="512"/>
        <w:spacing w:after="0"/>
        <w:tabs>
          <w:tab w:leader="none" w:pos="520" w:val="left"/>
        </w:tabs>
        <w:numPr>
          <w:ilvl w:val="0"/>
          <w:numId w:val="13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PRE-EMPLOYMENT WORK PRODUCT</w:t>
      </w:r>
    </w:p>
    <w:p>
      <w:pPr>
        <w:spacing w:after="0" w:line="210" w:lineRule="exact"/>
        <w:rPr>
          <w:rFonts w:ascii="Times New Roman" w:cs="Times New Roman" w:eastAsia="Times New Roman" w:hAnsi="Times New Roman"/>
          <w:sz w:val="22"/>
          <w:szCs w:val="22"/>
          <w:b w:val="1"/>
          <w:bCs w:val="1"/>
          <w:color w:val="auto"/>
        </w:rPr>
      </w:pPr>
    </w:p>
    <w:p>
      <w:pPr>
        <w:ind w:left="1020" w:hanging="263"/>
        <w:spacing w:after="0"/>
        <w:tabs>
          <w:tab w:leader="none" w:pos="1020" w:val="left"/>
        </w:tabs>
        <w:numPr>
          <w:ilvl w:val="1"/>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Work Product includes only things done for the Company in performing work for the Company.</w:t>
      </w:r>
    </w:p>
    <w:p>
      <w:pPr>
        <w:spacing w:after="0" w:line="206" w:lineRule="exact"/>
        <w:rPr>
          <w:sz w:val="20"/>
          <w:szCs w:val="20"/>
          <w:color w:val="auto"/>
        </w:rPr>
      </w:pPr>
    </w:p>
    <w:p>
      <w:pPr>
        <w:jc w:val="both"/>
        <w:ind w:right="80" w:firstLine="749"/>
        <w:spacing w:after="0" w:line="238" w:lineRule="auto"/>
        <w:rPr>
          <w:sz w:val="20"/>
          <w:szCs w:val="20"/>
          <w:color w:val="auto"/>
        </w:rPr>
      </w:pPr>
      <w:r>
        <w:rPr>
          <w:rFonts w:ascii="Times New Roman" w:cs="Times New Roman" w:eastAsia="Times New Roman" w:hAnsi="Times New Roman"/>
          <w:sz w:val="22"/>
          <w:szCs w:val="22"/>
          <w:color w:val="auto"/>
        </w:rPr>
        <w:t>(b)The Participant acknowledges that the Company has a strict policy against using proprietary information belonging to any other person or entity without the express permission of the owner of that information. The Participant represents and warrants that the Participant’s performance of all of the terms of this Confidentiality and Inventions Agreement and as an employee of the Company does not and will not result in a breach of any duty owed by the Participant to a third party to keep in confidence any information, knowledge or data. The</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3" w:name="page154"/>
    <w:bookmarkEnd w:id="153"/>
    <w:p>
      <w:pPr>
        <w:jc w:val="both"/>
        <w:ind w:right="80"/>
        <w:spacing w:after="0" w:line="238" w:lineRule="auto"/>
        <w:rPr>
          <w:sz w:val="20"/>
          <w:szCs w:val="20"/>
          <w:color w:val="auto"/>
        </w:rPr>
      </w:pPr>
      <w:r>
        <w:rPr>
          <w:rFonts w:ascii="Times New Roman" w:cs="Times New Roman" w:eastAsia="Times New Roman" w:hAnsi="Times New Roman"/>
          <w:sz w:val="22"/>
          <w:szCs w:val="22"/>
          <w:color w:val="auto"/>
        </w:rPr>
        <w:t>Participant has not brought or used, and will not bring to the Company, or use, induce the Company to use, or disclose in the performance of the Participant’s duties, nor has the Participant used or disclosed in the performance of any services for the Company prior to the effective date of the Participant’s employment with the Company (if any), any equipment, supplies, facility, electronic media, software, trade secret or other information or property of any former employer or any other person or entity, unless the Participant has obtained their written authorization for its possession and use.</w:t>
      </w:r>
    </w:p>
    <w:p>
      <w:pPr>
        <w:spacing w:after="0" w:line="173" w:lineRule="exact"/>
        <w:rPr>
          <w:sz w:val="20"/>
          <w:szCs w:val="20"/>
          <w:color w:val="auto"/>
        </w:rPr>
      </w:pPr>
    </w:p>
    <w:p>
      <w:pPr>
        <w:ind w:left="520" w:hanging="512"/>
        <w:spacing w:after="0"/>
        <w:tabs>
          <w:tab w:leader="none" w:pos="520" w:val="left"/>
        </w:tabs>
        <w:numPr>
          <w:ilvl w:val="0"/>
          <w:numId w:val="13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RECORDS</w:t>
      </w:r>
    </w:p>
    <w:p>
      <w:pPr>
        <w:spacing w:after="0" w:line="21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The Participant agrees that he or she will keep and maintain adequate and current written records (in the form of notes, sketches, drawings or such other form(s) as may be specified by the Company) of all the Company Work Product made by the Participant during the term of his or his or her employment with the Company, which records shall be available at all times to the Company and shall remain the sole property of the Company.</w:t>
      </w:r>
    </w:p>
    <w:p>
      <w:pPr>
        <w:spacing w:after="0" w:line="176" w:lineRule="exact"/>
        <w:rPr>
          <w:sz w:val="20"/>
          <w:szCs w:val="20"/>
          <w:color w:val="auto"/>
        </w:rPr>
      </w:pPr>
    </w:p>
    <w:p>
      <w:pPr>
        <w:ind w:left="520" w:hanging="512"/>
        <w:spacing w:after="0"/>
        <w:tabs>
          <w:tab w:leader="none" w:pos="520" w:val="left"/>
        </w:tabs>
        <w:numPr>
          <w:ilvl w:val="0"/>
          <w:numId w:val="13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PRESUMPTION</w:t>
      </w:r>
    </w:p>
    <w:p>
      <w:pPr>
        <w:spacing w:after="0" w:line="21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If any application for any United States or foreign patent related to or useful in the business of the Company or any customer of the Company shall be filed by or for the Participant during the period of one year after the Participant’s employment is terminated, the subject matter covered by such application shall be presumed to have been conceived during the Participant’s employment with the Company.</w:t>
      </w:r>
    </w:p>
    <w:p>
      <w:pPr>
        <w:spacing w:after="0" w:line="176" w:lineRule="exact"/>
        <w:rPr>
          <w:sz w:val="20"/>
          <w:szCs w:val="20"/>
          <w:color w:val="auto"/>
        </w:rPr>
      </w:pPr>
    </w:p>
    <w:p>
      <w:pPr>
        <w:ind w:left="520" w:hanging="512"/>
        <w:spacing w:after="0"/>
        <w:tabs>
          <w:tab w:leader="none" w:pos="520" w:val="left"/>
        </w:tabs>
        <w:numPr>
          <w:ilvl w:val="0"/>
          <w:numId w:val="13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AGREEMENTS WITH THIRD PARTIES OR THE U.S. GOVERNMENT.</w:t>
      </w:r>
    </w:p>
    <w:p>
      <w:pPr>
        <w:spacing w:after="0" w:line="21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Participant acknowledges that the Company from time to time may have agreements with other persons or entities, or with the U.S. Government or agencies thereof, which impose obligations or restrictions on the Company regarding inventions made during the course of work thereunder or regarding the confidential nature of such work. The Participant agrees to be bound by all such obligations and restrictions of which the Participant has been made aware of by the Company and to take all action necessary to discharge the obligations of the Company thereunder.</w:t>
      </w:r>
    </w:p>
    <w:p>
      <w:pPr>
        <w:spacing w:after="0" w:line="173" w:lineRule="exact"/>
        <w:rPr>
          <w:sz w:val="20"/>
          <w:szCs w:val="20"/>
          <w:color w:val="auto"/>
        </w:rPr>
      </w:pPr>
    </w:p>
    <w:p>
      <w:pPr>
        <w:ind w:left="520" w:hanging="512"/>
        <w:spacing w:after="0"/>
        <w:tabs>
          <w:tab w:leader="none" w:pos="520" w:val="left"/>
        </w:tabs>
        <w:numPr>
          <w:ilvl w:val="0"/>
          <w:numId w:val="13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INJUNCTIVE RELIEF</w:t>
      </w:r>
    </w:p>
    <w:p>
      <w:pPr>
        <w:spacing w:after="0" w:line="210"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Because of the unique nature of the Confidential Information and the Company Work Product, the Participant understands and agrees that the Company may suffer immediate and irreparable harm if the Participant fails to comply with any of his or her obligations under this Confidentiality and Inventions Agreement and that monetary damages may be inadequate to compensate the Company for such breach. Accordingly, the Participant agrees that in the event of a breach or threatened breach of this Confidentiality and Inventions Agreement, in addition to any other remedies available to it at law or in equity, the Company will be entitled, without posting bond or other security, to seek injunctive relief to enforce the terms of this Confidentiality and Inventions Agreement, including, but not limited to, restraining the Participant from violating this Confidentiality and Inventions Agreement or compelling the Participant to cease and desist all unauthorized use and disclosure of the Confidential Information and the Company Work Product. The Participant will indemnify the Company against any costs, including, but not limited to, reasonable outside legal fees and costs, incurred in obtaining relief against the Participant’s breach</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B-5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54" w:name="page155"/>
    <w:bookmarkEnd w:id="154"/>
    <w:p>
      <w:pPr>
        <w:spacing w:after="0" w:line="185"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of this Confidentiality and Inventions Agreement. Nothing in this Section 11 shall be construed as prohibiting the Company from pursuing any other remedies available to it for such breach or threatened breach, including, but not limited to, recovery of damages.</w:t>
      </w:r>
    </w:p>
    <w:p>
      <w:pPr>
        <w:spacing w:after="0" w:line="169" w:lineRule="exact"/>
        <w:rPr>
          <w:sz w:val="20"/>
          <w:szCs w:val="20"/>
          <w:color w:val="auto"/>
        </w:rPr>
      </w:pPr>
    </w:p>
    <w:p>
      <w:pPr>
        <w:ind w:left="520" w:hanging="512"/>
        <w:spacing w:after="0"/>
        <w:tabs>
          <w:tab w:leader="none" w:pos="520" w:val="left"/>
        </w:tabs>
        <w:numPr>
          <w:ilvl w:val="0"/>
          <w:numId w:val="14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DISCLOSURE OF OBLIGATIONS</w:t>
      </w:r>
    </w:p>
    <w:p>
      <w:pPr>
        <w:spacing w:after="0" w:line="21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The Participant is hereby permitted and the Participant authorizes the Company to provide a copy of this Confidentiality and Inventions Agreement and any exhibits hereto to any of the Participant’s future employers, and to notify any such future employers of the Participant’s obligations and the Company’s rights hereunder, provided that neither party is under any obligation to do so.</w:t>
      </w:r>
    </w:p>
    <w:p>
      <w:pPr>
        <w:spacing w:after="0" w:line="176" w:lineRule="exact"/>
        <w:rPr>
          <w:sz w:val="20"/>
          <w:szCs w:val="20"/>
          <w:color w:val="auto"/>
        </w:rPr>
      </w:pPr>
    </w:p>
    <w:p>
      <w:pPr>
        <w:ind w:left="520" w:hanging="512"/>
        <w:spacing w:after="0"/>
        <w:tabs>
          <w:tab w:leader="none" w:pos="520" w:val="left"/>
        </w:tabs>
        <w:numPr>
          <w:ilvl w:val="0"/>
          <w:numId w:val="14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JURISDICTION AND VENUE</w:t>
      </w:r>
    </w:p>
    <w:p>
      <w:pPr>
        <w:spacing w:after="0" w:line="21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This Confidentiality and Inventions Agreement will be governed by the laws of the State of California without regard to any conflicts-of-law rules. To the extent that any lawsuit is permitted under this Confidentiality and Inventions Agreement, the Participant hereby expressly consents to the personal and exclusive jurisdiction and venue of the state and federal courts located in San Diego, California for any lawsuit filed against the Participant by the Company. Nothing herein shall limit the right of the Company to seek and obtain injunctive relief in any jurisdiction for violation of the portions of this Confidentiality and Inventions Agreement dealing with protection of Confidential Information or the Company Work Product.</w:t>
      </w:r>
    </w:p>
    <w:p>
      <w:pPr>
        <w:spacing w:after="0" w:line="177" w:lineRule="exact"/>
        <w:rPr>
          <w:sz w:val="20"/>
          <w:szCs w:val="20"/>
          <w:color w:val="auto"/>
        </w:rPr>
      </w:pPr>
    </w:p>
    <w:p>
      <w:pPr>
        <w:ind w:left="520" w:hanging="512"/>
        <w:spacing w:after="0"/>
        <w:tabs>
          <w:tab w:leader="none" w:pos="520" w:val="left"/>
        </w:tabs>
        <w:numPr>
          <w:ilvl w:val="0"/>
          <w:numId w:val="14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ASSIGNMENT; INUREMENT</w:t>
      </w:r>
    </w:p>
    <w:p>
      <w:pPr>
        <w:spacing w:after="0" w:line="21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Neither this Confidentiality and Inventions Agreement nor any duties or obligations under this Confidentiality and Inventions Agreement may be assigned by the Participant without the prior written consent of the Company. The Participant understands and agrees that the Company may freely assign this Confidentiality and Inventions Agreement. This Agreement shall inure to the benefit of, and shall be binding upon, the permitted assigns, successors in interest (including any Purchaser upon consummation of an Acquisition), personal representatives, estates, heirs, and legatees of each of the parties hereto. Any assignment in violation of this Section 14 shall be null and void.</w:t>
      </w:r>
    </w:p>
    <w:p>
      <w:pPr>
        <w:spacing w:after="0" w:line="177" w:lineRule="exact"/>
        <w:rPr>
          <w:sz w:val="20"/>
          <w:szCs w:val="20"/>
          <w:color w:val="auto"/>
        </w:rPr>
      </w:pPr>
    </w:p>
    <w:p>
      <w:pPr>
        <w:ind w:left="520" w:hanging="512"/>
        <w:spacing w:after="0"/>
        <w:tabs>
          <w:tab w:leader="none" w:pos="520" w:val="left"/>
        </w:tabs>
        <w:numPr>
          <w:ilvl w:val="0"/>
          <w:numId w:val="14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SURVIVORSHIP</w:t>
      </w:r>
    </w:p>
    <w:p>
      <w:pPr>
        <w:spacing w:after="0" w:line="21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The rights and obligations of the parties to this Confidentiality and Inventions Agreement will survive termination of my employment with the Company.</w:t>
      </w:r>
    </w:p>
    <w:p>
      <w:pPr>
        <w:spacing w:after="0" w:line="154" w:lineRule="exact"/>
        <w:rPr>
          <w:sz w:val="20"/>
          <w:szCs w:val="20"/>
          <w:color w:val="auto"/>
        </w:rPr>
      </w:pPr>
    </w:p>
    <w:p>
      <w:pPr>
        <w:ind w:left="520" w:hanging="512"/>
        <w:spacing w:after="0"/>
        <w:tabs>
          <w:tab w:leader="none" w:pos="520" w:val="left"/>
        </w:tabs>
        <w:numPr>
          <w:ilvl w:val="0"/>
          <w:numId w:val="14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MISCELLANEOUS</w:t>
      </w:r>
    </w:p>
    <w:p>
      <w:pPr>
        <w:spacing w:after="0" w:line="21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In the event that any provision hereof or any obligation or grant of rights by the Participant hereunder is found invalid or unenforceable pursuant to judicial decree or decision, any such provision, obligation or grant of rights shall be deemed and construed to extend only to the maximum permitted by law, the invalid or unenforceable portions shall be severed, and the remainder of this Confidentiality and Inventions Agreement shall remain valid and enforceable according to its terms. This Confidentiality and Inventions Agreement may not be amended, waived or modified, except by an instrument in writing executed by the Participant and a duly authorized representative of the Company.</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B-6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5" w:name="page156"/>
    <w:bookmarkEnd w:id="155"/>
    <w:p>
      <w:pPr>
        <w:spacing w:after="0" w:line="181" w:lineRule="exact"/>
        <w:rPr>
          <w:sz w:val="20"/>
          <w:szCs w:val="20"/>
          <w:color w:val="auto"/>
        </w:rPr>
      </w:pPr>
    </w:p>
    <w:p>
      <w:pPr>
        <w:ind w:left="520" w:hanging="512"/>
        <w:spacing w:after="0"/>
        <w:tabs>
          <w:tab w:leader="none" w:pos="520" w:val="left"/>
        </w:tabs>
        <w:numPr>
          <w:ilvl w:val="0"/>
          <w:numId w:val="14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ACKNOWLEDGMENT</w:t>
      </w:r>
    </w:p>
    <w:p>
      <w:pPr>
        <w:spacing w:after="0" w:line="129"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EMPLOYEE ACKNOWLEDGES THAT, IN EXECUTING THE GRANT NOTICE TO WHICH THIS CONFIDENTIALITY AND INVENTIONS AGREEMENT IS ATTACHED, EMPLOYEE HAS HAD THE OPPORTUNITY TO SEEK THE ADVICE OF INDEPENDENT LEGAL COUNSEL, AND EMPLOYEE HAS READ AND UNDERSTOOD ALL OF THE TERMS AND PROVISIONS OF THIS CONFIDENTIALITY AND INVENTIONS AGREEMENT. THIS CONFIDENTIALITY AND INVENTIONS AGREEMENT SHALL NOT BE CONSTRUED AGAINST ANY PARTY BY REASON OF THE DRAFTING OR PREPARATION HEREOF.</w:t>
      </w:r>
    </w:p>
    <w:p>
      <w:pPr>
        <w:spacing w:after="0" w:line="200" w:lineRule="exact"/>
        <w:rPr>
          <w:sz w:val="20"/>
          <w:szCs w:val="20"/>
          <w:color w:val="auto"/>
        </w:rPr>
      </w:pPr>
    </w:p>
    <w:p>
      <w:pPr>
        <w:spacing w:after="0" w:line="38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B-7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156" w:name="page157"/>
    <w:bookmarkEnd w:id="156"/>
    <w:p>
      <w:pPr>
        <w:spacing w:after="0"/>
        <w:tabs>
          <w:tab w:leader="none" w:pos="5600" w:val="left"/>
        </w:tabs>
        <w:rPr>
          <w:sz w:val="20"/>
          <w:szCs w:val="20"/>
          <w:color w:val="auto"/>
        </w:rPr>
      </w:pPr>
      <w:r>
        <w:rPr>
          <w:rFonts w:ascii="Times New Roman" w:cs="Times New Roman" w:eastAsia="Times New Roman" w:hAnsi="Times New Roman"/>
          <w:sz w:val="22"/>
          <w:szCs w:val="22"/>
          <w:b w:val="1"/>
          <w:bCs w:val="1"/>
          <w:i w:val="1"/>
          <w:iCs w:val="1"/>
          <w:color w:val="auto"/>
        </w:rPr>
        <w:t>2026 Executive Form</w:t>
      </w:r>
      <w:r>
        <w:rPr>
          <w:sz w:val="20"/>
          <w:szCs w:val="20"/>
          <w:color w:val="auto"/>
        </w:rPr>
        <w:tab/>
      </w:r>
      <w:r>
        <w:rPr>
          <w:rFonts w:ascii="Times New Roman" w:cs="Times New Roman" w:eastAsia="Times New Roman" w:hAnsi="Times New Roman"/>
          <w:sz w:val="21"/>
          <w:szCs w:val="21"/>
          <w:b w:val="1"/>
          <w:bCs w:val="1"/>
          <w:i w:val="1"/>
          <w:iCs w:val="1"/>
          <w:color w:val="auto"/>
        </w:rPr>
        <w:t>Exhibit 10.43</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PETCO HEALTH AND WELLNESS COMPANY, INC.</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2021 EQUITY INCENTIVE PLAN</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GRANT NOTICE FOR</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PERFORMANCE STOCK UNIT AWARD</w:t>
      </w:r>
    </w:p>
    <w:p>
      <w:pPr>
        <w:spacing w:after="0" w:line="217"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FOR GOOD AND VALUABLE CONSIDERATION, Petco Health and Wellness Company, Inc.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hereby grants to the Participant named below the target number of performance stock units (the “</w:t>
      </w:r>
      <w:r>
        <w:rPr>
          <w:rFonts w:ascii="Times New Roman" w:cs="Times New Roman" w:eastAsia="Times New Roman" w:hAnsi="Times New Roman"/>
          <w:sz w:val="22"/>
          <w:szCs w:val="22"/>
          <w:b w:val="1"/>
          <w:bCs w:val="1"/>
          <w:i w:val="1"/>
          <w:iCs w:val="1"/>
          <w:color w:val="auto"/>
        </w:rPr>
        <w:t>PSUs</w:t>
      </w:r>
      <w:r>
        <w:rPr>
          <w:rFonts w:ascii="Times New Roman" w:cs="Times New Roman" w:eastAsia="Times New Roman" w:hAnsi="Times New Roman"/>
          <w:sz w:val="22"/>
          <w:szCs w:val="22"/>
          <w:color w:val="auto"/>
        </w:rPr>
        <w:t>”) specified below (the “</w:t>
      </w:r>
      <w:r>
        <w:rPr>
          <w:rFonts w:ascii="Times New Roman" w:cs="Times New Roman" w:eastAsia="Times New Roman" w:hAnsi="Times New Roman"/>
          <w:sz w:val="22"/>
          <w:szCs w:val="22"/>
          <w:b w:val="1"/>
          <w:bCs w:val="1"/>
          <w:i w:val="1"/>
          <w:iCs w:val="1"/>
          <w:color w:val="auto"/>
        </w:rPr>
        <w:t>Award</w:t>
      </w:r>
      <w:r>
        <w:rPr>
          <w:rFonts w:ascii="Times New Roman" w:cs="Times New Roman" w:eastAsia="Times New Roman" w:hAnsi="Times New Roman"/>
          <w:sz w:val="22"/>
          <w:szCs w:val="22"/>
          <w:color w:val="auto"/>
        </w:rPr>
        <w:t>”) as performance-based Restricted Stock Units under the Petco Health and Wellness Company, Inc. 2021 Equity Incentive Plan (as amended from time to time, the “</w:t>
      </w:r>
      <w:r>
        <w:rPr>
          <w:rFonts w:ascii="Times New Roman" w:cs="Times New Roman" w:eastAsia="Times New Roman" w:hAnsi="Times New Roman"/>
          <w:sz w:val="22"/>
          <w:szCs w:val="22"/>
          <w:b w:val="1"/>
          <w:bCs w:val="1"/>
          <w:i w:val="1"/>
          <w:iCs w:val="1"/>
          <w:color w:val="auto"/>
        </w:rPr>
        <w:t>Plan</w:t>
      </w:r>
      <w:r>
        <w:rPr>
          <w:rFonts w:ascii="Times New Roman" w:cs="Times New Roman" w:eastAsia="Times New Roman" w:hAnsi="Times New Roman"/>
          <w:sz w:val="22"/>
          <w:szCs w:val="22"/>
          <w:color w:val="auto"/>
        </w:rPr>
        <w:t xml:space="preserve">”). Each Earned PSU represents the right to receive one share of Common Stock, upon the terms and subject to the conditions set forth in this Grant Notice (including </w:t>
      </w:r>
      <w:r>
        <w:rPr>
          <w:rFonts w:ascii="Times New Roman" w:cs="Times New Roman" w:eastAsia="Times New Roman" w:hAnsi="Times New Roman"/>
          <w:sz w:val="22"/>
          <w:szCs w:val="22"/>
          <w:u w:val="single" w:color="auto"/>
          <w:color w:val="auto"/>
        </w:rPr>
        <w:t>Exhibit C</w:t>
      </w:r>
      <w:r>
        <w:rPr>
          <w:rFonts w:ascii="Times New Roman" w:cs="Times New Roman" w:eastAsia="Times New Roman" w:hAnsi="Times New Roman"/>
          <w:sz w:val="22"/>
          <w:szCs w:val="22"/>
          <w:color w:val="auto"/>
        </w:rPr>
        <w:t>), the Plan and the Standard Terms and Conditions (the “</w:t>
      </w:r>
      <w:r>
        <w:rPr>
          <w:rFonts w:ascii="Times New Roman" w:cs="Times New Roman" w:eastAsia="Times New Roman" w:hAnsi="Times New Roman"/>
          <w:sz w:val="22"/>
          <w:szCs w:val="22"/>
          <w:b w:val="1"/>
          <w:bCs w:val="1"/>
          <w:i w:val="1"/>
          <w:iCs w:val="1"/>
          <w:color w:val="auto"/>
        </w:rPr>
        <w:t>Standard Terms and Conditions</w:t>
      </w:r>
      <w:r>
        <w:rPr>
          <w:rFonts w:ascii="Times New Roman" w:cs="Times New Roman" w:eastAsia="Times New Roman" w:hAnsi="Times New Roman"/>
          <w:sz w:val="22"/>
          <w:szCs w:val="22"/>
          <w:color w:val="auto"/>
        </w:rPr>
        <w:t xml:space="preserve">”) promulgated under such Plan and attached hereto as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and the Confidentiality and Inventions Agreement attached hereto as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 This Award is granted pursuant to the Plan and is subject to and qualified in its entirety by the Standard Terms and Conditions. Capitalized terms not otherwise defined herein shall have the meanings set forth in the Plan.</w:t>
      </w:r>
    </w:p>
    <w:p>
      <w:pPr>
        <w:spacing w:after="0" w:line="184" w:lineRule="exact"/>
        <w:rPr>
          <w:sz w:val="20"/>
          <w:szCs w:val="20"/>
          <w:color w:val="auto"/>
        </w:rPr>
      </w:pPr>
    </w:p>
    <w:tbl>
      <w:tblPr>
        <w:tblLayout w:type="fixed"/>
        <w:tblInd w:w="10" w:type="dxa"/>
        <w:tblCellMar>
          <w:top w:w="0" w:type="dxa"/>
          <w:left w:w="0" w:type="dxa"/>
          <w:bottom w:w="0" w:type="dxa"/>
          <w:right w:w="0" w:type="dxa"/>
        </w:tblCellMar>
      </w:tblPr>
      <w:tr>
        <w:trPr>
          <w:trHeight w:val="380"/>
        </w:trPr>
        <w:tc>
          <w:tcPr>
            <w:tcW w:w="268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Name of Participant:</w:t>
            </w:r>
          </w:p>
        </w:tc>
        <w:tc>
          <w:tcPr>
            <w:tcW w:w="360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3920" w:type="dxa"/>
            <w:vAlign w:val="bottom"/>
            <w:tcBorders>
              <w:top w:val="single" w:sz="8" w:color="auto"/>
              <w:right w:val="single" w:sz="8" w:color="auto"/>
            </w:tcBorders>
          </w:tcPr>
          <w:p>
            <w:pPr>
              <w:spacing w:after="0"/>
              <w:rPr>
                <w:sz w:val="24"/>
                <w:szCs w:val="24"/>
                <w:color w:val="auto"/>
              </w:rPr>
            </w:pPr>
          </w:p>
        </w:tc>
      </w:tr>
      <w:tr>
        <w:trPr>
          <w:trHeight w:val="93"/>
        </w:trPr>
        <w:tc>
          <w:tcPr>
            <w:tcW w:w="2680" w:type="dxa"/>
            <w:vAlign w:val="bottom"/>
            <w:tcBorders>
              <w:left w:val="single" w:sz="8" w:color="auto"/>
              <w:bottom w:val="single" w:sz="8" w:color="auto"/>
              <w:right w:val="single" w:sz="8" w:color="auto"/>
            </w:tcBorders>
          </w:tcPr>
          <w:p>
            <w:pPr>
              <w:spacing w:after="0"/>
              <w:rPr>
                <w:sz w:val="8"/>
                <w:szCs w:val="8"/>
                <w:color w:val="auto"/>
              </w:rPr>
            </w:pPr>
          </w:p>
        </w:tc>
        <w:tc>
          <w:tcPr>
            <w:tcW w:w="36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3920" w:type="dxa"/>
            <w:vAlign w:val="bottom"/>
            <w:tcBorders>
              <w:bottom w:val="single" w:sz="8" w:color="auto"/>
              <w:right w:val="single" w:sz="8" w:color="auto"/>
            </w:tcBorders>
          </w:tcPr>
          <w:p>
            <w:pPr>
              <w:spacing w:after="0"/>
              <w:rPr>
                <w:sz w:val="8"/>
                <w:szCs w:val="8"/>
                <w:color w:val="auto"/>
              </w:rPr>
            </w:pPr>
          </w:p>
        </w:tc>
      </w:tr>
      <w:tr>
        <w:trPr>
          <w:trHeight w:val="360"/>
        </w:trPr>
        <w:tc>
          <w:tcPr>
            <w:tcW w:w="26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Grant Date:</w:t>
            </w:r>
          </w:p>
        </w:tc>
        <w:tc>
          <w:tcPr>
            <w:tcW w:w="3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920" w:type="dxa"/>
            <w:vAlign w:val="bottom"/>
            <w:tcBorders>
              <w:right w:val="single" w:sz="8" w:color="auto"/>
            </w:tcBorders>
          </w:tcPr>
          <w:p>
            <w:pPr>
              <w:spacing w:after="0"/>
              <w:rPr>
                <w:sz w:val="24"/>
                <w:szCs w:val="24"/>
                <w:color w:val="auto"/>
              </w:rPr>
            </w:pPr>
          </w:p>
        </w:tc>
      </w:tr>
      <w:tr>
        <w:trPr>
          <w:trHeight w:val="96"/>
        </w:trPr>
        <w:tc>
          <w:tcPr>
            <w:tcW w:w="2680" w:type="dxa"/>
            <w:vAlign w:val="bottom"/>
            <w:tcBorders>
              <w:left w:val="single" w:sz="8" w:color="auto"/>
              <w:bottom w:val="single" w:sz="8" w:color="auto"/>
              <w:right w:val="single" w:sz="8" w:color="auto"/>
            </w:tcBorders>
          </w:tcPr>
          <w:p>
            <w:pPr>
              <w:spacing w:after="0"/>
              <w:rPr>
                <w:sz w:val="8"/>
                <w:szCs w:val="8"/>
                <w:color w:val="auto"/>
              </w:rPr>
            </w:pPr>
          </w:p>
        </w:tc>
        <w:tc>
          <w:tcPr>
            <w:tcW w:w="36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3920" w:type="dxa"/>
            <w:vAlign w:val="bottom"/>
            <w:tcBorders>
              <w:bottom w:val="single" w:sz="8" w:color="auto"/>
              <w:right w:val="single" w:sz="8" w:color="auto"/>
            </w:tcBorders>
          </w:tcPr>
          <w:p>
            <w:pPr>
              <w:spacing w:after="0"/>
              <w:rPr>
                <w:sz w:val="8"/>
                <w:szCs w:val="8"/>
                <w:color w:val="auto"/>
              </w:rPr>
            </w:pPr>
          </w:p>
        </w:tc>
      </w:tr>
      <w:tr>
        <w:trPr>
          <w:trHeight w:val="357"/>
        </w:trPr>
        <w:tc>
          <w:tcPr>
            <w:tcW w:w="26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Target Number of PSUs:</w:t>
            </w:r>
          </w:p>
        </w:tc>
        <w:tc>
          <w:tcPr>
            <w:tcW w:w="8560" w:type="dxa"/>
            <w:vAlign w:val="bottom"/>
            <w:tcBorders>
              <w:right w:val="single" w:sz="8" w:color="auto"/>
            </w:tcBorders>
            <w:gridSpan w:val="5"/>
          </w:tcPr>
          <w:p>
            <w:pPr>
              <w:ind w:left="80"/>
              <w:spacing w:after="0"/>
              <w:rPr>
                <w:sz w:val="20"/>
                <w:szCs w:val="20"/>
                <w:color w:val="auto"/>
              </w:rPr>
            </w:pPr>
            <w:r>
              <w:rPr>
                <w:rFonts w:ascii="Times New Roman" w:cs="Times New Roman" w:eastAsia="Times New Roman" w:hAnsi="Times New Roman"/>
                <w:sz w:val="22"/>
                <w:szCs w:val="22"/>
                <w:color w:val="auto"/>
              </w:rPr>
              <w:t>[●] (the “</w:t>
            </w:r>
            <w:r>
              <w:rPr>
                <w:rFonts w:ascii="Times New Roman" w:cs="Times New Roman" w:eastAsia="Times New Roman" w:hAnsi="Times New Roman"/>
                <w:sz w:val="22"/>
                <w:szCs w:val="22"/>
                <w:b w:val="1"/>
                <w:bCs w:val="1"/>
                <w:i w:val="1"/>
                <w:iCs w:val="1"/>
                <w:color w:val="auto"/>
              </w:rPr>
              <w:t>Target PSUs</w:t>
            </w:r>
            <w:r>
              <w:rPr>
                <w:rFonts w:ascii="Times New Roman" w:cs="Times New Roman" w:eastAsia="Times New Roman" w:hAnsi="Times New Roman"/>
                <w:sz w:val="22"/>
                <w:szCs w:val="22"/>
                <w:color w:val="auto"/>
              </w:rPr>
              <w:t>”)</w:t>
            </w:r>
          </w:p>
        </w:tc>
      </w:tr>
      <w:tr>
        <w:trPr>
          <w:trHeight w:val="96"/>
        </w:trPr>
        <w:tc>
          <w:tcPr>
            <w:tcW w:w="2680" w:type="dxa"/>
            <w:vAlign w:val="bottom"/>
            <w:tcBorders>
              <w:left w:val="single" w:sz="8" w:color="auto"/>
              <w:bottom w:val="single" w:sz="8" w:color="auto"/>
              <w:right w:val="single" w:sz="8" w:color="auto"/>
            </w:tcBorders>
          </w:tcPr>
          <w:p>
            <w:pPr>
              <w:spacing w:after="0"/>
              <w:rPr>
                <w:sz w:val="8"/>
                <w:szCs w:val="8"/>
                <w:color w:val="auto"/>
              </w:rPr>
            </w:pPr>
          </w:p>
        </w:tc>
        <w:tc>
          <w:tcPr>
            <w:tcW w:w="36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3920" w:type="dxa"/>
            <w:vAlign w:val="bottom"/>
            <w:tcBorders>
              <w:bottom w:val="single" w:sz="8" w:color="auto"/>
              <w:right w:val="single" w:sz="8" w:color="auto"/>
            </w:tcBorders>
          </w:tcPr>
          <w:p>
            <w:pPr>
              <w:spacing w:after="0"/>
              <w:rPr>
                <w:sz w:val="8"/>
                <w:szCs w:val="8"/>
                <w:color w:val="auto"/>
              </w:rPr>
            </w:pPr>
          </w:p>
        </w:tc>
      </w:tr>
      <w:tr>
        <w:trPr>
          <w:trHeight w:val="317"/>
        </w:trPr>
        <w:tc>
          <w:tcPr>
            <w:tcW w:w="26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Award Type:</w:t>
            </w:r>
          </w:p>
        </w:tc>
        <w:tc>
          <w:tcPr>
            <w:tcW w:w="8560" w:type="dxa"/>
            <w:vAlign w:val="bottom"/>
            <w:tcBorders>
              <w:right w:val="single" w:sz="8" w:color="auto"/>
            </w:tcBorders>
            <w:gridSpan w:val="5"/>
          </w:tcPr>
          <w:p>
            <w:pPr>
              <w:ind w:left="80"/>
              <w:spacing w:after="0"/>
              <w:rPr>
                <w:sz w:val="20"/>
                <w:szCs w:val="20"/>
                <w:color w:val="auto"/>
              </w:rPr>
            </w:pPr>
            <w:r>
              <w:rPr>
                <w:rFonts w:ascii="Times New Roman" w:cs="Times New Roman" w:eastAsia="Times New Roman" w:hAnsi="Times New Roman"/>
                <w:sz w:val="22"/>
                <w:szCs w:val="22"/>
                <w:color w:val="auto"/>
              </w:rPr>
              <w:t>The Award represents the right to receive shares of Common Stock in an amount from [●]% to</w:t>
            </w:r>
          </w:p>
        </w:tc>
      </w:tr>
      <w:tr>
        <w:trPr>
          <w:trHeight w:val="243"/>
        </w:trPr>
        <w:tc>
          <w:tcPr>
            <w:tcW w:w="2680" w:type="dxa"/>
            <w:vAlign w:val="bottom"/>
            <w:tcBorders>
              <w:left w:val="single" w:sz="8" w:color="auto"/>
              <w:right w:val="single" w:sz="8" w:color="auto"/>
            </w:tcBorders>
          </w:tcPr>
          <w:p>
            <w:pPr>
              <w:spacing w:after="0"/>
              <w:rPr>
                <w:sz w:val="21"/>
                <w:szCs w:val="21"/>
                <w:color w:val="auto"/>
              </w:rPr>
            </w:pPr>
          </w:p>
        </w:tc>
        <w:tc>
          <w:tcPr>
            <w:tcW w:w="8560" w:type="dxa"/>
            <w:vAlign w:val="bottom"/>
            <w:tcBorders>
              <w:right w:val="single" w:sz="8" w:color="auto"/>
            </w:tcBorders>
            <w:gridSpan w:val="5"/>
          </w:tcPr>
          <w:p>
            <w:pPr>
              <w:ind w:left="80"/>
              <w:spacing w:after="0" w:line="243" w:lineRule="exact"/>
              <w:rPr>
                <w:sz w:val="20"/>
                <w:szCs w:val="20"/>
                <w:color w:val="auto"/>
              </w:rPr>
            </w:pPr>
            <w:r>
              <w:rPr>
                <w:rFonts w:ascii="Times New Roman" w:cs="Times New Roman" w:eastAsia="Times New Roman" w:hAnsi="Times New Roman"/>
                <w:sz w:val="22"/>
                <w:szCs w:val="22"/>
                <w:color w:val="auto"/>
              </w:rPr>
              <w:t>[●]% of the Target PSUs. The Award shall vest and become earned and nonforfeitable upon (i)</w:t>
            </w:r>
          </w:p>
        </w:tc>
      </w:tr>
      <w:tr>
        <w:trPr>
          <w:trHeight w:val="243"/>
        </w:trPr>
        <w:tc>
          <w:tcPr>
            <w:tcW w:w="2680" w:type="dxa"/>
            <w:vAlign w:val="bottom"/>
            <w:tcBorders>
              <w:left w:val="single" w:sz="8" w:color="auto"/>
              <w:right w:val="single" w:sz="8" w:color="auto"/>
            </w:tcBorders>
          </w:tcPr>
          <w:p>
            <w:pPr>
              <w:spacing w:after="0"/>
              <w:rPr>
                <w:sz w:val="21"/>
                <w:szCs w:val="21"/>
                <w:color w:val="auto"/>
              </w:rPr>
            </w:pPr>
          </w:p>
        </w:tc>
        <w:tc>
          <w:tcPr>
            <w:tcW w:w="8560" w:type="dxa"/>
            <w:vAlign w:val="bottom"/>
            <w:tcBorders>
              <w:right w:val="single" w:sz="8" w:color="auto"/>
            </w:tcBorders>
            <w:gridSpan w:val="5"/>
          </w:tcPr>
          <w:p>
            <w:pPr>
              <w:ind w:left="80"/>
              <w:spacing w:after="0" w:line="243" w:lineRule="exact"/>
              <w:rPr>
                <w:sz w:val="20"/>
                <w:szCs w:val="20"/>
                <w:color w:val="auto"/>
              </w:rPr>
            </w:pPr>
            <w:r>
              <w:rPr>
                <w:rFonts w:ascii="Times New Roman" w:cs="Times New Roman" w:eastAsia="Times New Roman" w:hAnsi="Times New Roman"/>
                <w:sz w:val="22"/>
                <w:szCs w:val="22"/>
                <w:color w:val="auto"/>
              </w:rPr>
              <w:t>the Participant’s satisfaction of the Service Requirement (as defined below) and (ii) the</w:t>
            </w:r>
          </w:p>
        </w:tc>
      </w:tr>
      <w:tr>
        <w:trPr>
          <w:trHeight w:val="243"/>
        </w:trPr>
        <w:tc>
          <w:tcPr>
            <w:tcW w:w="2680" w:type="dxa"/>
            <w:vAlign w:val="bottom"/>
            <w:tcBorders>
              <w:left w:val="single" w:sz="8" w:color="auto"/>
              <w:right w:val="single" w:sz="8" w:color="auto"/>
            </w:tcBorders>
          </w:tcPr>
          <w:p>
            <w:pPr>
              <w:spacing w:after="0"/>
              <w:rPr>
                <w:sz w:val="21"/>
                <w:szCs w:val="21"/>
                <w:color w:val="auto"/>
              </w:rPr>
            </w:pPr>
          </w:p>
        </w:tc>
        <w:tc>
          <w:tcPr>
            <w:tcW w:w="8560" w:type="dxa"/>
            <w:vAlign w:val="bottom"/>
            <w:tcBorders>
              <w:right w:val="single" w:sz="8" w:color="auto"/>
            </w:tcBorders>
            <w:gridSpan w:val="5"/>
          </w:tcPr>
          <w:p>
            <w:pPr>
              <w:ind w:left="80"/>
              <w:spacing w:after="0" w:line="243" w:lineRule="exact"/>
              <w:rPr>
                <w:sz w:val="20"/>
                <w:szCs w:val="20"/>
                <w:color w:val="auto"/>
              </w:rPr>
            </w:pPr>
            <w:r>
              <w:rPr>
                <w:rFonts w:ascii="Times New Roman" w:cs="Times New Roman" w:eastAsia="Times New Roman" w:hAnsi="Times New Roman"/>
                <w:sz w:val="22"/>
                <w:szCs w:val="22"/>
                <w:color w:val="auto"/>
              </w:rPr>
              <w:t>Committee’s certification of the final level of achievement of the Performance Goal (as defined</w:t>
            </w:r>
          </w:p>
        </w:tc>
      </w:tr>
      <w:tr>
        <w:trPr>
          <w:trHeight w:val="237"/>
        </w:trPr>
        <w:tc>
          <w:tcPr>
            <w:tcW w:w="2680" w:type="dxa"/>
            <w:vAlign w:val="bottom"/>
            <w:tcBorders>
              <w:left w:val="single" w:sz="8" w:color="auto"/>
              <w:right w:val="single" w:sz="8" w:color="auto"/>
            </w:tcBorders>
          </w:tcPr>
          <w:p>
            <w:pPr>
              <w:spacing w:after="0"/>
              <w:rPr>
                <w:sz w:val="20"/>
                <w:szCs w:val="20"/>
                <w:color w:val="auto"/>
              </w:rPr>
            </w:pPr>
          </w:p>
        </w:tc>
        <w:tc>
          <w:tcPr>
            <w:tcW w:w="8560" w:type="dxa"/>
            <w:vAlign w:val="bottom"/>
            <w:tcBorders>
              <w:right w:val="single" w:sz="8" w:color="auto"/>
            </w:tcBorders>
            <w:gridSpan w:val="5"/>
          </w:tcPr>
          <w:p>
            <w:pPr>
              <w:ind w:left="80"/>
              <w:spacing w:after="0" w:line="237" w:lineRule="exact"/>
              <w:rPr>
                <w:sz w:val="20"/>
                <w:szCs w:val="20"/>
                <w:color w:val="auto"/>
              </w:rPr>
            </w:pPr>
            <w:r>
              <w:rPr>
                <w:rFonts w:ascii="Times New Roman" w:cs="Times New Roman" w:eastAsia="Times New Roman" w:hAnsi="Times New Roman"/>
                <w:sz w:val="22"/>
                <w:szCs w:val="22"/>
                <w:color w:val="auto"/>
              </w:rPr>
              <w:t>below). PSUs that become earned upon satisfaction of the Service Requirement and the</w:t>
            </w:r>
          </w:p>
        </w:tc>
      </w:tr>
      <w:tr>
        <w:trPr>
          <w:trHeight w:val="288"/>
        </w:trPr>
        <w:tc>
          <w:tcPr>
            <w:tcW w:w="2680" w:type="dxa"/>
            <w:vAlign w:val="bottom"/>
            <w:tcBorders>
              <w:left w:val="single" w:sz="8" w:color="auto"/>
              <w:right w:val="single" w:sz="8" w:color="auto"/>
            </w:tcBorders>
          </w:tcPr>
          <w:p>
            <w:pPr>
              <w:spacing w:after="0"/>
              <w:rPr>
                <w:sz w:val="24"/>
                <w:szCs w:val="24"/>
                <w:color w:val="auto"/>
              </w:rPr>
            </w:pPr>
          </w:p>
        </w:tc>
        <w:tc>
          <w:tcPr>
            <w:tcW w:w="8560" w:type="dxa"/>
            <w:vAlign w:val="bottom"/>
            <w:tcBorders>
              <w:right w:val="single" w:sz="8" w:color="auto"/>
            </w:tcBorders>
            <w:gridSpan w:val="5"/>
          </w:tcPr>
          <w:p>
            <w:pPr>
              <w:ind w:left="80"/>
              <w:spacing w:after="0"/>
              <w:rPr>
                <w:sz w:val="20"/>
                <w:szCs w:val="20"/>
                <w:color w:val="auto"/>
              </w:rPr>
            </w:pPr>
            <w:r>
              <w:rPr>
                <w:rFonts w:ascii="Times New Roman" w:cs="Times New Roman" w:eastAsia="Times New Roman" w:hAnsi="Times New Roman"/>
                <w:sz w:val="22"/>
                <w:szCs w:val="22"/>
                <w:color w:val="auto"/>
              </w:rPr>
              <w:t>Performance Goal are referred to herein as “</w:t>
            </w:r>
            <w:r>
              <w:rPr>
                <w:rFonts w:ascii="Times New Roman" w:cs="Times New Roman" w:eastAsia="Times New Roman" w:hAnsi="Times New Roman"/>
                <w:sz w:val="22"/>
                <w:szCs w:val="22"/>
                <w:b w:val="1"/>
                <w:bCs w:val="1"/>
                <w:i w:val="1"/>
                <w:iCs w:val="1"/>
                <w:color w:val="auto"/>
              </w:rPr>
              <w:t>Earned PSUs</w:t>
            </w:r>
            <w:r>
              <w:rPr>
                <w:rFonts w:ascii="Times New Roman" w:cs="Times New Roman" w:eastAsia="Times New Roman" w:hAnsi="Times New Roman"/>
                <w:sz w:val="22"/>
                <w:szCs w:val="22"/>
                <w:color w:val="auto"/>
              </w:rPr>
              <w:t>.”</w:t>
            </w:r>
          </w:p>
        </w:tc>
      </w:tr>
      <w:tr>
        <w:trPr>
          <w:trHeight w:val="96"/>
        </w:trPr>
        <w:tc>
          <w:tcPr>
            <w:tcW w:w="2680" w:type="dxa"/>
            <w:vAlign w:val="bottom"/>
            <w:tcBorders>
              <w:left w:val="single" w:sz="8" w:color="auto"/>
              <w:bottom w:val="single" w:sz="8" w:color="auto"/>
              <w:right w:val="single" w:sz="8" w:color="auto"/>
            </w:tcBorders>
          </w:tcPr>
          <w:p>
            <w:pPr>
              <w:spacing w:after="0"/>
              <w:rPr>
                <w:sz w:val="8"/>
                <w:szCs w:val="8"/>
                <w:color w:val="auto"/>
              </w:rPr>
            </w:pPr>
          </w:p>
        </w:tc>
        <w:tc>
          <w:tcPr>
            <w:tcW w:w="36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3920" w:type="dxa"/>
            <w:vAlign w:val="bottom"/>
            <w:tcBorders>
              <w:bottom w:val="single" w:sz="8" w:color="auto"/>
              <w:right w:val="single" w:sz="8" w:color="auto"/>
            </w:tcBorders>
          </w:tcPr>
          <w:p>
            <w:pPr>
              <w:spacing w:after="0"/>
              <w:rPr>
                <w:sz w:val="8"/>
                <w:szCs w:val="8"/>
                <w:color w:val="auto"/>
              </w:rPr>
            </w:pPr>
          </w:p>
        </w:tc>
      </w:tr>
      <w:tr>
        <w:trPr>
          <w:trHeight w:val="356"/>
        </w:trPr>
        <w:tc>
          <w:tcPr>
            <w:tcW w:w="26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Performance Period:</w:t>
            </w:r>
          </w:p>
        </w:tc>
        <w:tc>
          <w:tcPr>
            <w:tcW w:w="3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920" w:type="dxa"/>
            <w:vAlign w:val="bottom"/>
            <w:tcBorders>
              <w:right w:val="single" w:sz="8" w:color="auto"/>
            </w:tcBorders>
          </w:tcPr>
          <w:p>
            <w:pPr>
              <w:spacing w:after="0"/>
              <w:rPr>
                <w:sz w:val="24"/>
                <w:szCs w:val="24"/>
                <w:color w:val="auto"/>
              </w:rPr>
            </w:pPr>
          </w:p>
        </w:tc>
      </w:tr>
      <w:tr>
        <w:trPr>
          <w:trHeight w:val="96"/>
        </w:trPr>
        <w:tc>
          <w:tcPr>
            <w:tcW w:w="2680" w:type="dxa"/>
            <w:vAlign w:val="bottom"/>
            <w:tcBorders>
              <w:left w:val="single" w:sz="8" w:color="auto"/>
              <w:bottom w:val="single" w:sz="8" w:color="auto"/>
              <w:right w:val="single" w:sz="8" w:color="auto"/>
            </w:tcBorders>
          </w:tcPr>
          <w:p>
            <w:pPr>
              <w:spacing w:after="0"/>
              <w:rPr>
                <w:sz w:val="8"/>
                <w:szCs w:val="8"/>
                <w:color w:val="auto"/>
              </w:rPr>
            </w:pPr>
          </w:p>
        </w:tc>
        <w:tc>
          <w:tcPr>
            <w:tcW w:w="36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3920" w:type="dxa"/>
            <w:vAlign w:val="bottom"/>
            <w:tcBorders>
              <w:bottom w:val="single" w:sz="8" w:color="auto"/>
              <w:right w:val="single" w:sz="8" w:color="auto"/>
            </w:tcBorders>
          </w:tcPr>
          <w:p>
            <w:pPr>
              <w:spacing w:after="0"/>
              <w:rPr>
                <w:sz w:val="8"/>
                <w:szCs w:val="8"/>
                <w:color w:val="auto"/>
              </w:rPr>
            </w:pPr>
          </w:p>
        </w:tc>
      </w:tr>
      <w:tr>
        <w:trPr>
          <w:trHeight w:val="304"/>
        </w:trPr>
        <w:tc>
          <w:tcPr>
            <w:tcW w:w="26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Service Requirement:</w:t>
            </w:r>
          </w:p>
        </w:tc>
        <w:tc>
          <w:tcPr>
            <w:tcW w:w="8560" w:type="dxa"/>
            <w:vAlign w:val="bottom"/>
            <w:tcBorders>
              <w:right w:val="single" w:sz="8" w:color="auto"/>
            </w:tcBorders>
            <w:gridSpan w:val="5"/>
          </w:tcPr>
          <w:p>
            <w:pPr>
              <w:ind w:left="80"/>
              <w:spacing w:after="0"/>
              <w:rPr>
                <w:sz w:val="20"/>
                <w:szCs w:val="20"/>
                <w:color w:val="auto"/>
              </w:rPr>
            </w:pPr>
            <w:r>
              <w:rPr>
                <w:rFonts w:ascii="Times New Roman" w:cs="Times New Roman" w:eastAsia="Times New Roman" w:hAnsi="Times New Roman"/>
                <w:sz w:val="22"/>
                <w:szCs w:val="22"/>
                <w:color w:val="auto"/>
              </w:rPr>
              <w:t>The “</w:t>
            </w:r>
            <w:r>
              <w:rPr>
                <w:rFonts w:ascii="Times New Roman" w:cs="Times New Roman" w:eastAsia="Times New Roman" w:hAnsi="Times New Roman"/>
                <w:sz w:val="22"/>
                <w:szCs w:val="22"/>
                <w:b w:val="1"/>
                <w:bCs w:val="1"/>
                <w:i w:val="1"/>
                <w:iCs w:val="1"/>
                <w:color w:val="auto"/>
              </w:rPr>
              <w:t>Service Requirement</w:t>
            </w:r>
            <w:r>
              <w:rPr>
                <w:rFonts w:ascii="Times New Roman" w:cs="Times New Roman" w:eastAsia="Times New Roman" w:hAnsi="Times New Roman"/>
                <w:sz w:val="22"/>
                <w:szCs w:val="22"/>
                <w:color w:val="auto"/>
              </w:rPr>
              <w:t>” is set forth on Exhibit C attached hereto.</w:t>
            </w:r>
          </w:p>
        </w:tc>
      </w:tr>
      <w:tr>
        <w:trPr>
          <w:trHeight w:val="155"/>
        </w:trPr>
        <w:tc>
          <w:tcPr>
            <w:tcW w:w="2680" w:type="dxa"/>
            <w:vAlign w:val="bottom"/>
            <w:tcBorders>
              <w:left w:val="single" w:sz="8" w:color="auto"/>
              <w:bottom w:val="single" w:sz="8" w:color="auto"/>
              <w:right w:val="single" w:sz="8" w:color="auto"/>
            </w:tcBorders>
          </w:tcPr>
          <w:p>
            <w:pPr>
              <w:spacing w:after="0"/>
              <w:rPr>
                <w:sz w:val="13"/>
                <w:szCs w:val="13"/>
                <w:color w:val="auto"/>
              </w:rPr>
            </w:pPr>
          </w:p>
        </w:tc>
        <w:tc>
          <w:tcPr>
            <w:tcW w:w="36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3920" w:type="dxa"/>
            <w:vAlign w:val="bottom"/>
            <w:tcBorders>
              <w:bottom w:val="single" w:sz="8" w:color="auto"/>
              <w:right w:val="single" w:sz="8" w:color="auto"/>
            </w:tcBorders>
          </w:tcPr>
          <w:p>
            <w:pPr>
              <w:spacing w:after="0"/>
              <w:rPr>
                <w:sz w:val="13"/>
                <w:szCs w:val="13"/>
                <w:color w:val="auto"/>
              </w:rPr>
            </w:pPr>
          </w:p>
        </w:tc>
      </w:tr>
      <w:tr>
        <w:trPr>
          <w:trHeight w:val="304"/>
        </w:trPr>
        <w:tc>
          <w:tcPr>
            <w:tcW w:w="26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Performance Goal:</w:t>
            </w:r>
          </w:p>
        </w:tc>
        <w:tc>
          <w:tcPr>
            <w:tcW w:w="8560" w:type="dxa"/>
            <w:vAlign w:val="bottom"/>
            <w:tcBorders>
              <w:right w:val="single" w:sz="8" w:color="auto"/>
            </w:tcBorders>
            <w:gridSpan w:val="5"/>
          </w:tcPr>
          <w:p>
            <w:pPr>
              <w:ind w:left="80"/>
              <w:spacing w:after="0"/>
              <w:rPr>
                <w:sz w:val="20"/>
                <w:szCs w:val="20"/>
                <w:color w:val="auto"/>
              </w:rPr>
            </w:pPr>
            <w:r>
              <w:rPr>
                <w:rFonts w:ascii="Times New Roman" w:cs="Times New Roman" w:eastAsia="Times New Roman" w:hAnsi="Times New Roman"/>
                <w:sz w:val="22"/>
                <w:szCs w:val="22"/>
                <w:color w:val="auto"/>
              </w:rPr>
              <w:t>The “</w:t>
            </w:r>
            <w:r>
              <w:rPr>
                <w:rFonts w:ascii="Times New Roman" w:cs="Times New Roman" w:eastAsia="Times New Roman" w:hAnsi="Times New Roman"/>
                <w:sz w:val="22"/>
                <w:szCs w:val="22"/>
                <w:b w:val="1"/>
                <w:bCs w:val="1"/>
                <w:i w:val="1"/>
                <w:iCs w:val="1"/>
                <w:color w:val="auto"/>
              </w:rPr>
              <w:t>Performance Goal</w:t>
            </w:r>
            <w:r>
              <w:rPr>
                <w:rFonts w:ascii="Times New Roman" w:cs="Times New Roman" w:eastAsia="Times New Roman" w:hAnsi="Times New Roman"/>
                <w:sz w:val="22"/>
                <w:szCs w:val="22"/>
                <w:color w:val="auto"/>
              </w:rPr>
              <w:t>” is set forth on Exhibit C attached hereto.</w:t>
            </w:r>
          </w:p>
        </w:tc>
      </w:tr>
      <w:tr>
        <w:trPr>
          <w:trHeight w:val="155"/>
        </w:trPr>
        <w:tc>
          <w:tcPr>
            <w:tcW w:w="2680" w:type="dxa"/>
            <w:vAlign w:val="bottom"/>
            <w:tcBorders>
              <w:left w:val="single" w:sz="8" w:color="auto"/>
              <w:bottom w:val="single" w:sz="8" w:color="auto"/>
              <w:right w:val="single" w:sz="8" w:color="auto"/>
            </w:tcBorders>
          </w:tcPr>
          <w:p>
            <w:pPr>
              <w:spacing w:after="0"/>
              <w:rPr>
                <w:sz w:val="13"/>
                <w:szCs w:val="13"/>
                <w:color w:val="auto"/>
              </w:rPr>
            </w:pPr>
          </w:p>
        </w:tc>
        <w:tc>
          <w:tcPr>
            <w:tcW w:w="3600" w:type="dxa"/>
            <w:vAlign w:val="bottom"/>
            <w:tcBorders>
              <w:bottom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3920" w:type="dxa"/>
            <w:vAlign w:val="bottom"/>
            <w:tcBorders>
              <w:bottom w:val="single" w:sz="8" w:color="auto"/>
              <w:right w:val="single" w:sz="8" w:color="auto"/>
            </w:tcBorders>
          </w:tcPr>
          <w:p>
            <w:pPr>
              <w:spacing w:after="0"/>
              <w:rPr>
                <w:sz w:val="13"/>
                <w:szCs w:val="13"/>
                <w:color w:val="auto"/>
              </w:rPr>
            </w:pPr>
          </w:p>
        </w:tc>
      </w:tr>
      <w:tr>
        <w:trPr>
          <w:trHeight w:val="1620"/>
        </w:trPr>
        <w:tc>
          <w:tcPr>
            <w:tcW w:w="2680" w:type="dxa"/>
            <w:vAlign w:val="bottom"/>
            <w:tcBorders>
              <w:bottom w:val="single" w:sz="8" w:color="9A9A9A"/>
            </w:tcBorders>
          </w:tcPr>
          <w:p>
            <w:pPr>
              <w:spacing w:after="0"/>
              <w:rPr>
                <w:sz w:val="24"/>
                <w:szCs w:val="24"/>
                <w:color w:val="auto"/>
              </w:rPr>
            </w:pPr>
          </w:p>
        </w:tc>
        <w:tc>
          <w:tcPr>
            <w:tcW w:w="36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3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50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50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54" w:right="339" w:bottom="1440" w:gutter="0" w:footer="0" w:header="0"/>
        </w:sectPr>
      </w:pPr>
    </w:p>
    <w:bookmarkStart w:id="157" w:name="page158"/>
    <w:bookmarkEnd w:id="157"/>
    <w:p>
      <w:pPr>
        <w:spacing w:after="0" w:line="104"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IN ORDER TO RECEIVE THE BENEFITS OF THIS AGREEMENT, PARTICIPANT MUST EXECUTE AND RETURN THIS GRANT NOTICE (THE “</w:t>
      </w:r>
      <w:r>
        <w:rPr>
          <w:rFonts w:ascii="Times New Roman" w:cs="Times New Roman" w:eastAsia="Times New Roman" w:hAnsi="Times New Roman"/>
          <w:sz w:val="22"/>
          <w:szCs w:val="22"/>
          <w:b w:val="1"/>
          <w:bCs w:val="1"/>
          <w:i w:val="1"/>
          <w:iCs w:val="1"/>
          <w:color w:val="auto"/>
        </w:rPr>
        <w:t>ACCEPTANCE REQUIREMENTS</w:t>
      </w:r>
      <w:r>
        <w:rPr>
          <w:rFonts w:ascii="Times New Roman" w:cs="Times New Roman" w:eastAsia="Times New Roman" w:hAnsi="Times New Roman"/>
          <w:sz w:val="22"/>
          <w:szCs w:val="22"/>
          <w:color w:val="auto"/>
        </w:rPr>
        <w:t>”). IF PARTICIPANT FAILS TO SATISFY THE ACCEPTANCE REQUIREMENTS WITHIN 60 DAYS AFTER THE GRANT DATE, THEN (1) THIS GRANT NOTICE WILL BE OF NO FORCE OR EFFECT AND THIS AWARD WILL BE AUTOMATICALLY FORFEITED TO THE COMPANY WITHOUT CONSIDERATION, AND (2) NEITHER PARTICIPANT NOR THE COMPANY WILL HAVE ANY FUTURE RIGHTS OR OBLIGATIONS UNDER THIS GRANT NOTICE OR THE STANDARD TERMS AND CONDITIONS.</w:t>
      </w:r>
    </w:p>
    <w:p>
      <w:pPr>
        <w:spacing w:after="0" w:line="8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 xml:space="preserve">By accepting this Grant Notice, Participant acknowledges that Participant has received and read, and agrees that this Award shall be subject to, the terms of this Grant Notice (including </w:t>
      </w:r>
      <w:r>
        <w:rPr>
          <w:rFonts w:ascii="Times New Roman" w:cs="Times New Roman" w:eastAsia="Times New Roman" w:hAnsi="Times New Roman"/>
          <w:sz w:val="22"/>
          <w:szCs w:val="22"/>
          <w:u w:val="single" w:color="auto"/>
          <w:color w:val="auto"/>
        </w:rPr>
        <w:t>Exhibit C</w:t>
      </w:r>
      <w:r>
        <w:rPr>
          <w:rFonts w:ascii="Times New Roman" w:cs="Times New Roman" w:eastAsia="Times New Roman" w:hAnsi="Times New Roman"/>
          <w:sz w:val="22"/>
          <w:szCs w:val="22"/>
          <w:color w:val="auto"/>
        </w:rPr>
        <w:t>), the Plan, and the Standard Terms and Conditions and the Confidentiality and Inventions Agreement.</w:t>
      </w:r>
    </w:p>
    <w:p>
      <w:pPr>
        <w:spacing w:after="0" w:line="200" w:lineRule="exact"/>
        <w:rPr>
          <w:sz w:val="20"/>
          <w:szCs w:val="20"/>
          <w:color w:val="auto"/>
        </w:rPr>
      </w:pPr>
    </w:p>
    <w:p>
      <w:pPr>
        <w:spacing w:after="0" w:line="239"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2"/>
          <w:szCs w:val="22"/>
          <w:b w:val="1"/>
          <w:bCs w:val="1"/>
          <w:color w:val="auto"/>
        </w:rPr>
        <w:t>PETCO HEALTH AND WELLNESS COMPANY, INC.</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3293745</wp:posOffset>
            </wp:positionH>
            <wp:positionV relativeFrom="paragraph">
              <wp:posOffset>-13970</wp:posOffset>
            </wp:positionV>
            <wp:extent cx="1722120" cy="82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502">
                      <a:extLst>
                        <a:ext uri="{28A0092B-C50C-407E-A947-70E740481C1C}"/>
                      </a:extLst>
                    </a:blip>
                    <a:srcRect/>
                    <a:stretch>
                      <a:fillRect/>
                    </a:stretch>
                  </pic:blipFill>
                  <pic:spPr bwMode="auto">
                    <a:xfrm>
                      <a:off x="0" y="0"/>
                      <a:ext cx="1722120" cy="8255"/>
                    </a:xfrm>
                    <a:prstGeom prst="rect">
                      <a:avLst/>
                    </a:prstGeom>
                    <a:noFill/>
                  </pic:spPr>
                </pic:pic>
              </a:graphicData>
            </a:graphic>
          </wp:anchor>
        </w:drawing>
      </w:r>
    </w:p>
    <w:p>
      <w:pPr>
        <w:ind w:left="4880"/>
        <w:spacing w:after="0"/>
        <w:rPr>
          <w:sz w:val="20"/>
          <w:szCs w:val="20"/>
          <w:color w:val="auto"/>
        </w:rPr>
      </w:pPr>
      <w:r>
        <w:rPr>
          <w:rFonts w:ascii="Times New Roman" w:cs="Times New Roman" w:eastAsia="Times New Roman" w:hAnsi="Times New Roman"/>
          <w:sz w:val="22"/>
          <w:szCs w:val="22"/>
          <w:color w:val="auto"/>
        </w:rPr>
        <w:t>Name:</w:t>
      </w:r>
    </w:p>
    <w:p>
      <w:pPr>
        <w:ind w:left="4880"/>
        <w:spacing w:after="0"/>
        <w:rPr>
          <w:sz w:val="20"/>
          <w:szCs w:val="20"/>
          <w:color w:val="auto"/>
        </w:rPr>
      </w:pPr>
      <w:r>
        <w:rPr>
          <w:rFonts w:ascii="Times New Roman" w:cs="Times New Roman" w:eastAsia="Times New Roman" w:hAnsi="Times New Roman"/>
          <w:sz w:val="22"/>
          <w:szCs w:val="22"/>
          <w:color w:val="auto"/>
        </w:rPr>
        <w:t>Title:</w:t>
      </w: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3095625</wp:posOffset>
            </wp:positionH>
            <wp:positionV relativeFrom="paragraph">
              <wp:posOffset>605155</wp:posOffset>
            </wp:positionV>
            <wp:extent cx="1920240"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503">
                      <a:extLst>
                        <a:ext uri="{28A0092B-C50C-407E-A947-70E740481C1C}"/>
                      </a:extLst>
                    </a:blip>
                    <a:srcRect/>
                    <a:stretch>
                      <a:fillRect/>
                    </a:stretch>
                  </pic:blipFill>
                  <pic:spPr bwMode="auto">
                    <a:xfrm>
                      <a:off x="0" y="0"/>
                      <a:ext cx="19202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2"/>
          <w:szCs w:val="22"/>
          <w:color w:val="auto"/>
        </w:rPr>
        <w:t>[Name]</w:t>
      </w:r>
    </w:p>
    <w:p>
      <w:pPr>
        <w:spacing w:after="0" w:line="20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S</w:t>
      </w:r>
      <w:r>
        <w:rPr>
          <w:rFonts w:ascii="Times New Roman" w:cs="Times New Roman" w:eastAsia="Times New Roman" w:hAnsi="Times New Roman"/>
          <w:sz w:val="14"/>
          <w:szCs w:val="14"/>
          <w:color w:val="auto"/>
        </w:rPr>
        <w:t>ignature</w:t>
      </w:r>
      <w:r>
        <w:rPr>
          <w:rFonts w:ascii="Times New Roman" w:cs="Times New Roman" w:eastAsia="Times New Roman" w:hAnsi="Times New Roman"/>
          <w:sz w:val="22"/>
          <w:szCs w:val="22"/>
          <w:color w:val="auto"/>
        </w:rPr>
        <w:t xml:space="preserve"> P</w:t>
      </w:r>
      <w:r>
        <w:rPr>
          <w:rFonts w:ascii="Times New Roman" w:cs="Times New Roman" w:eastAsia="Times New Roman" w:hAnsi="Times New Roman"/>
          <w:sz w:val="14"/>
          <w:szCs w:val="14"/>
          <w:color w:val="auto"/>
        </w:rPr>
        <w:t>age to</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G</w:t>
      </w:r>
      <w:r>
        <w:rPr>
          <w:rFonts w:ascii="Times New Roman" w:cs="Times New Roman" w:eastAsia="Times New Roman" w:hAnsi="Times New Roman"/>
          <w:sz w:val="14"/>
          <w:szCs w:val="14"/>
          <w:color w:val="auto"/>
        </w:rPr>
        <w:t>rant</w:t>
      </w:r>
      <w:r>
        <w:rPr>
          <w:rFonts w:ascii="Times New Roman" w:cs="Times New Roman" w:eastAsia="Times New Roman" w:hAnsi="Times New Roman"/>
          <w:sz w:val="22"/>
          <w:szCs w:val="22"/>
          <w:color w:val="auto"/>
        </w:rPr>
        <w:t xml:space="preserve"> N</w:t>
      </w:r>
      <w:r>
        <w:rPr>
          <w:rFonts w:ascii="Times New Roman" w:cs="Times New Roman" w:eastAsia="Times New Roman" w:hAnsi="Times New Roman"/>
          <w:sz w:val="14"/>
          <w:szCs w:val="14"/>
          <w:color w:val="auto"/>
        </w:rPr>
        <w:t>otice for</w:t>
      </w:r>
    </w:p>
    <w:p>
      <w:pPr>
        <w:jc w:val="center"/>
        <w:spacing w:after="0"/>
        <w:rPr>
          <w:sz w:val="20"/>
          <w:szCs w:val="20"/>
          <w:color w:val="auto"/>
        </w:rPr>
      </w:pPr>
      <w:r>
        <w:rPr>
          <w:rFonts w:ascii="Times New Roman" w:cs="Times New Roman" w:eastAsia="Times New Roman" w:hAnsi="Times New Roman"/>
          <w:sz w:val="22"/>
          <w:szCs w:val="22"/>
          <w:color w:val="auto"/>
        </w:rPr>
        <w:t>P</w:t>
      </w:r>
      <w:r>
        <w:rPr>
          <w:rFonts w:ascii="Times New Roman" w:cs="Times New Roman" w:eastAsia="Times New Roman" w:hAnsi="Times New Roman"/>
          <w:sz w:val="14"/>
          <w:szCs w:val="14"/>
          <w:color w:val="auto"/>
        </w:rPr>
        <w:t>erformance</w:t>
      </w:r>
      <w:r>
        <w:rPr>
          <w:rFonts w:ascii="Times New Roman" w:cs="Times New Roman" w:eastAsia="Times New Roman" w:hAnsi="Times New Roman"/>
          <w:sz w:val="22"/>
          <w:szCs w:val="22"/>
          <w:color w:val="auto"/>
        </w:rPr>
        <w:t xml:space="preserve"> S</w:t>
      </w:r>
      <w:r>
        <w:rPr>
          <w:rFonts w:ascii="Times New Roman" w:cs="Times New Roman" w:eastAsia="Times New Roman" w:hAnsi="Times New Roman"/>
          <w:sz w:val="14"/>
          <w:szCs w:val="14"/>
          <w:color w:val="auto"/>
        </w:rPr>
        <w:t>tock</w:t>
      </w:r>
      <w:r>
        <w:rPr>
          <w:rFonts w:ascii="Times New Roman" w:cs="Times New Roman" w:eastAsia="Times New Roman" w:hAnsi="Times New Roman"/>
          <w:sz w:val="22"/>
          <w:szCs w:val="22"/>
          <w:color w:val="auto"/>
        </w:rPr>
        <w:t xml:space="preserve"> U</w:t>
      </w:r>
      <w:r>
        <w:rPr>
          <w:rFonts w:ascii="Times New Roman" w:cs="Times New Roman" w:eastAsia="Times New Roman" w:hAnsi="Times New Roman"/>
          <w:sz w:val="14"/>
          <w:szCs w:val="14"/>
          <w:color w:val="auto"/>
        </w:rPr>
        <w:t>nit</w:t>
      </w:r>
      <w:r>
        <w:rPr>
          <w:rFonts w:ascii="Times New Roman" w:cs="Times New Roman" w:eastAsia="Times New Roman" w:hAnsi="Times New Roman"/>
          <w:sz w:val="22"/>
          <w:szCs w:val="22"/>
          <w:color w:val="auto"/>
        </w:rPr>
        <w:t xml:space="preserve"> A</w:t>
      </w:r>
      <w:r>
        <w:rPr>
          <w:rFonts w:ascii="Times New Roman" w:cs="Times New Roman" w:eastAsia="Times New Roman" w:hAnsi="Times New Roman"/>
          <w:sz w:val="14"/>
          <w:szCs w:val="14"/>
          <w:color w:val="auto"/>
        </w:rPr>
        <w:t>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462915</wp:posOffset>
            </wp:positionV>
            <wp:extent cx="7157720" cy="4254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5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8" w:name="page159"/>
    <w:bookmarkEnd w:id="158"/>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EXHIBIT A</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PETCO HEALTH AND WELLNESS COMPANY, INC.</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2021 EQUITY INCENTIVE PLAN</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STANDARD TERMS AND CONDITIONS FOR</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PERFORMANCE STOCK UNITS</w:t>
      </w:r>
    </w:p>
    <w:p>
      <w:pPr>
        <w:spacing w:after="0" w:line="22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1"/>
          <w:szCs w:val="21"/>
          <w:color w:val="auto"/>
        </w:rPr>
        <w:t>These Standard Terms and Conditions apply to the Award of performance stock units granted pursuant to the Petco Health and Wellness Company, Inc. 2021 Equity Incentive Plan (the “</w:t>
      </w:r>
      <w:r>
        <w:rPr>
          <w:rFonts w:ascii="Times New Roman" w:cs="Times New Roman" w:eastAsia="Times New Roman" w:hAnsi="Times New Roman"/>
          <w:sz w:val="21"/>
          <w:szCs w:val="21"/>
          <w:b w:val="1"/>
          <w:bCs w:val="1"/>
          <w:i w:val="1"/>
          <w:iCs w:val="1"/>
          <w:color w:val="auto"/>
        </w:rPr>
        <w:t>Plan</w:t>
      </w:r>
      <w:r>
        <w:rPr>
          <w:rFonts w:ascii="Times New Roman" w:cs="Times New Roman" w:eastAsia="Times New Roman" w:hAnsi="Times New Roman"/>
          <w:sz w:val="21"/>
          <w:szCs w:val="21"/>
          <w:color w:val="auto"/>
        </w:rPr>
        <w:t>”), which are evidenced by a Grant Notice or an action of the Committee that specifically refers to these Standard Terms and Conditions. In addition to these Standard Terms and Conditions, the performance stock units shall be subject to the terms of the Plan, which are incorporated into these Standard Terms and Conditions by this reference. Capitalized terms not otherwise defined herein shall have the meaning set forth in the Plan.</w:t>
      </w:r>
    </w:p>
    <w:p>
      <w:pPr>
        <w:spacing w:after="0" w:line="164" w:lineRule="exact"/>
        <w:rPr>
          <w:sz w:val="20"/>
          <w:szCs w:val="20"/>
          <w:color w:val="auto"/>
        </w:rPr>
      </w:pPr>
    </w:p>
    <w:p>
      <w:pPr>
        <w:ind w:left="760" w:hanging="752"/>
        <w:spacing w:after="0"/>
        <w:tabs>
          <w:tab w:leader="none" w:pos="760" w:val="left"/>
        </w:tabs>
        <w:numPr>
          <w:ilvl w:val="0"/>
          <w:numId w:val="14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TERMS OF PERFORMANCE STOCK UNITS</w:t>
      </w:r>
    </w:p>
    <w:p>
      <w:pPr>
        <w:spacing w:after="0" w:line="12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Petco Health and Wellness Company, Inc.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has granted to the Participant named in the Grant Notice provided to said Participant herewith (the “</w:t>
      </w:r>
      <w:r>
        <w:rPr>
          <w:rFonts w:ascii="Times New Roman" w:cs="Times New Roman" w:eastAsia="Times New Roman" w:hAnsi="Times New Roman"/>
          <w:sz w:val="22"/>
          <w:szCs w:val="22"/>
          <w:b w:val="1"/>
          <w:bCs w:val="1"/>
          <w:i w:val="1"/>
          <w:iCs w:val="1"/>
          <w:color w:val="auto"/>
        </w:rPr>
        <w:t>Grant Notice</w:t>
      </w:r>
      <w:r>
        <w:rPr>
          <w:rFonts w:ascii="Times New Roman" w:cs="Times New Roman" w:eastAsia="Times New Roman" w:hAnsi="Times New Roman"/>
          <w:sz w:val="22"/>
          <w:szCs w:val="22"/>
          <w:color w:val="auto"/>
        </w:rPr>
        <w:t>”) an award of performance stock units (the “</w:t>
      </w:r>
      <w:r>
        <w:rPr>
          <w:rFonts w:ascii="Times New Roman" w:cs="Times New Roman" w:eastAsia="Times New Roman" w:hAnsi="Times New Roman"/>
          <w:sz w:val="22"/>
          <w:szCs w:val="22"/>
          <w:b w:val="1"/>
          <w:bCs w:val="1"/>
          <w:i w:val="1"/>
          <w:iCs w:val="1"/>
          <w:color w:val="auto"/>
        </w:rPr>
        <w:t>Award</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i w:val="1"/>
          <w:iCs w:val="1"/>
          <w:color w:val="auto"/>
        </w:rPr>
        <w:t>PSUs</w:t>
      </w:r>
      <w:r>
        <w:rPr>
          <w:rFonts w:ascii="Times New Roman" w:cs="Times New Roman" w:eastAsia="Times New Roman" w:hAnsi="Times New Roman"/>
          <w:sz w:val="22"/>
          <w:szCs w:val="22"/>
          <w:color w:val="auto"/>
        </w:rPr>
        <w:t>”) specified in the Grant Notice, with each Earned PSU representing the right to receive one share of Common Stock. The Award is subject to the conditions set forth in the Grant Notice, these Standard Terms and Conditions and the Plan. For purposes of these Standard Terms and Conditions and the Grant Notice, any reference to the Company shall include a reference to any Subsidiary.</w:t>
      </w:r>
    </w:p>
    <w:p>
      <w:pPr>
        <w:spacing w:after="0" w:line="173" w:lineRule="exact"/>
        <w:rPr>
          <w:sz w:val="20"/>
          <w:szCs w:val="20"/>
          <w:color w:val="auto"/>
        </w:rPr>
      </w:pPr>
    </w:p>
    <w:p>
      <w:pPr>
        <w:ind w:left="760" w:hanging="752"/>
        <w:spacing w:after="0"/>
        <w:tabs>
          <w:tab w:leader="none" w:pos="760" w:val="left"/>
        </w:tabs>
        <w:numPr>
          <w:ilvl w:val="0"/>
          <w:numId w:val="14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VESTING AND SETTLEMENT OF PERFORMANCE STOCK UNITS</w:t>
      </w:r>
    </w:p>
    <w:p>
      <w:pPr>
        <w:spacing w:after="0" w:line="115" w:lineRule="exact"/>
        <w:rPr>
          <w:rFonts w:ascii="Times New Roman" w:cs="Times New Roman" w:eastAsia="Times New Roman" w:hAnsi="Times New Roman"/>
          <w:sz w:val="22"/>
          <w:szCs w:val="22"/>
          <w:b w:val="1"/>
          <w:bCs w:val="1"/>
          <w:color w:val="auto"/>
        </w:rPr>
      </w:pPr>
    </w:p>
    <w:p>
      <w:pPr>
        <w:jc w:val="both"/>
        <w:ind w:firstLine="757"/>
        <w:spacing w:after="0" w:line="239" w:lineRule="auto"/>
        <w:tabs>
          <w:tab w:leader="none" w:pos="1018" w:val="left"/>
        </w:tabs>
        <w:numPr>
          <w:ilvl w:val="1"/>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Award shall not be vested as of the Grant Date set forth in the Grant Notice and shall be forfeitable unless and until otherwise vested pursuant to the terms of the Grant Notice and these Standard Terms and Conditions. After the Grant Date, subject to termination or acceleration as provided in these Standard Terms and Conditions and the Plan, the Award shall become vested and earned as described in the Grant Notice with respect to the Target PSUs as set forth in the Grant Notice.</w:t>
      </w:r>
    </w:p>
    <w:p>
      <w:pPr>
        <w:spacing w:after="0" w:line="180"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 xml:space="preserve">(b)As soon as administratively practicable following the date a PSU becomes an Earned PSU pursuant to the Grant Notice and this </w:t>
      </w:r>
      <w:r>
        <w:rPr>
          <w:rFonts w:ascii="Times New Roman" w:cs="Times New Roman" w:eastAsia="Times New Roman" w:hAnsi="Times New Roman"/>
          <w:sz w:val="22"/>
          <w:szCs w:val="22"/>
          <w:u w:val="single" w:color="auto"/>
          <w:color w:val="auto"/>
        </w:rPr>
        <w:t>Section 2</w:t>
      </w:r>
      <w:r>
        <w:rPr>
          <w:rFonts w:ascii="Times New Roman" w:cs="Times New Roman" w:eastAsia="Times New Roman" w:hAnsi="Times New Roman"/>
          <w:sz w:val="22"/>
          <w:szCs w:val="22"/>
          <w:color w:val="auto"/>
        </w:rPr>
        <w:t xml:space="preserve">, but in no event later than two and one-half months following the Vesting Date (or, if earlier, the date on which a Termination of Employment described in </w:t>
      </w:r>
      <w:r>
        <w:rPr>
          <w:rFonts w:ascii="Times New Roman" w:cs="Times New Roman" w:eastAsia="Times New Roman" w:hAnsi="Times New Roman"/>
          <w:sz w:val="22"/>
          <w:szCs w:val="22"/>
          <w:u w:val="single" w:color="auto"/>
          <w:color w:val="auto"/>
        </w:rPr>
        <w:t>Section 2(c)</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2(f)</w:t>
      </w:r>
      <w:r>
        <w:rPr>
          <w:rFonts w:ascii="Times New Roman" w:cs="Times New Roman" w:eastAsia="Times New Roman" w:hAnsi="Times New Roman"/>
          <w:sz w:val="22"/>
          <w:szCs w:val="22"/>
          <w:color w:val="auto"/>
        </w:rPr>
        <w:t xml:space="preserve"> occurs), the Company shall deliver to the Participant a number of shares of Common Stock equal to the number of Earned PSUs; provided, however, that to the extent insufficient shares of Common Stock are available for issuance under the Plan and the number of Earned PSUs is in excess of the number of Target PSUs, as soon as administratively practicable following the date a PSU becomes an Earned PSU pursuant to the Grant Notice and this </w:t>
      </w:r>
      <w:r>
        <w:rPr>
          <w:rFonts w:ascii="Times New Roman" w:cs="Times New Roman" w:eastAsia="Times New Roman" w:hAnsi="Times New Roman"/>
          <w:sz w:val="22"/>
          <w:szCs w:val="22"/>
          <w:u w:val="single" w:color="auto"/>
          <w:color w:val="auto"/>
        </w:rPr>
        <w:t>Section 2</w:t>
      </w:r>
      <w:r>
        <w:rPr>
          <w:rFonts w:ascii="Times New Roman" w:cs="Times New Roman" w:eastAsia="Times New Roman" w:hAnsi="Times New Roman"/>
          <w:sz w:val="22"/>
          <w:szCs w:val="22"/>
          <w:color w:val="auto"/>
        </w:rPr>
        <w:t xml:space="preserve">, but in no event later than two and one-half months following the Vesting Date (or, if earlier, the date on which a Termination of Employment described in </w:t>
      </w:r>
      <w:r>
        <w:rPr>
          <w:rFonts w:ascii="Times New Roman" w:cs="Times New Roman" w:eastAsia="Times New Roman" w:hAnsi="Times New Roman"/>
          <w:sz w:val="22"/>
          <w:szCs w:val="22"/>
          <w:u w:val="single" w:color="auto"/>
          <w:color w:val="auto"/>
        </w:rPr>
        <w:t>Section 2(c)</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2(f)</w:t>
      </w:r>
      <w:r>
        <w:rPr>
          <w:rFonts w:ascii="Times New Roman" w:cs="Times New Roman" w:eastAsia="Times New Roman" w:hAnsi="Times New Roman"/>
          <w:sz w:val="22"/>
          <w:szCs w:val="22"/>
          <w:color w:val="auto"/>
        </w:rPr>
        <w:t xml:space="preserve"> occurs), the Company shall deliver to the Participant (i) a number of shares of Common Stock equal to the number of Target PSUs and (ii) a lump sum cash payment equal to (A) the Fair</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w:t>
      </w:r>
      <w:r>
        <w:rPr>
          <w:rFonts w:ascii="Times New Roman" w:cs="Times New Roman" w:eastAsia="Times New Roman" w:hAnsi="Times New Roman"/>
          <w:sz w:val="14"/>
          <w:szCs w:val="14"/>
          <w:color w:val="auto"/>
        </w:rPr>
        <w:t>xhibit</w:t>
      </w:r>
      <w:r>
        <w:rPr>
          <w:rFonts w:ascii="Times New Roman" w:cs="Times New Roman" w:eastAsia="Times New Roman" w:hAnsi="Times New Roman"/>
          <w:sz w:val="22"/>
          <w:szCs w:val="22"/>
          <w:color w:val="auto"/>
        </w:rPr>
        <w:t xml:space="preserve"> A</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w:t>
      </w:r>
      <w:r>
        <w:rPr>
          <w:rFonts w:ascii="Times New Roman" w:cs="Times New Roman" w:eastAsia="Times New Roman" w:hAnsi="Times New Roman"/>
          <w:sz w:val="14"/>
          <w:szCs w:val="14"/>
          <w:color w:val="auto"/>
        </w:rPr>
        <w:t>tandard</w:t>
      </w:r>
      <w:r>
        <w:rPr>
          <w:rFonts w:ascii="Times New Roman" w:cs="Times New Roman" w:eastAsia="Times New Roman" w:hAnsi="Times New Roman"/>
          <w:sz w:val="22"/>
          <w:szCs w:val="22"/>
          <w:color w:val="auto"/>
        </w:rPr>
        <w:t xml:space="preserve"> T</w:t>
      </w:r>
      <w:r>
        <w:rPr>
          <w:rFonts w:ascii="Times New Roman" w:cs="Times New Roman" w:eastAsia="Times New Roman" w:hAnsi="Times New Roman"/>
          <w:sz w:val="14"/>
          <w:szCs w:val="14"/>
          <w:color w:val="auto"/>
        </w:rPr>
        <w:t>erms and</w:t>
      </w:r>
      <w:r>
        <w:rPr>
          <w:rFonts w:ascii="Times New Roman" w:cs="Times New Roman" w:eastAsia="Times New Roman" w:hAnsi="Times New Roman"/>
          <w:sz w:val="22"/>
          <w:szCs w:val="22"/>
          <w:color w:val="auto"/>
        </w:rPr>
        <w:t xml:space="preserve"> C</w:t>
      </w:r>
      <w:r>
        <w:rPr>
          <w:rFonts w:ascii="Times New Roman" w:cs="Times New Roman" w:eastAsia="Times New Roman" w:hAnsi="Times New Roman"/>
          <w:sz w:val="14"/>
          <w:szCs w:val="14"/>
          <w:color w:val="auto"/>
        </w:rPr>
        <w:t>onditions for</w:t>
      </w:r>
    </w:p>
    <w:p>
      <w:pPr>
        <w:jc w:val="center"/>
        <w:spacing w:after="0"/>
        <w:rPr>
          <w:sz w:val="20"/>
          <w:szCs w:val="20"/>
          <w:color w:val="auto"/>
        </w:rPr>
      </w:pPr>
      <w:r>
        <w:rPr>
          <w:rFonts w:ascii="Times New Roman" w:cs="Times New Roman" w:eastAsia="Times New Roman" w:hAnsi="Times New Roman"/>
          <w:sz w:val="22"/>
          <w:szCs w:val="22"/>
          <w:color w:val="auto"/>
        </w:rPr>
        <w:t>P</w:t>
      </w:r>
      <w:r>
        <w:rPr>
          <w:rFonts w:ascii="Times New Roman" w:cs="Times New Roman" w:eastAsia="Times New Roman" w:hAnsi="Times New Roman"/>
          <w:sz w:val="14"/>
          <w:szCs w:val="14"/>
          <w:color w:val="auto"/>
        </w:rPr>
        <w:t>erformance</w:t>
      </w:r>
      <w:r>
        <w:rPr>
          <w:rFonts w:ascii="Times New Roman" w:cs="Times New Roman" w:eastAsia="Times New Roman" w:hAnsi="Times New Roman"/>
          <w:sz w:val="22"/>
          <w:szCs w:val="22"/>
          <w:color w:val="auto"/>
        </w:rPr>
        <w:t xml:space="preserve"> S</w:t>
      </w:r>
      <w:r>
        <w:rPr>
          <w:rFonts w:ascii="Times New Roman" w:cs="Times New Roman" w:eastAsia="Times New Roman" w:hAnsi="Times New Roman"/>
          <w:sz w:val="14"/>
          <w:szCs w:val="14"/>
          <w:color w:val="auto"/>
        </w:rPr>
        <w:t>tock</w:t>
      </w:r>
      <w:r>
        <w:rPr>
          <w:rFonts w:ascii="Times New Roman" w:cs="Times New Roman" w:eastAsia="Times New Roman" w:hAnsi="Times New Roman"/>
          <w:sz w:val="22"/>
          <w:szCs w:val="22"/>
          <w:color w:val="auto"/>
        </w:rPr>
        <w:t xml:space="preserve"> U</w:t>
      </w:r>
      <w:r>
        <w:rPr>
          <w:rFonts w:ascii="Times New Roman" w:cs="Times New Roman" w:eastAsia="Times New Roman" w:hAnsi="Times New Roman"/>
          <w:sz w:val="14"/>
          <w:szCs w:val="14"/>
          <w:color w:val="auto"/>
        </w:rPr>
        <w:t>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462915</wp:posOffset>
            </wp:positionV>
            <wp:extent cx="7157720" cy="425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5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59" w:name="page160"/>
    <w:bookmarkEnd w:id="159"/>
    <w:p>
      <w:pPr>
        <w:ind w:right="20"/>
        <w:spacing w:after="0" w:line="258" w:lineRule="auto"/>
        <w:rPr>
          <w:sz w:val="20"/>
          <w:szCs w:val="20"/>
          <w:color w:val="auto"/>
        </w:rPr>
      </w:pPr>
      <w:r>
        <w:rPr>
          <w:rFonts w:ascii="Times New Roman" w:cs="Times New Roman" w:eastAsia="Times New Roman" w:hAnsi="Times New Roman"/>
          <w:sz w:val="22"/>
          <w:szCs w:val="22"/>
          <w:color w:val="auto"/>
        </w:rPr>
        <w:t xml:space="preserve">Market Value of a share of Common Stock on the Vesting Date (or, if earlier, the date on which a Termination of Employment described in </w:t>
      </w:r>
      <w:r>
        <w:rPr>
          <w:rFonts w:ascii="Times New Roman" w:cs="Times New Roman" w:eastAsia="Times New Roman" w:hAnsi="Times New Roman"/>
          <w:sz w:val="22"/>
          <w:szCs w:val="22"/>
          <w:u w:val="single" w:color="auto"/>
          <w:color w:val="auto"/>
        </w:rPr>
        <w:t>Section 2(c)</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2(f)</w:t>
      </w:r>
      <w:r>
        <w:rPr>
          <w:rFonts w:ascii="Times New Roman" w:cs="Times New Roman" w:eastAsia="Times New Roman" w:hAnsi="Times New Roman"/>
          <w:sz w:val="22"/>
          <w:szCs w:val="22"/>
          <w:color w:val="auto"/>
        </w:rPr>
        <w:t xml:space="preserve"> occurs), </w:t>
      </w:r>
      <w:r>
        <w:rPr>
          <w:rFonts w:ascii="Times New Roman" w:cs="Times New Roman" w:eastAsia="Times New Roman" w:hAnsi="Times New Roman"/>
          <w:sz w:val="22"/>
          <w:szCs w:val="22"/>
          <w:i w:val="1"/>
          <w:iCs w:val="1"/>
          <w:color w:val="auto"/>
        </w:rPr>
        <w:t>multiplied by</w:t>
      </w:r>
      <w:r>
        <w:rPr>
          <w:rFonts w:ascii="Times New Roman" w:cs="Times New Roman" w:eastAsia="Times New Roman" w:hAnsi="Times New Roman"/>
          <w:sz w:val="22"/>
          <w:szCs w:val="22"/>
          <w:color w:val="auto"/>
        </w:rPr>
        <w:t xml:space="preserve"> (B) the number of Earned PSUs that exceed the Target PSUs.</w:t>
      </w:r>
    </w:p>
    <w:p>
      <w:pPr>
        <w:spacing w:after="0" w:line="158" w:lineRule="exact"/>
        <w:rPr>
          <w:sz w:val="20"/>
          <w:szCs w:val="20"/>
          <w:color w:val="auto"/>
        </w:rPr>
      </w:pPr>
    </w:p>
    <w:p>
      <w:pPr>
        <w:jc w:val="both"/>
        <w:ind w:firstLine="757"/>
        <w:spacing w:after="0" w:line="235" w:lineRule="auto"/>
        <w:tabs>
          <w:tab w:leader="none" w:pos="1018" w:val="left"/>
        </w:tabs>
        <w:numPr>
          <w:ilvl w:val="0"/>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Participant experiences a Termination of Employment as a result of the Participant’s death or Disability, then, subject to the Participant’s (or the Participant’s personal representative’s) execution and nonrevocation of a general release of claims in a form provided by the Company, (i) if the Termination Date is prior to the end of the Performance Period, the outstanding Target PSUs shall become Earned PSUs effective as of the date of such Termination of Employment and (ii) if the Termination Date is after the end of the Performance Period, then the outstanding Target PSUs will remain outstanding and eligible to become Earned PSUs based on achievement of the Performance Goals and settlement of such Earned PSUs shall not be accelerated.</w:t>
      </w:r>
    </w:p>
    <w:p>
      <w:pPr>
        <w:spacing w:after="0" w:line="183"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(d)If the Participant experiences a Termination of Employment as a result of the Participant’s Retirement (as defined below), then, subject to the Participant’s execution and nonrevocation of a general release of claims in a form provided by the Company, the Pro-Rata Portion of the Target PSUs shall remain outstanding and eligible to become Earned PSUs based on achievement of the Performance Goals and settlement of such Earned PSUs shall not be accelerated.</w:t>
      </w:r>
    </w:p>
    <w:p>
      <w:pPr>
        <w:spacing w:after="0" w:line="180" w:lineRule="exact"/>
        <w:rPr>
          <w:sz w:val="20"/>
          <w:szCs w:val="20"/>
          <w:color w:val="auto"/>
        </w:rPr>
      </w:pPr>
    </w:p>
    <w:p>
      <w:pPr>
        <w:jc w:val="both"/>
        <w:ind w:firstLine="757"/>
        <w:spacing w:after="0" w:line="238" w:lineRule="auto"/>
        <w:tabs>
          <w:tab w:leader="none" w:pos="1018" w:val="left"/>
        </w:tabs>
        <w:numPr>
          <w:ilvl w:val="0"/>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the consummation of a Change in Control prior to the end of the Performance Period, the Performance Goal shall be measured over a truncated Performance Period ending on the date of the Change in Control and the Target PSUs that become earned based on achievement of such Performance Goal shall vest and become Earned PSUs on the third anniversary of the Grant Date, subject to the Participant’s continued employment by or service to the Company or its Subsidiaries through such date.</w:t>
      </w:r>
    </w:p>
    <w:p>
      <w:pPr>
        <w:spacing w:after="0" w:line="176" w:lineRule="exact"/>
        <w:rPr>
          <w:rFonts w:ascii="Times New Roman" w:cs="Times New Roman" w:eastAsia="Times New Roman" w:hAnsi="Times New Roman"/>
          <w:sz w:val="22"/>
          <w:szCs w:val="22"/>
          <w:color w:val="auto"/>
        </w:rPr>
      </w:pPr>
    </w:p>
    <w:p>
      <w:pPr>
        <w:jc w:val="both"/>
        <w:ind w:firstLine="757"/>
        <w:spacing w:after="0" w:line="255" w:lineRule="auto"/>
        <w:tabs>
          <w:tab w:leader="none" w:pos="1018" w:val="left"/>
        </w:tabs>
        <w:numPr>
          <w:ilvl w:val="0"/>
          <w:numId w:val="1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Notwithstanding </w:t>
      </w:r>
      <w:r>
        <w:rPr>
          <w:rFonts w:ascii="Times New Roman" w:cs="Times New Roman" w:eastAsia="Times New Roman" w:hAnsi="Times New Roman"/>
          <w:sz w:val="21"/>
          <w:szCs w:val="21"/>
          <w:u w:val="single" w:color="auto"/>
          <w:color w:val="auto"/>
        </w:rPr>
        <w:t>Section 2(e)</w:t>
      </w:r>
      <w:r>
        <w:rPr>
          <w:rFonts w:ascii="Times New Roman" w:cs="Times New Roman" w:eastAsia="Times New Roman" w:hAnsi="Times New Roman"/>
          <w:sz w:val="21"/>
          <w:szCs w:val="21"/>
          <w:color w:val="auto"/>
        </w:rPr>
        <w:t xml:space="preserve"> above, if the Participant experiences a Termination of Employment as a result of an Involuntary Termination (as defined below) at any time following a Change in Control, then subject to the Participant’s execution and nonrevocation of a general release of claims in a form provided by the Company, any Target PSUs that remain outstanding shall become Earned PSUs in accordance with </w:t>
      </w:r>
      <w:r>
        <w:rPr>
          <w:rFonts w:ascii="Times New Roman" w:cs="Times New Roman" w:eastAsia="Times New Roman" w:hAnsi="Times New Roman"/>
          <w:sz w:val="21"/>
          <w:szCs w:val="21"/>
          <w:u w:val="single" w:color="auto"/>
          <w:color w:val="auto"/>
        </w:rPr>
        <w:t>Section 2(e)</w:t>
      </w:r>
      <w:r>
        <w:rPr>
          <w:rFonts w:ascii="Times New Roman" w:cs="Times New Roman" w:eastAsia="Times New Roman" w:hAnsi="Times New Roman"/>
          <w:sz w:val="21"/>
          <w:szCs w:val="21"/>
          <w:color w:val="auto"/>
        </w:rPr>
        <w:t xml:space="preserve"> effective as of the date of such Termination of Employment.</w:t>
      </w:r>
    </w:p>
    <w:p>
      <w:pPr>
        <w:spacing w:after="0" w:line="162"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22"/>
          <w:szCs w:val="22"/>
          <w:color w:val="auto"/>
        </w:rPr>
        <w:t xml:space="preserve">(g)Upon the Participant’s Termination of Employment for any other reason not set forth in </w:t>
      </w:r>
      <w:r>
        <w:rPr>
          <w:rFonts w:ascii="Times New Roman" w:cs="Times New Roman" w:eastAsia="Times New Roman" w:hAnsi="Times New Roman"/>
          <w:sz w:val="22"/>
          <w:szCs w:val="22"/>
          <w:u w:val="single" w:color="auto"/>
          <w:color w:val="auto"/>
        </w:rPr>
        <w:t>Section 2(c)</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2(d)</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2(f)</w:t>
      </w:r>
      <w:r>
        <w:rPr>
          <w:rFonts w:ascii="Times New Roman" w:cs="Times New Roman" w:eastAsia="Times New Roman" w:hAnsi="Times New Roman"/>
          <w:sz w:val="22"/>
          <w:szCs w:val="22"/>
          <w:color w:val="auto"/>
        </w:rPr>
        <w:t>, any PSUs that have not become Earned PSUs shall be forfeited and canceled as of the Termination Date.</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(h)As used in this </w:t>
      </w:r>
      <w:r>
        <w:rPr>
          <w:rFonts w:ascii="Times New Roman" w:cs="Times New Roman" w:eastAsia="Times New Roman" w:hAnsi="Times New Roman"/>
          <w:sz w:val="22"/>
          <w:szCs w:val="22"/>
          <w:u w:val="single" w:color="auto"/>
          <w:color w:val="auto"/>
        </w:rPr>
        <w:t>Section 2</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jc w:val="both"/>
        <w:ind w:firstLine="1505"/>
        <w:spacing w:after="0" w:line="239" w:lineRule="auto"/>
        <w:tabs>
          <w:tab w:leader="none" w:pos="2036" w:val="left"/>
        </w:tabs>
        <w:numPr>
          <w:ilvl w:val="0"/>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Good Reason</w:t>
      </w:r>
      <w:r>
        <w:rPr>
          <w:rFonts w:ascii="Times New Roman" w:cs="Times New Roman" w:eastAsia="Times New Roman" w:hAnsi="Times New Roman"/>
          <w:sz w:val="22"/>
          <w:szCs w:val="22"/>
          <w:color w:val="auto"/>
        </w:rPr>
        <w:t>” has the meaning set forth in the written employment, offer, services or severance agreement or letter between the Participant and the Company or an Affiliate, or if there is no such agreement or no such term is defined in such agreement, means, without the Participant’s consent: (A) a material diminution in the Participant’s authority, duties or responsibilities with the Company or an Affiliate; (B) a material diminution in the Participant’s base salary; (C) a relocation of the Participant’s principal place of employment by more than 50</w:t>
      </w: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5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60" w:name="page161"/>
    <w:bookmarkEnd w:id="160"/>
    <w:p>
      <w:pPr>
        <w:jc w:val="both"/>
        <w:spacing w:after="0" w:line="236" w:lineRule="auto"/>
        <w:rPr>
          <w:sz w:val="20"/>
          <w:szCs w:val="20"/>
          <w:color w:val="auto"/>
        </w:rPr>
      </w:pPr>
      <w:r>
        <w:rPr>
          <w:rFonts w:ascii="Times New Roman" w:cs="Times New Roman" w:eastAsia="Times New Roman" w:hAnsi="Times New Roman"/>
          <w:sz w:val="22"/>
          <w:szCs w:val="22"/>
          <w:color w:val="auto"/>
        </w:rPr>
        <w:t>miles; or (D) a material breach by the Company of any of its obligations under these Standard Terms and Conditions. Notwithstanding the foregoing, any assertion by the Participant of a termination for Good Reason shall not be effective unless (1) the Participant provides written notice to the Company of the existence of one or more of the foregoing conditions within 30 days after the initial occurrence of such condition(s); (2) the condition(s) specified in such notice must remain uncorrected for 30 days following the Company’s receipt of such written notice; and (3) the date of the termination of the Participant’s employment must occur within 90 days after the initial occurrence of the condition(s) specified in such notice.</w:t>
      </w:r>
    </w:p>
    <w:p>
      <w:pPr>
        <w:spacing w:after="0" w:line="175" w:lineRule="exact"/>
        <w:rPr>
          <w:sz w:val="20"/>
          <w:szCs w:val="20"/>
          <w:color w:val="auto"/>
        </w:rPr>
      </w:pPr>
    </w:p>
    <w:p>
      <w:pPr>
        <w:ind w:right="20" w:firstLine="1505"/>
        <w:spacing w:after="0" w:line="264" w:lineRule="auto"/>
        <w:tabs>
          <w:tab w:leader="none" w:pos="2036" w:val="left"/>
        </w:tabs>
        <w:numPr>
          <w:ilvl w:val="2"/>
          <w:numId w:val="1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Involuntary Termination</w:t>
      </w:r>
      <w:r>
        <w:rPr>
          <w:rFonts w:ascii="Times New Roman" w:cs="Times New Roman" w:eastAsia="Times New Roman" w:hAnsi="Times New Roman"/>
          <w:sz w:val="22"/>
          <w:szCs w:val="22"/>
          <w:color w:val="auto"/>
        </w:rPr>
        <w:t>” means a Termination of Employment by the Company without Cause (and not as a result of death or Disability) or by the Participant for Good Reason.</w:t>
      </w:r>
    </w:p>
    <w:p>
      <w:pPr>
        <w:spacing w:after="0" w:line="145" w:lineRule="exact"/>
        <w:rPr>
          <w:rFonts w:ascii="Times New Roman" w:cs="Times New Roman" w:eastAsia="Times New Roman" w:hAnsi="Times New Roman"/>
          <w:sz w:val="22"/>
          <w:szCs w:val="22"/>
          <w:color w:val="auto"/>
        </w:rPr>
      </w:pPr>
    </w:p>
    <w:p>
      <w:pPr>
        <w:jc w:val="both"/>
        <w:ind w:firstLine="1505"/>
        <w:spacing w:after="0" w:line="247" w:lineRule="auto"/>
        <w:tabs>
          <w:tab w:leader="none" w:pos="2036" w:val="left"/>
        </w:tabs>
        <w:numPr>
          <w:ilvl w:val="2"/>
          <w:numId w:val="1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Pro-Rata Portion</w:t>
      </w:r>
      <w:r>
        <w:rPr>
          <w:rFonts w:ascii="Times New Roman" w:cs="Times New Roman" w:eastAsia="Times New Roman" w:hAnsi="Times New Roman"/>
          <w:sz w:val="22"/>
          <w:szCs w:val="22"/>
          <w:color w:val="auto"/>
        </w:rPr>
        <w:t xml:space="preserve">” means (A) the Target PSUs, </w:t>
      </w:r>
      <w:r>
        <w:rPr>
          <w:rFonts w:ascii="Times New Roman" w:cs="Times New Roman" w:eastAsia="Times New Roman" w:hAnsi="Times New Roman"/>
          <w:sz w:val="22"/>
          <w:szCs w:val="22"/>
          <w:i w:val="1"/>
          <w:iCs w:val="1"/>
          <w:color w:val="auto"/>
        </w:rPr>
        <w:t>multiplied by</w:t>
      </w:r>
      <w:r>
        <w:rPr>
          <w:rFonts w:ascii="Times New Roman" w:cs="Times New Roman" w:eastAsia="Times New Roman" w:hAnsi="Times New Roman"/>
          <w:sz w:val="22"/>
          <w:szCs w:val="22"/>
          <w:color w:val="auto"/>
        </w:rPr>
        <w:t xml:space="preserve"> (B) a fraction, the numerator of which is the number of days between the start of the Performance Period and the Termination Date and the denominator of which is the number of days in the Performance Period.</w:t>
      </w:r>
    </w:p>
    <w:p>
      <w:pPr>
        <w:spacing w:after="0" w:line="163" w:lineRule="exact"/>
        <w:rPr>
          <w:rFonts w:ascii="Times New Roman" w:cs="Times New Roman" w:eastAsia="Times New Roman" w:hAnsi="Times New Roman"/>
          <w:sz w:val="22"/>
          <w:szCs w:val="22"/>
          <w:color w:val="auto"/>
        </w:rPr>
      </w:pPr>
    </w:p>
    <w:p>
      <w:pPr>
        <w:ind w:firstLine="1505"/>
        <w:spacing w:after="0" w:line="264" w:lineRule="auto"/>
        <w:tabs>
          <w:tab w:leader="none" w:pos="2036" w:val="left"/>
        </w:tabs>
        <w:numPr>
          <w:ilvl w:val="2"/>
          <w:numId w:val="1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Retirement</w:t>
      </w:r>
      <w:r>
        <w:rPr>
          <w:rFonts w:ascii="Times New Roman" w:cs="Times New Roman" w:eastAsia="Times New Roman" w:hAnsi="Times New Roman"/>
          <w:sz w:val="22"/>
          <w:szCs w:val="22"/>
          <w:color w:val="auto"/>
        </w:rPr>
        <w:t>” means a Termination of Employment by the Participant upon achieving (A) 55 or more years of age and (B) five or more consecutive years of service with the Company and its Affiliates.</w:t>
      </w:r>
    </w:p>
    <w:p>
      <w:pPr>
        <w:spacing w:after="0" w:line="145"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2"/>
          <w:numId w:val="1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Termination Date</w:t>
      </w:r>
      <w:r>
        <w:rPr>
          <w:rFonts w:ascii="Times New Roman" w:cs="Times New Roman" w:eastAsia="Times New Roman" w:hAnsi="Times New Roman"/>
          <w:sz w:val="22"/>
          <w:szCs w:val="22"/>
          <w:color w:val="auto"/>
        </w:rPr>
        <w:t>” means the date of the Participant’s Termination of Employment.</w:t>
      </w:r>
    </w:p>
    <w:p>
      <w:pPr>
        <w:spacing w:after="0" w:line="208" w:lineRule="exact"/>
        <w:rPr>
          <w:rFonts w:ascii="Times New Roman" w:cs="Times New Roman" w:eastAsia="Times New Roman" w:hAnsi="Times New Roman"/>
          <w:sz w:val="22"/>
          <w:szCs w:val="22"/>
          <w:color w:val="auto"/>
        </w:rPr>
      </w:pPr>
    </w:p>
    <w:p>
      <w:pPr>
        <w:ind w:left="760" w:hanging="752"/>
        <w:spacing w:after="0"/>
        <w:tabs>
          <w:tab w:leader="none" w:pos="760" w:val="left"/>
        </w:tabs>
        <w:numPr>
          <w:ilvl w:val="0"/>
          <w:numId w:val="15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RIGHTS AS STOCKHOLDER; DIVIDEND EQUIVALENTS</w:t>
      </w:r>
    </w:p>
    <w:p>
      <w:pPr>
        <w:spacing w:after="0" w:line="129" w:lineRule="exact"/>
        <w:rPr>
          <w:rFonts w:ascii="Times New Roman" w:cs="Times New Roman" w:eastAsia="Times New Roman" w:hAnsi="Times New Roman"/>
          <w:sz w:val="22"/>
          <w:szCs w:val="22"/>
          <w:b w:val="1"/>
          <w:bCs w:val="1"/>
          <w:color w:val="auto"/>
        </w:rPr>
      </w:pPr>
    </w:p>
    <w:p>
      <w:pPr>
        <w:jc w:val="both"/>
        <w:ind w:firstLine="757"/>
        <w:spacing w:after="0" w:line="244" w:lineRule="auto"/>
        <w:tabs>
          <w:tab w:leader="none" w:pos="1018" w:val="left"/>
        </w:tabs>
        <w:numPr>
          <w:ilvl w:val="1"/>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Participant shall not be, nor have any of the rights or privileges of, a stockholder of the Company in respect of any PSUs unless and until shares of Common Stock settled for Earned PSUs shall have been issued by the Company to Participant (as evidenced by the appropriate entry on the books of the Company or of a duly authorized transfer agent of the Company).</w:t>
      </w:r>
    </w:p>
    <w:p>
      <w:pPr>
        <w:spacing w:after="0" w:line="173"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1"/>
          <w:szCs w:val="21"/>
          <w:color w:val="auto"/>
        </w:rPr>
        <w:t>(b)Notwithstanding the foregoing, from and after the Grant Date and until the earlier of (i) the Participant’s receipt of Common Stock upon payment of Earned PSUs and (ii) the time when the Participant’s right to receive Common Stock upon payment of PSUs is forfeited, on the date that the Company pays a cash dividend (if any) to holders of Common Stock generally, the Participant shall be entitled, as a Dividend Equivalent, to a number of additional whole Target PSUs determined by dividing</w:t>
      </w:r>
    </w:p>
    <w:p>
      <w:pPr>
        <w:spacing w:after="0" w:line="2" w:lineRule="exact"/>
        <w:rPr>
          <w:sz w:val="20"/>
          <w:szCs w:val="20"/>
          <w:color w:val="auto"/>
        </w:rPr>
      </w:pPr>
    </w:p>
    <w:p>
      <w:pPr>
        <w:jc w:val="both"/>
        <w:ind w:firstLine="8"/>
        <w:spacing w:after="0" w:line="230" w:lineRule="auto"/>
        <w:tabs>
          <w:tab w:leader="none" w:pos="280" w:val="left"/>
        </w:tabs>
        <w:numPr>
          <w:ilvl w:val="0"/>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product of (A) the dollar amount of the cash dividend paid per share of Common Stock on such date and (B) the total number of Target PSUs (including dividend equivalents paid thereon) previously credited to the Participant as of such date, by</w:t>
      </w:r>
    </w:p>
    <w:p>
      <w:pPr>
        <w:spacing w:after="0" w:line="1" w:lineRule="exact"/>
        <w:rPr>
          <w:rFonts w:ascii="Times New Roman" w:cs="Times New Roman" w:eastAsia="Times New Roman" w:hAnsi="Times New Roman"/>
          <w:sz w:val="22"/>
          <w:szCs w:val="22"/>
          <w:color w:val="auto"/>
        </w:rPr>
      </w:pPr>
    </w:p>
    <w:p>
      <w:pPr>
        <w:jc w:val="both"/>
        <w:ind w:firstLine="8"/>
        <w:spacing w:after="0" w:line="235" w:lineRule="auto"/>
        <w:tabs>
          <w:tab w:leader="none" w:pos="331" w:val="left"/>
        </w:tabs>
        <w:numPr>
          <w:ilvl w:val="0"/>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Fair Market Value per share of Common Stock on such date. Such Dividend Equivalents (if any) shall be subject to the same terms and conditions and shall be settled or forfeited in the same manner and at the same time as the Target PSUs to which the Dividend Equivalents were credited.</w:t>
      </w:r>
    </w:p>
    <w:p>
      <w:pPr>
        <w:spacing w:after="0" w:line="174" w:lineRule="exact"/>
        <w:rPr>
          <w:sz w:val="20"/>
          <w:szCs w:val="20"/>
          <w:color w:val="auto"/>
        </w:rPr>
      </w:pPr>
    </w:p>
    <w:p>
      <w:pPr>
        <w:ind w:left="760" w:hanging="752"/>
        <w:spacing w:after="0"/>
        <w:tabs>
          <w:tab w:leader="none" w:pos="760" w:val="left"/>
        </w:tabs>
        <w:numPr>
          <w:ilvl w:val="0"/>
          <w:numId w:val="15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RESTRICTIONS ON RESALES OF SHARES</w:t>
      </w:r>
    </w:p>
    <w:p>
      <w:pPr>
        <w:spacing w:after="0" w:line="11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The Company may impose such restrictions, conditions or limitations as it determines appropriate as to the timing and manner of any resales by the Participant or other subsequent transfers by the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5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61" w:name="page162"/>
    <w:bookmarkEnd w:id="161"/>
    <w:p>
      <w:pPr>
        <w:spacing w:after="0" w:line="10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Participant of any shares of Common Stock issued pursuant to Earned PSUs, including (a) restrictions under an insider trading policy, (b) restrictions designed to delay and/or coordinate the timing and manner of sales by Participant and other holders and (c) restrictions as to the use of a specified brokerage firm for such resales or other transfers.</w:t>
      </w:r>
    </w:p>
    <w:p>
      <w:pPr>
        <w:spacing w:after="0" w:line="169" w:lineRule="exact"/>
        <w:rPr>
          <w:sz w:val="20"/>
          <w:szCs w:val="20"/>
          <w:color w:val="auto"/>
        </w:rPr>
      </w:pPr>
    </w:p>
    <w:p>
      <w:pPr>
        <w:ind w:left="760" w:hanging="752"/>
        <w:spacing w:after="0"/>
        <w:tabs>
          <w:tab w:leader="none" w:pos="760" w:val="left"/>
        </w:tabs>
        <w:numPr>
          <w:ilvl w:val="0"/>
          <w:numId w:val="15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INCOME TAXES</w:t>
      </w:r>
    </w:p>
    <w:p>
      <w:pPr>
        <w:spacing w:after="0" w:line="1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1"/>
          <w:szCs w:val="21"/>
          <w:color w:val="auto"/>
        </w:rPr>
        <w:t>To the extent required by applicable federal, state, local or foreign law, the Participant shall make arrangements satisfactory to the Company for the satisfaction of any withholding tax obligations that arise by reason of the grant or vesting of the PSUs. The Company shall not be required to issue shares or to recognize the disposition of such shares until such obligations are satisfied.</w:t>
      </w:r>
    </w:p>
    <w:p>
      <w:pPr>
        <w:spacing w:after="0" w:line="153" w:lineRule="exact"/>
        <w:rPr>
          <w:sz w:val="20"/>
          <w:szCs w:val="20"/>
          <w:color w:val="auto"/>
        </w:rPr>
      </w:pPr>
    </w:p>
    <w:p>
      <w:pPr>
        <w:ind w:left="760" w:hanging="752"/>
        <w:spacing w:after="0"/>
        <w:tabs>
          <w:tab w:leader="none" w:pos="760" w:val="left"/>
        </w:tabs>
        <w:numPr>
          <w:ilvl w:val="0"/>
          <w:numId w:val="15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NONTRANSFERABILITY­ OF AWARD</w:t>
      </w:r>
    </w:p>
    <w:p>
      <w:pPr>
        <w:spacing w:after="0" w:line="129"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The Participant understands, acknowledges and agrees that, except as otherwise provided in the Plan or as permitted by the Committee, the Award may not be sold, assigned, transferred, pledged or otherwise directly or indirectly encumbered or disposed of other than by will or the laws of descent and distribution. Notwithstanding the foregoing, (a) the Participant shall be permitted to transfer the Award as a gift to an Assignee Entity in accordance with and subject to the limits of Section 17 of the Plan and (b) if not previously so transferred, any shares of Common Stock that become issuable hereunder but which otherwise remain unissued at the time of the Participant’s death shall be transferred to the Participant’s designated beneficiary or, if none, to the Participant’s estate.</w:t>
      </w:r>
    </w:p>
    <w:p>
      <w:pPr>
        <w:spacing w:after="0" w:line="179" w:lineRule="exact"/>
        <w:rPr>
          <w:sz w:val="20"/>
          <w:szCs w:val="20"/>
          <w:color w:val="auto"/>
        </w:rPr>
      </w:pPr>
    </w:p>
    <w:p>
      <w:pPr>
        <w:ind w:left="760" w:hanging="752"/>
        <w:spacing w:after="0"/>
        <w:tabs>
          <w:tab w:leader="none" w:pos="760" w:val="left"/>
        </w:tabs>
        <w:numPr>
          <w:ilvl w:val="0"/>
          <w:numId w:val="15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OTHER AGREEMENTS SUPERSEDED</w:t>
      </w:r>
    </w:p>
    <w:p>
      <w:pPr>
        <w:spacing w:after="0" w:line="11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Grant Notice, these Standard Terms and Conditions, the Confidentiality and Inventions Agreement and the Plan constitute the entire understanding between the Participant and the Company regarding the Award. Any prior agreements, commitments or negotiations concerning the Award are superseded; provided, however, that the terms of the Confidentiality and Inventions Agreement are in addition to and complement (and do not replace or supersede) all other agreements and obligations between the Company and any of its affiliates and the Participant with respect to confidentiality and intellectual property.</w:t>
      </w:r>
    </w:p>
    <w:p>
      <w:pPr>
        <w:spacing w:after="0" w:line="173" w:lineRule="exact"/>
        <w:rPr>
          <w:sz w:val="20"/>
          <w:szCs w:val="20"/>
          <w:color w:val="auto"/>
        </w:rPr>
      </w:pPr>
    </w:p>
    <w:p>
      <w:pPr>
        <w:ind w:left="760" w:hanging="752"/>
        <w:spacing w:after="0"/>
        <w:tabs>
          <w:tab w:leader="none" w:pos="760" w:val="left"/>
        </w:tabs>
        <w:numPr>
          <w:ilvl w:val="0"/>
          <w:numId w:val="15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LIMITATION OF INTEREST IN SHARES SUBJECT TO PERFORMANCE STOCK UNITS</w:t>
      </w:r>
    </w:p>
    <w:p>
      <w:pPr>
        <w:spacing w:after="0" w:line="129"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Neither the Participant (individually or as a member of a group) nor any beneficiary or other person claiming under or through the Participant shall have any right, title, interest, or privilege in or to any shares of Common Stock allocated or reserved for the purpose of the Plan or subject to the Grant Notice or these Standard Terms and Conditions except as to such shares of Common Stock, if any, as shall have been issued to such person in connection with the Award. Nothing in the Plan, in the Grant Notice, these Standard Terms and Conditions or any other instrument executed pursuant to the Plan shall confer upon the Participant any right to continue in the Company’s employ or service nor limit in any way the Company’s right to terminate the Participant’s employment at any time for any reason.</w:t>
      </w:r>
    </w:p>
    <w:p>
      <w:pPr>
        <w:spacing w:after="0" w:line="179" w:lineRule="exact"/>
        <w:rPr>
          <w:sz w:val="20"/>
          <w:szCs w:val="20"/>
          <w:color w:val="auto"/>
        </w:rPr>
      </w:pPr>
    </w:p>
    <w:p>
      <w:pPr>
        <w:ind w:left="760" w:hanging="752"/>
        <w:spacing w:after="0"/>
        <w:tabs>
          <w:tab w:leader="none" w:pos="760" w:val="left"/>
        </w:tabs>
        <w:numPr>
          <w:ilvl w:val="0"/>
          <w:numId w:val="15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GENERAL</w:t>
      </w:r>
    </w:p>
    <w:p>
      <w:pPr>
        <w:spacing w:after="0" w:line="129" w:lineRule="exact"/>
        <w:rPr>
          <w:rFonts w:ascii="Times New Roman" w:cs="Times New Roman" w:eastAsia="Times New Roman" w:hAnsi="Times New Roman"/>
          <w:sz w:val="22"/>
          <w:szCs w:val="22"/>
          <w:b w:val="1"/>
          <w:bCs w:val="1"/>
          <w:color w:val="auto"/>
        </w:rPr>
      </w:pPr>
    </w:p>
    <w:p>
      <w:pPr>
        <w:ind w:left="76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 In the event that any provision of these Standard Terms and Conditions is declared</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5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2" w:name="page163"/>
    <w:bookmarkEnd w:id="162"/>
    <w:p>
      <w:pPr>
        <w:spacing w:after="0" w:line="10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to be illegal, invalid or otherwise unenforceable by a court of competent jurisdiction, such provision shall be reformed, if possible, to the extent necessary to render it legal, valid and enforceable, or otherwise deleted, and the remainder of these Standard Terms and Conditions shall not be affected except to the extent necessary to reform or delete such illegal, invalid or unenforceable provision.</w:t>
      </w:r>
    </w:p>
    <w:p>
      <w:pPr>
        <w:spacing w:after="0" w:line="180"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color w:val="auto"/>
        </w:rPr>
        <w:t>(b)The headings preceding the text of the sections hereof are inserted solely for convenience of reference, and shall not constitute a part of these Standard Terms and Conditions, nor shall they affect its meaning, construction or effect. Words in the masculine gender shall include the feminine gender, and where appropriate, the plural shall include the singular and the singular shall include the plural. The use herein of the word “including” following any general statement, term or matter shall not be construed to limit such statement, term or matter to the specific items or matters set forth immediately following such word or to similar items or matters, whether or not non-limiting language (such as “without limitation”, “but not limited to”, or words of similar import) is used with reference thereto, but rather shall be deemed to refer to all other items or matters that could reasonably fall within the broadest possible scope of such general statement, term or matter. References herein to any agreement, instrument or other document means such agreement, instrument or other document as amended, supplemented and modified from time to time to the extent permitted by the provisions thereof and not prohibited by the Plan or these Standard Terms and Conditions.</w:t>
      </w:r>
    </w:p>
    <w:p>
      <w:pPr>
        <w:spacing w:after="0" w:line="187" w:lineRule="exact"/>
        <w:rPr>
          <w:sz w:val="20"/>
          <w:szCs w:val="20"/>
          <w:color w:val="auto"/>
        </w:rPr>
      </w:pPr>
    </w:p>
    <w:p>
      <w:pPr>
        <w:ind w:right="20" w:firstLine="757"/>
        <w:spacing w:after="0" w:line="258" w:lineRule="auto"/>
        <w:tabs>
          <w:tab w:leader="none" w:pos="1018" w:val="left"/>
        </w:tabs>
        <w:numPr>
          <w:ilvl w:val="0"/>
          <w:numId w:val="1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These Standard Terms and Conditions shall inure to the benefit of and be binding upon the parties hereto and their respective permitted heirs, beneficiaries, successors and assigns.</w:t>
      </w:r>
    </w:p>
    <w:p>
      <w:pPr>
        <w:spacing w:after="0" w:line="158"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22"/>
          <w:szCs w:val="22"/>
          <w:color w:val="auto"/>
        </w:rPr>
        <w:t>(d)These Standard Terms and Conditions shall be construed in accordance with and governed by the laws of the State of Delaware, without regard to principles of conflicts of law.</w:t>
      </w:r>
    </w:p>
    <w:p>
      <w:pPr>
        <w:spacing w:after="0" w:line="158" w:lineRule="exact"/>
        <w:rPr>
          <w:sz w:val="20"/>
          <w:szCs w:val="20"/>
          <w:color w:val="auto"/>
        </w:rPr>
      </w:pPr>
    </w:p>
    <w:p>
      <w:pPr>
        <w:jc w:val="both"/>
        <w:ind w:firstLine="757"/>
        <w:spacing w:after="0" w:line="244" w:lineRule="auto"/>
        <w:tabs>
          <w:tab w:leader="none" w:pos="1018" w:val="left"/>
        </w:tabs>
        <w:numPr>
          <w:ilvl w:val="0"/>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of any conflict between the Grant Notice, these Standard Terms and Conditions and the Plan, the Grant Notice and these Standard Terms and Conditions shall control. In the event of any conflict between the Grant Notice and these Standard Terms and Conditions, the Grant Notice shall control.</w:t>
      </w:r>
    </w:p>
    <w:p>
      <w:pPr>
        <w:spacing w:after="0" w:line="173" w:lineRule="exact"/>
        <w:rPr>
          <w:rFonts w:ascii="Times New Roman" w:cs="Times New Roman" w:eastAsia="Times New Roman" w:hAnsi="Times New Roman"/>
          <w:sz w:val="22"/>
          <w:szCs w:val="22"/>
          <w:color w:val="auto"/>
        </w:rPr>
      </w:pPr>
    </w:p>
    <w:p>
      <w:pPr>
        <w:ind w:firstLine="757"/>
        <w:spacing w:after="0" w:line="258" w:lineRule="auto"/>
        <w:tabs>
          <w:tab w:leader="none" w:pos="1018" w:val="left"/>
        </w:tabs>
        <w:numPr>
          <w:ilvl w:val="0"/>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questions arising under the Plan or under these Standard Terms and Conditions shall be decided by the Committee in its total and absolute discretion.</w:t>
      </w:r>
    </w:p>
    <w:p>
      <w:pPr>
        <w:spacing w:after="0" w:line="154" w:lineRule="exact"/>
        <w:rPr>
          <w:sz w:val="20"/>
          <w:szCs w:val="20"/>
          <w:color w:val="auto"/>
        </w:rPr>
      </w:pPr>
    </w:p>
    <w:p>
      <w:pPr>
        <w:ind w:left="760" w:hanging="752"/>
        <w:spacing w:after="0"/>
        <w:tabs>
          <w:tab w:leader="none" w:pos="760" w:val="left"/>
        </w:tabs>
        <w:numPr>
          <w:ilvl w:val="0"/>
          <w:numId w:val="16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CLAWBACK</w:t>
      </w:r>
    </w:p>
    <w:p>
      <w:pPr>
        <w:spacing w:after="0" w:line="116"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The PSUs and any shares of Common Stock issued pursuant to the Earned PSUs are subject to recoupment in accordance with any recoupment policy that the Company may adopt from time to time, to the extent any such policy is applicable to the Participant and to such compensation, including the Petco Health and Wellness Company, Inc. Clawback Policy (as amended from time to time), designed to comply with the requirements of Rule 10D-1 promulgated under the Act, as well as any recoupment provisions required under applicable law. For purposes of the foregoing, the Participant expressly and explicitly authorizes (x) the Company to issue instructions, on the Participant’s behalf, to any brokerage firm and/or third party administrator engaged by the Company to hold shares of Common Stock and other amounts acquired under the Award or the Plan to re-convey, transfer or otherwise return such shares and/or other amounts to the Company and (y) the Company’s recovery of any covered compensation through any method of recovery</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5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3" w:name="page164"/>
    <w:bookmarkEnd w:id="163"/>
    <w:p>
      <w:pPr>
        <w:spacing w:after="0" w:line="10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that the Company deems appropriate, including by reducing any amount that is or may become payable to the Participant. The Participant further agrees to comply with any request or demand for repayment by any affiliate of the Company in order to comply with such policies or applicable law. To the extent that the Standard Terms and Conditions and any Company recoupment policy conflict, the terms of the recoupment policy shall prevail.</w:t>
      </w:r>
    </w:p>
    <w:p>
      <w:pPr>
        <w:spacing w:after="0" w:line="176" w:lineRule="exact"/>
        <w:rPr>
          <w:sz w:val="20"/>
          <w:szCs w:val="20"/>
          <w:color w:val="auto"/>
        </w:rPr>
      </w:pPr>
    </w:p>
    <w:p>
      <w:pPr>
        <w:ind w:left="760" w:hanging="752"/>
        <w:spacing w:after="0"/>
        <w:tabs>
          <w:tab w:leader="none" w:pos="760" w:val="left"/>
        </w:tabs>
        <w:numPr>
          <w:ilvl w:val="0"/>
          <w:numId w:val="16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ELECTRONIC DELIVERY</w:t>
      </w:r>
    </w:p>
    <w:p>
      <w:pPr>
        <w:spacing w:after="0" w:line="11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By executing the Grant Notice, the Participant hereby consents to the delivery of information (including, without limitation, information required to be delivered to the Participant pursuant to applicable securities laws) regarding the Company and the Subsidiaries, the Plan, and the PSUs via Company web site or other electronic delivery.</w:t>
      </w: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5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4" w:name="page165"/>
    <w:bookmarkEnd w:id="164"/>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EXHIBIT B</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CONFIDENTIALITY AND INVENTIONS AGREEMENT</w:t>
      </w:r>
    </w:p>
    <w:p>
      <w:pPr>
        <w:spacing w:after="0" w:line="21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As a condition to the receipt of the Award granted pursuant to the Grant Notice to which this Confidentiality and Inventions Agreement is attached and in consideration of the Participant’s continued employment with the Company, the Participant hereby confirms the Participant’s agreement as follows:</w:t>
      </w:r>
    </w:p>
    <w:p>
      <w:pPr>
        <w:spacing w:after="0" w:line="169" w:lineRule="exact"/>
        <w:rPr>
          <w:sz w:val="20"/>
          <w:szCs w:val="20"/>
          <w:color w:val="auto"/>
        </w:rPr>
      </w:pPr>
    </w:p>
    <w:p>
      <w:pPr>
        <w:ind w:left="520" w:hanging="512"/>
        <w:spacing w:after="0"/>
        <w:tabs>
          <w:tab w:leader="none" w:pos="520" w:val="left"/>
        </w:tabs>
        <w:numPr>
          <w:ilvl w:val="0"/>
          <w:numId w:val="16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GENERAL</w:t>
      </w:r>
    </w:p>
    <w:p>
      <w:pPr>
        <w:spacing w:after="0" w:line="210"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1"/>
          <w:szCs w:val="21"/>
          <w:color w:val="auto"/>
        </w:rPr>
        <w:t>The Participant’s employment by the Company is in a capacity in which he or she may have access to, or contribute to the production of, Confidential Information and the Company Work Product (both as defined below). The Participant’s employment creates a relationship of confidence and trust between the Company and the Participant with respect to the Confidential Information and the Company Work Product as set forth herein. This Confidentiality and Inventions Agreement are subject to the terms of the Standard Terms and Conditions attached as Exhibit A to the Grant Notice to which this Confidentiality and Inventions Agreement is attached; provided however, that in the event of any conflict between the Standard Terms and Conditions and this Confidentiality and Inventions Agreement, this Confidentiality and Inventions Agreement shall control.</w:t>
      </w:r>
    </w:p>
    <w:p>
      <w:pPr>
        <w:spacing w:after="0" w:line="166" w:lineRule="exact"/>
        <w:rPr>
          <w:sz w:val="20"/>
          <w:szCs w:val="20"/>
          <w:color w:val="auto"/>
        </w:rPr>
      </w:pPr>
    </w:p>
    <w:p>
      <w:pPr>
        <w:ind w:left="520" w:hanging="512"/>
        <w:spacing w:after="0"/>
        <w:tabs>
          <w:tab w:leader="none" w:pos="520" w:val="left"/>
        </w:tabs>
        <w:numPr>
          <w:ilvl w:val="0"/>
          <w:numId w:val="16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DEFINITIONS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Capitalized terms not otherwise defined herein shall have the meaning set forth in the Petco Health and Wellness Company, Inc.</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2021 Equity Incentive Plan, as amended from time to time. For purposes of this Confidentiality and Inventions Agreement:</w:t>
      </w:r>
    </w:p>
    <w:p>
      <w:pPr>
        <w:spacing w:after="0" w:line="95" w:lineRule="exact"/>
        <w:rPr>
          <w:sz w:val="20"/>
          <w:szCs w:val="20"/>
          <w:color w:val="auto"/>
        </w:rPr>
      </w:pPr>
    </w:p>
    <w:p>
      <w:pPr>
        <w:jc w:val="both"/>
        <w:ind w:firstLine="757"/>
        <w:spacing w:after="0" w:line="244" w:lineRule="auto"/>
        <w:tabs>
          <w:tab w:leader="none" w:pos="1018" w:val="left"/>
        </w:tabs>
        <w:numPr>
          <w:ilvl w:val="0"/>
          <w:numId w:val="1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Confidential Information</w:t>
      </w:r>
      <w:r>
        <w:rPr>
          <w:rFonts w:ascii="Times New Roman" w:cs="Times New Roman" w:eastAsia="Times New Roman" w:hAnsi="Times New Roman"/>
          <w:sz w:val="21"/>
          <w:szCs w:val="21"/>
          <w:color w:val="auto"/>
        </w:rPr>
        <w:t>” shall mean information or material (i) that is proprietary to the Company or confidential to the Company, whether or not designated or labeled as such, and (ii) that the Participant creates, discovers or develops, or of which the Participant obtains knowledge of or access to, in the course of the Participant’s employment with the Company. Confidential Information may include, but is not limited to, designs, works of authorship, formulae, ideas, concepts, techniques, inventions, devices, improvements, know-how, methods, processes, drawings, specifications, models, data, diagrams, flow charts, research, procedures, computer programs, marketing techniques and materials, business, marketing, development and product plans, financial information, customer lists and contact information, personnel information, and other confidential business or technical information created on behalf of the Company or obtained as a result of or in the course of employment with the Company. For purposes of this Confidentiality and Inventions Agreement, the “</w:t>
      </w:r>
      <w:r>
        <w:rPr>
          <w:rFonts w:ascii="Times New Roman" w:cs="Times New Roman" w:eastAsia="Times New Roman" w:hAnsi="Times New Roman"/>
          <w:sz w:val="21"/>
          <w:szCs w:val="21"/>
          <w:b w:val="1"/>
          <w:bCs w:val="1"/>
          <w:i w:val="1"/>
          <w:iCs w:val="1"/>
          <w:color w:val="auto"/>
        </w:rPr>
        <w:t>Company</w:t>
      </w:r>
      <w:r>
        <w:rPr>
          <w:rFonts w:ascii="Times New Roman" w:cs="Times New Roman" w:eastAsia="Times New Roman" w:hAnsi="Times New Roman"/>
          <w:sz w:val="21"/>
          <w:szCs w:val="21"/>
          <w:color w:val="auto"/>
        </w:rPr>
        <w:t>” shall mean the Company or any of its Affiliates. To the extent that the participant can demonstrate by competent proof that one of the following exceptions applies, the Participant shall have no obligation under this Confidentiality and Inventions Agreement to maintain in confidence any: (I)</w:t>
      </w:r>
    </w:p>
    <w:p>
      <w:pPr>
        <w:spacing w:after="0" w:line="2" w:lineRule="exact"/>
        <w:rPr>
          <w:rFonts w:ascii="Times New Roman" w:cs="Times New Roman" w:eastAsia="Times New Roman" w:hAnsi="Times New Roman"/>
          <w:sz w:val="21"/>
          <w:szCs w:val="21"/>
          <w:color w:val="auto"/>
        </w:rPr>
      </w:pPr>
    </w:p>
    <w:p>
      <w:pPr>
        <w:jc w:val="both"/>
        <w:spacing w:after="0" w:line="233"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INFORMATION THAT IS OR BECOMES GENERALLY PUBLICLY KNOWN OTHER THAN AS A RESULT OF THE PARTICIPANT’S DISCLOSURE IN VIOLATION OF THIS AGREEMENT, (II) INFORMATION THAT WAS KNOWN BY THE PARTICIPANT OR AVAILABLE TO THE PARTICIPANT WITHOUT RESTRICTION PRIOR TO DISCLOSURE TO THE PARTICIPANT BY THE COMPANY, (III) INFORMATION THAT BECOMES AVAILABLE TO THE PARTICIPANT ON A NON-CONFIDENTIAL BASIS FROM A THIRD PARTY</w:t>
      </w: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w:t>
      </w:r>
      <w:r>
        <w:rPr>
          <w:rFonts w:ascii="Times New Roman" w:cs="Times New Roman" w:eastAsia="Times New Roman" w:hAnsi="Times New Roman"/>
          <w:sz w:val="14"/>
          <w:szCs w:val="14"/>
          <w:color w:val="auto"/>
        </w:rPr>
        <w:t>xhibit</w:t>
      </w:r>
      <w:r>
        <w:rPr>
          <w:rFonts w:ascii="Times New Roman" w:cs="Times New Roman" w:eastAsia="Times New Roman" w:hAnsi="Times New Roman"/>
          <w:sz w:val="22"/>
          <w:szCs w:val="22"/>
          <w:color w:val="auto"/>
        </w:rPr>
        <w:t xml:space="preserve"> B</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w:t>
      </w:r>
      <w:r>
        <w:rPr>
          <w:rFonts w:ascii="Times New Roman" w:cs="Times New Roman" w:eastAsia="Times New Roman" w:hAnsi="Times New Roman"/>
          <w:sz w:val="14"/>
          <w:szCs w:val="14"/>
          <w:color w:val="auto"/>
        </w:rPr>
        <w:t>onfidentiality and</w:t>
      </w:r>
      <w:r>
        <w:rPr>
          <w:rFonts w:ascii="Times New Roman" w:cs="Times New Roman" w:eastAsia="Times New Roman" w:hAnsi="Times New Roman"/>
          <w:sz w:val="22"/>
          <w:szCs w:val="22"/>
          <w:color w:val="auto"/>
        </w:rPr>
        <w:t xml:space="preserve"> I</w:t>
      </w:r>
      <w:r>
        <w:rPr>
          <w:rFonts w:ascii="Times New Roman" w:cs="Times New Roman" w:eastAsia="Times New Roman" w:hAnsi="Times New Roman"/>
          <w:sz w:val="14"/>
          <w:szCs w:val="14"/>
          <w:color w:val="auto"/>
        </w:rPr>
        <w:t>nventions</w:t>
      </w:r>
      <w:r>
        <w:rPr>
          <w:rFonts w:ascii="Times New Roman" w:cs="Times New Roman" w:eastAsia="Times New Roman" w:hAnsi="Times New Roman"/>
          <w:sz w:val="22"/>
          <w:szCs w:val="22"/>
          <w:color w:val="auto"/>
        </w:rPr>
        <w:t xml:space="preserve"> A</w:t>
      </w:r>
      <w:r>
        <w:rPr>
          <w:rFonts w:ascii="Times New Roman" w:cs="Times New Roman" w:eastAsia="Times New Roman" w:hAnsi="Times New Roman"/>
          <w:sz w:val="14"/>
          <w:szCs w:val="14"/>
          <w:color w:val="auto"/>
        </w:rPr>
        <w:t>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462915</wp:posOffset>
            </wp:positionV>
            <wp:extent cx="7157720" cy="4254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5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65" w:name="page166"/>
    <w:bookmarkEnd w:id="165"/>
    <w:p>
      <w:pPr>
        <w:spacing w:after="0" w:line="10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THAT IS NOT SUBJECT TO CONFIDENTIALITY OBLIGATIONS IN FAVOR, OR THAT INURE TO THE BENEFIT, OF THE COMPANY, AND (IV) INFORMATION THAT WAS DEVELOPED INDEPENDENTLY BY OR FOR THE PARTICIPANT WITHOUT REFERENCE TO THE CONFIDENTIAL INFORMATION, USE OF COMPANY RESOURCES OR BREACH OF THIS AGREEMENT, INCLUDING, WITHOUT LIMITATION, THE “PRE-EMPLOYMENT WORK PRODUCT” (AS DEFINED BELOW).</w:t>
      </w:r>
    </w:p>
    <w:p>
      <w:pPr>
        <w:spacing w:after="0" w:line="171"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1"/>
          <w:szCs w:val="21"/>
          <w:color w:val="auto"/>
        </w:rPr>
        <w:t>(b)“</w:t>
      </w:r>
      <w:r>
        <w:rPr>
          <w:rFonts w:ascii="Times New Roman" w:cs="Times New Roman" w:eastAsia="Times New Roman" w:hAnsi="Times New Roman"/>
          <w:sz w:val="21"/>
          <w:szCs w:val="21"/>
          <w:b w:val="1"/>
          <w:bCs w:val="1"/>
          <w:i w:val="1"/>
          <w:iCs w:val="1"/>
          <w:color w:val="auto"/>
        </w:rPr>
        <w:t>Work Product</w:t>
      </w:r>
      <w:r>
        <w:rPr>
          <w:rFonts w:ascii="Times New Roman" w:cs="Times New Roman" w:eastAsia="Times New Roman" w:hAnsi="Times New Roman"/>
          <w:sz w:val="21"/>
          <w:szCs w:val="21"/>
          <w:color w:val="auto"/>
        </w:rPr>
        <w:t>” shall mean inventions, data, ideas, designs, drawings, works of authorship, trademarks, service marks, trade names, service names, logos, developments, formulae, concepts, techniques, devices, improvements, know-how, methods, processes, programs and discoveries, whether or not patentable or protectable under applicable copyright or trademark law, or under other similar law, and whether or not reduced to practice or tangible form, together with any improvements thereon or thereto, derivative works therefrom, and intellectual property rights therein created on behalf of the Company as part of the obligation of employment in performing work for the Company or otherwise in the course of employment with the Company.</w:t>
      </w:r>
    </w:p>
    <w:p>
      <w:pPr>
        <w:spacing w:after="0" w:line="167" w:lineRule="exact"/>
        <w:rPr>
          <w:sz w:val="20"/>
          <w:szCs w:val="20"/>
          <w:color w:val="auto"/>
        </w:rPr>
      </w:pPr>
    </w:p>
    <w:p>
      <w:pPr>
        <w:ind w:left="520" w:hanging="512"/>
        <w:spacing w:after="0"/>
        <w:tabs>
          <w:tab w:leader="none" w:pos="520" w:val="left"/>
        </w:tabs>
        <w:numPr>
          <w:ilvl w:val="0"/>
          <w:numId w:val="16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CONFIDENTIALITY</w:t>
      </w:r>
    </w:p>
    <w:p>
      <w:pPr>
        <w:spacing w:after="0" w:line="115" w:lineRule="exact"/>
        <w:rPr>
          <w:rFonts w:ascii="Times New Roman" w:cs="Times New Roman" w:eastAsia="Times New Roman" w:hAnsi="Times New Roman"/>
          <w:sz w:val="22"/>
          <w:szCs w:val="22"/>
          <w:b w:val="1"/>
          <w:bCs w:val="1"/>
          <w:color w:val="auto"/>
        </w:rPr>
      </w:pPr>
    </w:p>
    <w:p>
      <w:pPr>
        <w:jc w:val="both"/>
        <w:ind w:firstLine="757"/>
        <w:spacing w:after="0" w:line="233" w:lineRule="auto"/>
        <w:tabs>
          <w:tab w:leader="none" w:pos="1018" w:val="left"/>
        </w:tabs>
        <w:numPr>
          <w:ilvl w:val="1"/>
          <w:numId w:val="1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the term of the Participant’s employment by the Company and at all times thereafter, the Participant will keep in strict confidence and trust all Confidential Information, and the Participant will not, directly or indirectly, disclose, distribute, sell, transfer, use, lecture upon or publish any Confidential Information, except as may be necessary in the course of performing the Participant’s duties as an employee of the Company or as the Company authorizes or permits. Notwithstanding the foregoing, the Participant shall be entitled to continue to use Confidential Information of the Company transferred to a purchaser (“</w:t>
      </w:r>
      <w:r>
        <w:rPr>
          <w:rFonts w:ascii="Times New Roman" w:cs="Times New Roman" w:eastAsia="Times New Roman" w:hAnsi="Times New Roman"/>
          <w:sz w:val="22"/>
          <w:szCs w:val="22"/>
          <w:b w:val="1"/>
          <w:bCs w:val="1"/>
          <w:i w:val="1"/>
          <w:iCs w:val="1"/>
          <w:color w:val="auto"/>
        </w:rPr>
        <w:t>Purchaser</w:t>
      </w:r>
      <w:r>
        <w:rPr>
          <w:rFonts w:ascii="Times New Roman" w:cs="Times New Roman" w:eastAsia="Times New Roman" w:hAnsi="Times New Roman"/>
          <w:sz w:val="22"/>
          <w:szCs w:val="22"/>
          <w:color w:val="auto"/>
        </w:rPr>
        <w:t>”) of all or substantially all of the assets of a business (“</w:t>
      </w:r>
      <w:r>
        <w:rPr>
          <w:rFonts w:ascii="Times New Roman" w:cs="Times New Roman" w:eastAsia="Times New Roman" w:hAnsi="Times New Roman"/>
          <w:sz w:val="22"/>
          <w:szCs w:val="22"/>
          <w:b w:val="1"/>
          <w:bCs w:val="1"/>
          <w:i w:val="1"/>
          <w:iCs w:val="1"/>
          <w:color w:val="auto"/>
        </w:rPr>
        <w:t>Business</w:t>
      </w:r>
      <w:r>
        <w:rPr>
          <w:rFonts w:ascii="Times New Roman" w:cs="Times New Roman" w:eastAsia="Times New Roman" w:hAnsi="Times New Roman"/>
          <w:sz w:val="22"/>
          <w:szCs w:val="22"/>
          <w:color w:val="auto"/>
        </w:rPr>
        <w:t>”) of Company (an “</w:t>
      </w:r>
      <w:r>
        <w:rPr>
          <w:rFonts w:ascii="Times New Roman" w:cs="Times New Roman" w:eastAsia="Times New Roman" w:hAnsi="Times New Roman"/>
          <w:sz w:val="22"/>
          <w:szCs w:val="22"/>
          <w:b w:val="1"/>
          <w:bCs w:val="1"/>
          <w:i w:val="1"/>
          <w:iCs w:val="1"/>
          <w:color w:val="auto"/>
        </w:rPr>
        <w:t>Acquisition</w:t>
      </w:r>
      <w:r>
        <w:rPr>
          <w:rFonts w:ascii="Times New Roman" w:cs="Times New Roman" w:eastAsia="Times New Roman" w:hAnsi="Times New Roman"/>
          <w:sz w:val="22"/>
          <w:szCs w:val="22"/>
          <w:color w:val="auto"/>
        </w:rPr>
        <w:t>”) solely to the extent that the Participant becomes an employee of such Purchaser or Purchaser’s designated affiliate upon consummation of the Acquisition and such Confidential Information is used in the Business prior to consummation of the Acquisition. The Participant acknowledges and agrees that, upon consummation of the Acquisition, the Confidential Information shall be deemed the Confidential Information of the Purchaser and subject to the Participant’s applicable employment, confidentiality and inventions assignment agreement with such Purchaser.</w:t>
      </w:r>
    </w:p>
    <w:p>
      <w:pPr>
        <w:spacing w:after="0" w:line="187"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(b)The Participant recognizes that the Company has received and in the future will receive information from third parties which is subject to an obligation on the Company’s part to maintain the confidentiality of such information and to use it only for certain limited purposes. The Participant agrees, during the term of the Participant’s employment and thereafter, to hold all such confidential or proprietary information of third parties in the strictest confidence and not to disclose or use it, except as necessary in performing the Participant’s duties as an employee of the Company consistent with the Company’s agreement with such third party. The Participant agrees that such information will be subject to the terms of this Confidentiality and Inventions Agreement as Confidential Information.</w:t>
      </w:r>
    </w:p>
    <w:p>
      <w:pPr>
        <w:spacing w:after="0" w:line="183" w:lineRule="exact"/>
        <w:rPr>
          <w:sz w:val="20"/>
          <w:szCs w:val="20"/>
          <w:color w:val="auto"/>
        </w:rPr>
      </w:pPr>
    </w:p>
    <w:p>
      <w:pPr>
        <w:jc w:val="both"/>
        <w:ind w:firstLine="757"/>
        <w:spacing w:after="0" w:line="261" w:lineRule="auto"/>
        <w:tabs>
          <w:tab w:leader="none" w:pos="1018" w:val="left"/>
        </w:tabs>
        <w:numPr>
          <w:ilvl w:val="0"/>
          <w:numId w:val="1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Protected Disclosures</w:t>
      </w:r>
      <w:r>
        <w:rPr>
          <w:rFonts w:ascii="Times New Roman" w:cs="Times New Roman" w:eastAsia="Times New Roman" w:hAnsi="Times New Roman"/>
          <w:sz w:val="21"/>
          <w:szCs w:val="21"/>
          <w:color w:val="auto"/>
        </w:rPr>
        <w:t>. 18 U.S.C. § 1833(b) provides: “An individual shall not be held criminally or civilly liable under any Federal or State trade secret law for the disclosure of a trade secret that—(A) is made—(i) in confidence to a Federal, State, or local government official, either directly or indirectly, or to an attorney; and (ii) solely for the purpose of reporting or</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5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6" w:name="page167"/>
    <w:bookmarkEnd w:id="166"/>
    <w:p>
      <w:pPr>
        <w:jc w:val="both"/>
        <w:spacing w:after="0" w:line="233" w:lineRule="auto"/>
        <w:rPr>
          <w:sz w:val="20"/>
          <w:szCs w:val="20"/>
          <w:color w:val="auto"/>
        </w:rPr>
      </w:pPr>
      <w:r>
        <w:rPr>
          <w:rFonts w:ascii="Times New Roman" w:cs="Times New Roman" w:eastAsia="Times New Roman" w:hAnsi="Times New Roman"/>
          <w:sz w:val="22"/>
          <w:szCs w:val="22"/>
          <w:color w:val="auto"/>
        </w:rPr>
        <w:t>investigating a suspected violation of law; or (B) is made in a complaint or other document filed in a lawsuit or other proceeding, if such filing is made under seal.” Nothing in this Agreement is intended to conflict with 18 U.S.C. § 1833(b) or create liability for disclosures of trade secrets that are expressly allowed by 18 U.S.C. § 1833(b). Accordingly, the parties to this Agreement have the right to disclose in confidence trade secrets to federal, state, and local government officials, or to an attorney, for the sole purpose of reporting or investigating a suspected violation of law. The parties also have the right to disclose trade secrets in a document filed in a lawsuit or other proceeding, but only if the filing is made under seal and protected from public disclosure. Nothing in this Confidentiality and Inventions Agreement prevents the Participant from discussing or disclosing information about unlawful acts in the workplace, such as harassment or discrimination or any other conduct that the Participant has reason to believe is unlawful. Furthermore, and for the avoidance of doubt, nothing in this Confidentiality and Inventions Agreement limits or restricts the Participant’s ability to communicate with the Securities and Exchange Commission or any other federal, state or local governmental agency or commission (each a “</w:t>
      </w:r>
      <w:r>
        <w:rPr>
          <w:rFonts w:ascii="Times New Roman" w:cs="Times New Roman" w:eastAsia="Times New Roman" w:hAnsi="Times New Roman"/>
          <w:sz w:val="22"/>
          <w:szCs w:val="22"/>
          <w:b w:val="1"/>
          <w:bCs w:val="1"/>
          <w:i w:val="1"/>
          <w:iCs w:val="1"/>
          <w:color w:val="auto"/>
        </w:rPr>
        <w:t>Government Agency</w:t>
      </w:r>
      <w:r>
        <w:rPr>
          <w:rFonts w:ascii="Times New Roman" w:cs="Times New Roman" w:eastAsia="Times New Roman" w:hAnsi="Times New Roman"/>
          <w:sz w:val="22"/>
          <w:szCs w:val="22"/>
          <w:color w:val="auto"/>
        </w:rPr>
        <w:t>”) or otherwise participate in any investigation or proceeding that may be conducted by any Government Agency, including providing documents or other information and reporting possible violations of law or regulation or other disclosures protected under the whistleblower provisions of applicable law or regulation, without notice to the Company.</w:t>
      </w:r>
    </w:p>
    <w:p>
      <w:pPr>
        <w:spacing w:after="0" w:line="176" w:lineRule="exact"/>
        <w:rPr>
          <w:sz w:val="20"/>
          <w:szCs w:val="20"/>
          <w:color w:val="auto"/>
        </w:rPr>
      </w:pPr>
    </w:p>
    <w:p>
      <w:pPr>
        <w:ind w:left="520" w:hanging="512"/>
        <w:spacing w:after="0"/>
        <w:tabs>
          <w:tab w:leader="none" w:pos="520" w:val="left"/>
        </w:tabs>
        <w:numPr>
          <w:ilvl w:val="0"/>
          <w:numId w:val="16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COMPANY PROPERTY</w:t>
      </w:r>
    </w:p>
    <w:p>
      <w:pPr>
        <w:spacing w:after="0" w:line="210"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1"/>
          <w:szCs w:val="21"/>
          <w:color w:val="auto"/>
        </w:rPr>
        <w:t>All apparatus, computers, computer files and media, notes, data, documents, reference materials, sketches, memoranda, records, drawings, engineering log books, equipment, lab/inventor notebooks, programs, prototypes, samples, equipment, tangible embodiments of information, and other physical property, whether or not pertaining to Confidential Information, furnished to the Participant or produced by the Participant or others in connection with the Participant’s employment, shall be and remain the sole property of the Company and any such property actually in the Participant’s possession or control shall be returned promptly to the Company as and when requested in writing by the Company. Should the Company not so request, the Participant shall return and deliver all such property to the Company upon termination of the Participant’s employment. The Participant may not retain any such property or any reproduction of such property upon such termination. The Participant further agrees that any property situated on the Company’s premises and owned, leased, maintained or otherwise contracted for by the Company, including, but not limited to, computers, computer files, e-mail, voicemail, disks and other electronic storage media, filing cabinets, desks or other work areas, are subject to inspection by the Company’s representatives at any time with or without notice.</w:t>
      </w:r>
    </w:p>
    <w:p>
      <w:pPr>
        <w:spacing w:after="0" w:line="173" w:lineRule="exact"/>
        <w:rPr>
          <w:sz w:val="20"/>
          <w:szCs w:val="20"/>
          <w:color w:val="auto"/>
        </w:rPr>
      </w:pPr>
    </w:p>
    <w:p>
      <w:pPr>
        <w:ind w:left="520" w:hanging="512"/>
        <w:spacing w:after="0"/>
        <w:tabs>
          <w:tab w:leader="none" w:pos="520" w:val="left"/>
        </w:tabs>
        <w:numPr>
          <w:ilvl w:val="0"/>
          <w:numId w:val="17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COMPANY WORK PRODUCT</w:t>
      </w:r>
    </w:p>
    <w:p>
      <w:pPr>
        <w:spacing w:after="0" w:line="21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Subject to Section 6 and 7 below, the Participant agrees that any Work Product, in whole or in part, conceived, developed, made or reduced to practice by the Participant (either solely or in conjunction with others) during the term of his or her employment with the Company (collectively, the “</w:t>
      </w:r>
      <w:r>
        <w:rPr>
          <w:rFonts w:ascii="Times New Roman" w:cs="Times New Roman" w:eastAsia="Times New Roman" w:hAnsi="Times New Roman"/>
          <w:sz w:val="22"/>
          <w:szCs w:val="22"/>
          <w:b w:val="1"/>
          <w:bCs w:val="1"/>
          <w:i w:val="1"/>
          <w:iCs w:val="1"/>
          <w:color w:val="auto"/>
        </w:rPr>
        <w:t>Company Work Product</w:t>
      </w:r>
      <w:r>
        <w:rPr>
          <w:rFonts w:ascii="Times New Roman" w:cs="Times New Roman" w:eastAsia="Times New Roman" w:hAnsi="Times New Roman"/>
          <w:sz w:val="22"/>
          <w:szCs w:val="22"/>
          <w:color w:val="auto"/>
        </w:rPr>
        <w:t>”) shall be owned exclusively by the Company (or, to the extent applicable, a Purchaser pursuant to an Acquisition). Without limiting the foregoing, the Participant agrees that any of the Company Work Product shall be deemed to be “works made for hire” as defined in U.S. Copyright Act §101, and all right, title, and interest therein shall vest solely in the Company from conception. The Participant hereby irrevocably assigns and transfers, and agrees</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5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67" w:name="page168"/>
    <w:bookmarkEnd w:id="167"/>
    <w:p>
      <w:pPr>
        <w:spacing w:after="0" w:line="185"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1"/>
          <w:szCs w:val="21"/>
          <w:color w:val="auto"/>
        </w:rPr>
        <w:t>to assign and transfer in the future on the Company’s request, to the Company all right, title and interest in and to any Company Work Product, including, but not limited to, patents, copyrights and other intellectual property rights therein. The Participant shall treat any such Company Work Product as Confidential Information. The Participant will execute all applications, assignments, instruments and other documents and perform all acts consistent herewith as the Company or its counsel may deem necessary or desirable to obtain, perfect or enforce any patents, copyright registrations or other protections on such Company Work Product and to otherwise protect the interests of the Company therein. The Participant’s obligation to reasonably assist the Company in obtaining and enforcing the intellectual property and other rights in the Company Work Product in any and all jurisdictions shall continue beyond the termination of the Participant’s employment. The Participant acknowledges that the Company may need to secure the Participant’s signature for lawful and necessary documents required to apply for, maintain or enforce intellectual property and other rights with respect to the Company Work Product (including, but not limited to, renewals, extensions, continuations, divisions or continuations in part of patent applications). The Participant hereby irrevocably designates and appoints the Company and its duly authorized officers and agents, as the Participant’s agents and attorneys-in-fact, to act for and on the Participant’s behalf and instead of the Participant, to execute and file any such document(s) and to do all other lawfully permitted acts to further the prosecution, issuance and enforcement of patents, copyright registrations and other protections on the Company Work Product with the same legal force and effect as if executed by the Participant. The Participant further hereby waives and relinquishes any and all moral rights that the Participant may have in the Company Work Product.</w:t>
      </w:r>
    </w:p>
    <w:p>
      <w:pPr>
        <w:spacing w:after="0" w:line="172" w:lineRule="exact"/>
        <w:rPr>
          <w:sz w:val="20"/>
          <w:szCs w:val="20"/>
          <w:color w:val="auto"/>
        </w:rPr>
      </w:pPr>
    </w:p>
    <w:p>
      <w:pPr>
        <w:ind w:left="520" w:hanging="512"/>
        <w:spacing w:after="0"/>
        <w:tabs>
          <w:tab w:leader="none" w:pos="520" w:val="left"/>
        </w:tabs>
        <w:numPr>
          <w:ilvl w:val="0"/>
          <w:numId w:val="17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EXCEPTION TO ASSIGNMENTS</w:t>
      </w:r>
    </w:p>
    <w:p>
      <w:pPr>
        <w:spacing w:after="0" w:line="21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Pursuant to Section 2870 of the California Labor Code, the requirements set forth in Section 5 of this Agreement shall not apply to an invention that the Participant develops entirely on his or her own time without using the Company’s equipment, supplies, facilities, or trade secret information except for those inventions that either: (i) relate at the time of conception or reduction to practice of the invention to the Company’s business, or actual or demonstrably anticipated research or development of the Company; or (ii) result from any work performed by the Participant for the Company.</w:t>
      </w:r>
    </w:p>
    <w:p>
      <w:pPr>
        <w:spacing w:after="0" w:line="173" w:lineRule="exact"/>
        <w:rPr>
          <w:sz w:val="20"/>
          <w:szCs w:val="20"/>
          <w:color w:val="auto"/>
        </w:rPr>
      </w:pPr>
    </w:p>
    <w:p>
      <w:pPr>
        <w:ind w:left="520" w:hanging="512"/>
        <w:spacing w:after="0"/>
        <w:tabs>
          <w:tab w:leader="none" w:pos="520" w:val="left"/>
        </w:tabs>
        <w:numPr>
          <w:ilvl w:val="0"/>
          <w:numId w:val="17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PRE-EMPLOYMENT WORK PRODUCT</w:t>
      </w:r>
    </w:p>
    <w:p>
      <w:pPr>
        <w:spacing w:after="0" w:line="129" w:lineRule="exact"/>
        <w:rPr>
          <w:rFonts w:ascii="Times New Roman" w:cs="Times New Roman" w:eastAsia="Times New Roman" w:hAnsi="Times New Roman"/>
          <w:sz w:val="22"/>
          <w:szCs w:val="22"/>
          <w:b w:val="1"/>
          <w:bCs w:val="1"/>
          <w:color w:val="auto"/>
        </w:rPr>
      </w:pPr>
    </w:p>
    <w:p>
      <w:pPr>
        <w:ind w:left="1020" w:hanging="263"/>
        <w:spacing w:after="0"/>
        <w:tabs>
          <w:tab w:leader="none" w:pos="1020" w:val="left"/>
        </w:tabs>
        <w:numPr>
          <w:ilvl w:val="1"/>
          <w:numId w:val="1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Work Product includes only things done for the Company in performing work for the Company.</w:t>
      </w:r>
    </w:p>
    <w:p>
      <w:pPr>
        <w:spacing w:after="0" w:line="206"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(b)The Participant acknowledges that the Company has a strict policy against using proprietary information belonging to any other person or entity without the express permission of the owner of that information. The Participant represents and warrants that the Participant’s performance of all of the terms of this Confidentiality and Inventions Agreement and as an employee of the Company does not and will not result in a breach of any duty owed by the Participant to a third party to keep in confidence any information, knowledge or data. The Participant has not brought or used, and will not bring to the Company, or use, induce the Company to use, or disclose in the performance of the Participant’s duties, nor has the Participant used or disclosed in the performance of any services for the Company prior to the effective date of the Participant’s employment with the Company (if any), any equipment, supplies, facility, electronic</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5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8" w:name="page169"/>
    <w:bookmarkEnd w:id="168"/>
    <w:p>
      <w:pPr>
        <w:spacing w:after="0" w:line="258" w:lineRule="auto"/>
        <w:rPr>
          <w:sz w:val="20"/>
          <w:szCs w:val="20"/>
          <w:color w:val="auto"/>
        </w:rPr>
      </w:pPr>
      <w:r>
        <w:rPr>
          <w:rFonts w:ascii="Times New Roman" w:cs="Times New Roman" w:eastAsia="Times New Roman" w:hAnsi="Times New Roman"/>
          <w:sz w:val="22"/>
          <w:szCs w:val="22"/>
          <w:color w:val="auto"/>
        </w:rPr>
        <w:t>media, software, trade secret or other information or property of any former employer or any other person or entity, unless the Participant has obtained their written authorization for its possession and use.</w:t>
      </w:r>
    </w:p>
    <w:p>
      <w:pPr>
        <w:spacing w:after="0" w:line="154" w:lineRule="exact"/>
        <w:rPr>
          <w:sz w:val="20"/>
          <w:szCs w:val="20"/>
          <w:color w:val="auto"/>
        </w:rPr>
      </w:pPr>
    </w:p>
    <w:p>
      <w:pPr>
        <w:ind w:left="520" w:hanging="512"/>
        <w:spacing w:after="0"/>
        <w:tabs>
          <w:tab w:leader="none" w:pos="520" w:val="left"/>
        </w:tabs>
        <w:numPr>
          <w:ilvl w:val="0"/>
          <w:numId w:val="17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RECORDS</w:t>
      </w:r>
    </w:p>
    <w:p>
      <w:pPr>
        <w:spacing w:after="0" w:line="21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The Participant agrees that he or she will keep and maintain adequate and current written records (in the form of notes, sketches, drawings or such other form(s) as may be specified by the Company) of all the Company Work Product made by the Participant during the term of his or his or her employment with the Company, which records shall be available at all times to the Company and shall remain the sole property of the Company.</w:t>
      </w:r>
    </w:p>
    <w:p>
      <w:pPr>
        <w:spacing w:after="0" w:line="176" w:lineRule="exact"/>
        <w:rPr>
          <w:sz w:val="20"/>
          <w:szCs w:val="20"/>
          <w:color w:val="auto"/>
        </w:rPr>
      </w:pPr>
    </w:p>
    <w:p>
      <w:pPr>
        <w:ind w:left="520" w:hanging="512"/>
        <w:spacing w:after="0"/>
        <w:tabs>
          <w:tab w:leader="none" w:pos="520" w:val="left"/>
        </w:tabs>
        <w:numPr>
          <w:ilvl w:val="0"/>
          <w:numId w:val="17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PRESUMPTION</w:t>
      </w:r>
    </w:p>
    <w:p>
      <w:pPr>
        <w:spacing w:after="0" w:line="21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If any application for any United States or foreign patent related to or useful in the business of the Company or any customer of the Company shall be filed by or for the Participant during the period of one year after the Participant’s employment is terminated, the subject matter covered by such application shall be presumed to have been conceived during the Participant’s employment with the Company.</w:t>
      </w:r>
    </w:p>
    <w:p>
      <w:pPr>
        <w:spacing w:after="0" w:line="176" w:lineRule="exact"/>
        <w:rPr>
          <w:sz w:val="20"/>
          <w:szCs w:val="20"/>
          <w:color w:val="auto"/>
        </w:rPr>
      </w:pPr>
    </w:p>
    <w:p>
      <w:pPr>
        <w:ind w:left="520" w:hanging="512"/>
        <w:spacing w:after="0"/>
        <w:tabs>
          <w:tab w:leader="none" w:pos="520" w:val="left"/>
        </w:tabs>
        <w:numPr>
          <w:ilvl w:val="0"/>
          <w:numId w:val="17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AGREEMENTS WITH THIRD PARTIES OR THE U.S. GOVERNMENT.</w:t>
      </w:r>
    </w:p>
    <w:p>
      <w:pPr>
        <w:spacing w:after="0" w:line="21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Participant acknowledges that the Company from time to time may have agreements with other persons or entities, or with the U.S. Government or agencies thereof, which impose obligations or restrictions on the Company regarding inventions made during the course of work thereunder or regarding the confidential nature of such work. The Participant agrees to be bound by all such obligations and restrictions of which the Participant has been made aware of by the Company and to take all action necessary to discharge the obligations of the Company thereunder.</w:t>
      </w:r>
    </w:p>
    <w:p>
      <w:pPr>
        <w:spacing w:after="0" w:line="173" w:lineRule="exact"/>
        <w:rPr>
          <w:sz w:val="20"/>
          <w:szCs w:val="20"/>
          <w:color w:val="auto"/>
        </w:rPr>
      </w:pPr>
    </w:p>
    <w:p>
      <w:pPr>
        <w:ind w:left="520" w:hanging="512"/>
        <w:spacing w:after="0"/>
        <w:tabs>
          <w:tab w:leader="none" w:pos="520" w:val="left"/>
        </w:tabs>
        <w:numPr>
          <w:ilvl w:val="0"/>
          <w:numId w:val="17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INJUNCTIVE RELIEF</w:t>
      </w:r>
    </w:p>
    <w:p>
      <w:pPr>
        <w:spacing w:after="0" w:line="210"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1"/>
          <w:szCs w:val="21"/>
          <w:color w:val="auto"/>
        </w:rPr>
        <w:t>Because of the unique nature of the Confidential Information and the Company Work Product, the Participant understands and agrees that the Company may suffer immediate and irreparable harm if the Participant fails to comply with any of his or her obligations under this Confidentiality and Inventions Agreement and that monetary damages may be inadequate to compensate the Company for such breach. Accordingly, the Participant agrees that in the event of a breach or threatened breach of this Confidentiality and Inventions Agreement, in addition to any other remedies available to it at law or in equity, the Company will be entitled, without posting bond or other security, to seek injunctive relief to enforce the terms of this Confidentiality and Inventions Agreement, including, but not limited to, restraining the Participant from violating this Confidentiality and Inventions Agreement or compelling the Participant to cease and desist all unauthorized use and disclosure of the Confidential Information and the Company Work Product. The Participant will indemnify the Company against any costs, including, but not limited to, reasonable outside legal fees and costs, incurred in obtaining relief against the Participant’s breach of this Confidentiality and Inventions Agreement. Nothing in this Section 11 shall be construed as prohibiting the Company from pursuing any other remedies available to it for such breach or threatened breach, including, but not limited to, recovery of damages.</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B-5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5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69" w:name="page170"/>
    <w:bookmarkEnd w:id="169"/>
    <w:p>
      <w:pPr>
        <w:spacing w:after="0" w:line="181" w:lineRule="exact"/>
        <w:rPr>
          <w:sz w:val="20"/>
          <w:szCs w:val="20"/>
          <w:color w:val="auto"/>
        </w:rPr>
      </w:pPr>
    </w:p>
    <w:p>
      <w:pPr>
        <w:ind w:left="520" w:hanging="512"/>
        <w:spacing w:after="0"/>
        <w:tabs>
          <w:tab w:leader="none" w:pos="520" w:val="left"/>
        </w:tabs>
        <w:numPr>
          <w:ilvl w:val="0"/>
          <w:numId w:val="17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DISCLOSURE OF OBLIGATIONS</w:t>
      </w:r>
    </w:p>
    <w:p>
      <w:pPr>
        <w:spacing w:after="0" w:line="21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The Participant is hereby permitted and the Participant authorizes the Company to provide a copy of this Confidentiality and Inventions Agreement and any exhibits hereto to any of the Participant’s future employers, and to notify any such future employers of the Participant’s obligations and the Company’s rights hereunder, provided that neither party is under any obligation to do so.</w:t>
      </w:r>
    </w:p>
    <w:p>
      <w:pPr>
        <w:spacing w:after="0" w:line="176" w:lineRule="exact"/>
        <w:rPr>
          <w:sz w:val="20"/>
          <w:szCs w:val="20"/>
          <w:color w:val="auto"/>
        </w:rPr>
      </w:pPr>
    </w:p>
    <w:p>
      <w:pPr>
        <w:ind w:left="520" w:hanging="512"/>
        <w:spacing w:after="0"/>
        <w:tabs>
          <w:tab w:leader="none" w:pos="520" w:val="left"/>
        </w:tabs>
        <w:numPr>
          <w:ilvl w:val="0"/>
          <w:numId w:val="17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JURISDICTION AND VENUE</w:t>
      </w:r>
    </w:p>
    <w:p>
      <w:pPr>
        <w:spacing w:after="0" w:line="21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This Confidentiality and Inventions Agreement will be governed by the laws of the State of California without regard to any conflicts-of-law rules. To the extent that any lawsuit is permitted under this Confidentiality and Inventions Agreement, the Participant hereby expressly consents to the personal and exclusive jurisdiction and venue of the state and federal courts located in San Diego, California for any lawsuit filed against the Participant by the Company. Nothing herein shall limit the right of the Company to seek and obtain injunctive relief in any jurisdiction for violation of the portions of this Confidentiality and Inventions Agreement dealing with protection of Confidential Information or the Company Work Product.</w:t>
      </w:r>
    </w:p>
    <w:p>
      <w:pPr>
        <w:spacing w:after="0" w:line="177" w:lineRule="exact"/>
        <w:rPr>
          <w:sz w:val="20"/>
          <w:szCs w:val="20"/>
          <w:color w:val="auto"/>
        </w:rPr>
      </w:pPr>
    </w:p>
    <w:p>
      <w:pPr>
        <w:ind w:left="520" w:hanging="512"/>
        <w:spacing w:after="0"/>
        <w:tabs>
          <w:tab w:leader="none" w:pos="520" w:val="left"/>
        </w:tabs>
        <w:numPr>
          <w:ilvl w:val="0"/>
          <w:numId w:val="17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ASSIGNMENT; INUREMENT</w:t>
      </w:r>
    </w:p>
    <w:p>
      <w:pPr>
        <w:spacing w:after="0" w:line="21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Neither this Confidentiality and Inventions Agreement nor any duties or obligations under this Confidentiality and Inventions Agreement may be assigned by the Participant without the prior written consent of the Company. The Participant understands and agrees that the Company may freely assign this Confidentiality and Inventions Agreement. This Agreement shall inure to the benefit of, and shall be binding upon, the permitted assigns, successors in interest (including any Purchaser upon consummation of an Acquisition), personal representatives, estates, heirs, and legatees of each of the parties hereto. Any assignment in violation of this Section 14 shall be null and void.</w:t>
      </w:r>
    </w:p>
    <w:p>
      <w:pPr>
        <w:spacing w:after="0" w:line="177" w:lineRule="exact"/>
        <w:rPr>
          <w:sz w:val="20"/>
          <w:szCs w:val="20"/>
          <w:color w:val="auto"/>
        </w:rPr>
      </w:pPr>
    </w:p>
    <w:p>
      <w:pPr>
        <w:ind w:left="520" w:hanging="512"/>
        <w:spacing w:after="0"/>
        <w:tabs>
          <w:tab w:leader="none" w:pos="520" w:val="left"/>
        </w:tabs>
        <w:numPr>
          <w:ilvl w:val="0"/>
          <w:numId w:val="18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SURVIVORSHIP</w:t>
      </w:r>
    </w:p>
    <w:p>
      <w:pPr>
        <w:spacing w:after="0" w:line="21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The rights and obligations of the parties to this Confidentiality and Inventions Agreement will survive termination of my employment with the Company.</w:t>
      </w:r>
    </w:p>
    <w:p>
      <w:pPr>
        <w:spacing w:after="0" w:line="154" w:lineRule="exact"/>
        <w:rPr>
          <w:sz w:val="20"/>
          <w:szCs w:val="20"/>
          <w:color w:val="auto"/>
        </w:rPr>
      </w:pPr>
    </w:p>
    <w:p>
      <w:pPr>
        <w:ind w:left="520" w:hanging="512"/>
        <w:spacing w:after="0"/>
        <w:tabs>
          <w:tab w:leader="none" w:pos="520" w:val="left"/>
        </w:tabs>
        <w:numPr>
          <w:ilvl w:val="0"/>
          <w:numId w:val="18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MISCELLANEOUS</w:t>
      </w:r>
    </w:p>
    <w:p>
      <w:pPr>
        <w:spacing w:after="0" w:line="21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In the event that any provision hereof or any obligation or grant of rights by the Participant hereunder is found invalid or unenforceable pursuant to judicial decree or decision, any such provision, obligation or grant of rights shall be deemed and construed to extend only to the maximum permitted by law, the invalid or unenforceable portions shall be severed, and the remainder of this Confidentiality and Inventions Agreement shall remain valid and enforceable according to its terms. This Confidentiality and Inventions Agreement may not be amended, waived or modified, except by an instrument in writing executed by the Participant and a duly authorized representative of the Company.</w:t>
      </w:r>
    </w:p>
    <w:p>
      <w:pPr>
        <w:spacing w:after="0" w:line="177" w:lineRule="exact"/>
        <w:rPr>
          <w:sz w:val="20"/>
          <w:szCs w:val="20"/>
          <w:color w:val="auto"/>
        </w:rPr>
      </w:pPr>
    </w:p>
    <w:p>
      <w:pPr>
        <w:ind w:left="520" w:hanging="512"/>
        <w:spacing w:after="0"/>
        <w:tabs>
          <w:tab w:leader="none" w:pos="520" w:val="left"/>
        </w:tabs>
        <w:numPr>
          <w:ilvl w:val="0"/>
          <w:numId w:val="18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ACKNOWLEDGMENT</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EMPLOYEE ACKNOWLEDGES THAT, IN EXECUTING THE GRANT NOTICE TO WHICH</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B-6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5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0" w:name="page171"/>
    <w:bookmarkEnd w:id="170"/>
    <w:p>
      <w:pPr>
        <w:spacing w:after="0" w:line="10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THIS CONFIDENTIALITY AND INVENTIONS AGREEMENT IS ATTACHED, EMPLOYEE HAS HAD THE OPPORTUNITY TO SEEK THE ADVICE OF INDEPENDENT LEGAL COUNSEL, AND EMPLOYEE HAS READ AND UNDERSTOOD ALL OF THE TERMS AND PROVISIONS OF THIS CONFIDENTIALITY AND INVENTIONS AGREEMENT. THIS CONFIDENTIALITY AND INVENTIONS AGREEMENT SHALL NOT BE CONSTRUED AGAINST ANY PARTY BY REASON OF THE DRAFTING OR PREPARATION HEREOF.</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B-7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5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1" w:name="page172"/>
    <w:bookmarkEnd w:id="171"/>
    <w:p>
      <w:pPr>
        <w:spacing w:after="0" w:line="1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EXHIBIT C</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PERFORMANCE GOALS AND SERVICE REQUIREMENT</w:t>
      </w:r>
    </w:p>
    <w:p>
      <w:pPr>
        <w:spacing w:after="0" w:line="3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E</w:t>
      </w:r>
      <w:r>
        <w:rPr>
          <w:rFonts w:ascii="Times New Roman" w:cs="Times New Roman" w:eastAsia="Times New Roman" w:hAnsi="Times New Roman"/>
          <w:sz w:val="14"/>
          <w:szCs w:val="14"/>
          <w:color w:val="auto"/>
        </w:rPr>
        <w:t>xhibit</w:t>
      </w:r>
      <w:r>
        <w:rPr>
          <w:rFonts w:ascii="Times New Roman" w:cs="Times New Roman" w:eastAsia="Times New Roman" w:hAnsi="Times New Roman"/>
          <w:sz w:val="22"/>
          <w:szCs w:val="22"/>
          <w:color w:val="auto"/>
        </w:rPr>
        <w:t xml:space="preserve"> C</w:t>
      </w:r>
    </w:p>
    <w:p>
      <w:pPr>
        <w:spacing w:after="0" w:line="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P</w:t>
      </w:r>
      <w:r>
        <w:rPr>
          <w:rFonts w:ascii="Times New Roman" w:cs="Times New Roman" w:eastAsia="Times New Roman" w:hAnsi="Times New Roman"/>
          <w:sz w:val="14"/>
          <w:szCs w:val="14"/>
          <w:color w:val="auto"/>
        </w:rPr>
        <w:t>erformance</w:t>
      </w:r>
      <w:r>
        <w:rPr>
          <w:rFonts w:ascii="Times New Roman" w:cs="Times New Roman" w:eastAsia="Times New Roman" w:hAnsi="Times New Roman"/>
          <w:sz w:val="22"/>
          <w:szCs w:val="22"/>
          <w:color w:val="auto"/>
        </w:rPr>
        <w:t xml:space="preserve"> G</w:t>
      </w:r>
      <w:r>
        <w:rPr>
          <w:rFonts w:ascii="Times New Roman" w:cs="Times New Roman" w:eastAsia="Times New Roman" w:hAnsi="Times New Roman"/>
          <w:sz w:val="14"/>
          <w:szCs w:val="14"/>
          <w:color w:val="auto"/>
        </w:rPr>
        <w:t>oals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462915</wp:posOffset>
            </wp:positionV>
            <wp:extent cx="7157720" cy="4254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5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72" w:name="page173"/>
    <w:bookmarkEnd w:id="172"/>
    <w:p>
      <w:pPr>
        <w:jc w:val="right"/>
        <w:spacing w:after="0"/>
        <w:rPr>
          <w:sz w:val="20"/>
          <w:szCs w:val="20"/>
          <w:color w:val="auto"/>
        </w:rPr>
      </w:pPr>
      <w:r>
        <w:rPr>
          <w:rFonts w:ascii="Times New Roman" w:cs="Times New Roman" w:eastAsia="Times New Roman" w:hAnsi="Times New Roman"/>
          <w:sz w:val="18"/>
          <w:szCs w:val="18"/>
          <w:b w:val="1"/>
          <w:bCs w:val="1"/>
          <w:color w:val="auto"/>
        </w:rPr>
        <w:t>Exhibit 23</w:t>
      </w:r>
    </w:p>
    <w:p>
      <w:pPr>
        <w:spacing w:after="0" w:line="225"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consent to the incorporation by reference in the following Registration Statements:</w:t>
      </w:r>
    </w:p>
    <w:p>
      <w:pPr>
        <w:spacing w:after="0" w:line="333" w:lineRule="exact"/>
        <w:rPr>
          <w:sz w:val="20"/>
          <w:szCs w:val="20"/>
          <w:color w:val="auto"/>
        </w:rPr>
      </w:pPr>
    </w:p>
    <w:p>
      <w:pPr>
        <w:ind w:left="1020" w:right="480" w:hanging="503"/>
        <w:spacing w:after="0" w:line="282" w:lineRule="auto"/>
        <w:tabs>
          <w:tab w:leader="none" w:pos="102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S-8 (No. 333-252221) pertaining to the 2021 Equity Incentive Plan and 2021 Employee Stock Purchase Plan of Petco Health and Wellness Company, Inc.,</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S-8 (No. 333-274312) pertaining to the 2021 Equity Incentive Plan of Petco Health and Wellness Company, Inc.,</w:t>
      </w:r>
    </w:p>
    <w:p>
      <w:pPr>
        <w:spacing w:after="0" w:line="117" w:lineRule="exact"/>
        <w:rPr>
          <w:rFonts w:ascii="Times New Roman" w:cs="Times New Roman" w:eastAsia="Times New Roman" w:hAnsi="Times New Roman"/>
          <w:sz w:val="18"/>
          <w:szCs w:val="18"/>
          <w:color w:val="auto"/>
        </w:rPr>
      </w:pPr>
    </w:p>
    <w:p>
      <w:pPr>
        <w:ind w:left="1020" w:right="500" w:hanging="503"/>
        <w:spacing w:after="0" w:line="282" w:lineRule="auto"/>
        <w:tabs>
          <w:tab w:leader="none" w:pos="102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S-8 (No. 333-279745) pertaining to the Inducement Stock Option Awards and Inducement Restricted Stock Unit Award of Petco Health and Wellness Company, Inc., and</w:t>
      </w:r>
    </w:p>
    <w:p>
      <w:pPr>
        <w:spacing w:after="0" w:line="53" w:lineRule="exact"/>
        <w:rPr>
          <w:rFonts w:ascii="Times New Roman" w:cs="Times New Roman" w:eastAsia="Times New Roman" w:hAnsi="Times New Roman"/>
          <w:sz w:val="18"/>
          <w:szCs w:val="18"/>
          <w:color w:val="auto"/>
        </w:rPr>
      </w:pPr>
    </w:p>
    <w:p>
      <w:pPr>
        <w:ind w:left="1020" w:right="280" w:hanging="503"/>
        <w:spacing w:after="0" w:line="282" w:lineRule="auto"/>
        <w:tabs>
          <w:tab w:leader="none" w:pos="102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S-8 (Nos. 333-281107 and 333-285606) pertaining to the Inducement Restricted Stock Unit Award, Inducement Performance Stock Unit Award, and Inducement Nonqualified Stock Option Award of Petco Health and Wellness Company, Inc.</w:t>
      </w:r>
    </w:p>
    <w:p>
      <w:pPr>
        <w:spacing w:after="0" w:line="162"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of our reports dated March 13, 2026, with respect to the consolidated financial statements of Petco Health and Wellness Company, Inc., and the effectiveness of internal control over financial reporting of Petco Health and Wellness Company, Inc., included in this Annual Report (Form 10-K) for the year ended January 31, 2026.</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Diego,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13,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1176020</wp:posOffset>
            </wp:positionV>
            <wp:extent cx="7157720" cy="4254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5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7" w:right="339" w:bottom="1440" w:gutter="0" w:footer="0" w:header="0"/>
        </w:sectPr>
      </w:pPr>
    </w:p>
    <w:bookmarkStart w:id="173" w:name="page174"/>
    <w:bookmarkEnd w:id="17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Joel D. Anderson, certify that:</w:t>
      </w:r>
    </w:p>
    <w:p>
      <w:pPr>
        <w:spacing w:after="0" w:line="225" w:lineRule="exact"/>
        <w:rPr>
          <w:sz w:val="20"/>
          <w:szCs w:val="20"/>
          <w:color w:val="auto"/>
        </w:rPr>
      </w:pPr>
    </w:p>
    <w:p>
      <w:pPr>
        <w:ind w:left="520" w:hanging="512"/>
        <w:spacing w:after="0"/>
        <w:tabs>
          <w:tab w:leader="none" w:pos="52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Petco Health and Wellness Company, Inc.;</w:t>
      </w:r>
    </w:p>
    <w:p>
      <w:pPr>
        <w:spacing w:after="0" w:line="225"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20" w:right="240" w:hanging="512"/>
        <w:spacing w:after="0" w:line="266" w:lineRule="auto"/>
        <w:tabs>
          <w:tab w:leader="none" w:pos="52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020" w:right="180" w:hanging="503"/>
        <w:spacing w:after="0" w:line="266" w:lineRule="auto"/>
        <w:tabs>
          <w:tab w:leader="none" w:pos="1020" w:val="left"/>
        </w:tabs>
        <w:numPr>
          <w:ilvl w:val="1"/>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right="200" w:hanging="512"/>
        <w:spacing w:after="0" w:line="282" w:lineRule="auto"/>
        <w:tabs>
          <w:tab w:leader="none" w:pos="52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1"/>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94" w:lineRule="exact"/>
        <w:rPr>
          <w:sz w:val="20"/>
          <w:szCs w:val="20"/>
          <w:color w:val="auto"/>
        </w:rPr>
      </w:pPr>
    </w:p>
    <w:p>
      <w:pPr>
        <w:spacing w:after="0"/>
        <w:tabs>
          <w:tab w:leader="none" w:pos="5540" w:val="left"/>
          <w:tab w:leader="none" w:pos="7880" w:val="left"/>
        </w:tabs>
        <w:rPr>
          <w:sz w:val="20"/>
          <w:szCs w:val="20"/>
          <w:color w:val="auto"/>
        </w:rPr>
      </w:pPr>
      <w:r>
        <w:rPr>
          <w:rFonts w:ascii="Times New Roman" w:cs="Times New Roman" w:eastAsia="Times New Roman" w:hAnsi="Times New Roman"/>
          <w:sz w:val="18"/>
          <w:szCs w:val="18"/>
          <w:color w:val="auto"/>
        </w:rPr>
        <w:t>Date: March 13,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Joel D.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17145</wp:posOffset>
            </wp:positionV>
            <wp:extent cx="3308985"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520">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21"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Joel D. Anderson</w:t>
      </w:r>
    </w:p>
    <w:p>
      <w:pPr>
        <w:spacing w:after="0" w:line="9"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884555</wp:posOffset>
            </wp:positionV>
            <wp:extent cx="7157720" cy="4254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5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74" w:name="page175"/>
    <w:bookmarkEnd w:id="174"/>
    <w:p>
      <w:pPr>
        <w:ind w:left="6400"/>
        <w:spacing w:after="0"/>
        <w:rPr>
          <w:sz w:val="20"/>
          <w:szCs w:val="20"/>
          <w:color w:val="auto"/>
        </w:rPr>
      </w:pPr>
      <w:r>
        <w:rPr>
          <w:rFonts w:ascii="Times New Roman" w:cs="Times New Roman" w:eastAsia="Times New Roman" w:hAnsi="Times New Roman"/>
          <w:sz w:val="17"/>
          <w:szCs w:val="17"/>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906145</wp:posOffset>
            </wp:positionV>
            <wp:extent cx="7157720" cy="4254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5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175" w:name="page176"/>
    <w:bookmarkEnd w:id="17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Sabrina Simmons, certify that:</w:t>
      </w:r>
    </w:p>
    <w:p>
      <w:pPr>
        <w:spacing w:after="0" w:line="225" w:lineRule="exact"/>
        <w:rPr>
          <w:sz w:val="20"/>
          <w:szCs w:val="20"/>
          <w:color w:val="auto"/>
        </w:rPr>
      </w:pPr>
    </w:p>
    <w:p>
      <w:pPr>
        <w:ind w:left="520" w:hanging="512"/>
        <w:spacing w:after="0"/>
        <w:tabs>
          <w:tab w:leader="none" w:pos="520"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Petco Health and Wellness Company, Inc.;</w:t>
      </w:r>
    </w:p>
    <w:p>
      <w:pPr>
        <w:spacing w:after="0" w:line="225"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20" w:right="240" w:hanging="512"/>
        <w:spacing w:after="0" w:line="266" w:lineRule="auto"/>
        <w:tabs>
          <w:tab w:leader="none" w:pos="520"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020" w:right="180" w:hanging="503"/>
        <w:spacing w:after="0" w:line="266" w:lineRule="auto"/>
        <w:tabs>
          <w:tab w:leader="none" w:pos="1020" w:val="left"/>
        </w:tabs>
        <w:numPr>
          <w:ilvl w:val="1"/>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right="200" w:hanging="512"/>
        <w:spacing w:after="0" w:line="282" w:lineRule="auto"/>
        <w:tabs>
          <w:tab w:leader="none" w:pos="520"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1"/>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94" w:lineRule="exact"/>
        <w:rPr>
          <w:sz w:val="20"/>
          <w:szCs w:val="20"/>
          <w:color w:val="auto"/>
        </w:rPr>
      </w:pPr>
    </w:p>
    <w:p>
      <w:pPr>
        <w:spacing w:after="0"/>
        <w:tabs>
          <w:tab w:leader="none" w:pos="5540" w:val="left"/>
          <w:tab w:leader="none" w:pos="7860" w:val="left"/>
        </w:tabs>
        <w:rPr>
          <w:sz w:val="20"/>
          <w:szCs w:val="20"/>
          <w:color w:val="auto"/>
        </w:rPr>
      </w:pPr>
      <w:r>
        <w:rPr>
          <w:rFonts w:ascii="Times New Roman" w:cs="Times New Roman" w:eastAsia="Times New Roman" w:hAnsi="Times New Roman"/>
          <w:sz w:val="18"/>
          <w:szCs w:val="18"/>
          <w:color w:val="auto"/>
        </w:rPr>
        <w:t>Date: March 13,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Sabrina Simmons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17145</wp:posOffset>
            </wp:positionV>
            <wp:extent cx="3308985" cy="889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523">
                      <a:extLst>
                        <a:ext uri="{28A0092B-C50C-407E-A947-70E740481C1C}"/>
                      </a:extLst>
                    </a:blip>
                    <a:srcRect/>
                    <a:stretch>
                      <a:fillRect/>
                    </a:stretch>
                  </pic:blipFill>
                  <pic:spPr bwMode="auto">
                    <a:xfrm>
                      <a:off x="0" y="0"/>
                      <a:ext cx="3308985" cy="8890"/>
                    </a:xfrm>
                    <a:prstGeom prst="rect">
                      <a:avLst/>
                    </a:prstGeom>
                    <a:noFill/>
                  </pic:spPr>
                </pic:pic>
              </a:graphicData>
            </a:graphic>
          </wp:anchor>
        </w:drawing>
      </w:r>
    </w:p>
    <w:p>
      <w:pPr>
        <w:spacing w:after="0" w:line="21" w:lineRule="exact"/>
        <w:rPr>
          <w:sz w:val="20"/>
          <w:szCs w:val="20"/>
          <w:color w:val="auto"/>
        </w:rPr>
      </w:pPr>
    </w:p>
    <w:p>
      <w:pPr>
        <w:ind w:left="7940"/>
        <w:spacing w:after="0"/>
        <w:rPr>
          <w:sz w:val="20"/>
          <w:szCs w:val="20"/>
          <w:color w:val="auto"/>
        </w:rPr>
      </w:pPr>
      <w:r>
        <w:rPr>
          <w:rFonts w:ascii="Times New Roman" w:cs="Times New Roman" w:eastAsia="Times New Roman" w:hAnsi="Times New Roman"/>
          <w:sz w:val="18"/>
          <w:szCs w:val="18"/>
          <w:b w:val="1"/>
          <w:bCs w:val="1"/>
          <w:color w:val="auto"/>
        </w:rPr>
        <w:t>Sabrina Simmons</w:t>
      </w:r>
    </w:p>
    <w:p>
      <w:pPr>
        <w:spacing w:after="0" w:line="9" w:lineRule="exact"/>
        <w:rPr>
          <w:sz w:val="20"/>
          <w:szCs w:val="20"/>
          <w:color w:val="auto"/>
        </w:rPr>
      </w:pPr>
    </w:p>
    <w:p>
      <w:pPr>
        <w:ind w:left="772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884555</wp:posOffset>
            </wp:positionV>
            <wp:extent cx="7157720" cy="4254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5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76" w:name="page177"/>
    <w:bookmarkEnd w:id="176"/>
    <w:p>
      <w:pPr>
        <w:ind w:left="5100"/>
        <w:spacing w:after="0"/>
        <w:rPr>
          <w:sz w:val="20"/>
          <w:szCs w:val="20"/>
          <w:color w:val="auto"/>
        </w:rPr>
      </w:pPr>
      <w:r>
        <w:rPr>
          <w:rFonts w:ascii="Times New Roman" w:cs="Times New Roman" w:eastAsia="Times New Roman" w:hAnsi="Times New Roman"/>
          <w:sz w:val="17"/>
          <w:szCs w:val="17"/>
          <w:b w:val="1"/>
          <w:bCs w:val="1"/>
          <w:color w:val="auto"/>
        </w:rPr>
        <w:t>(Principal Financial Officer and Principal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906145</wp:posOffset>
            </wp:positionV>
            <wp:extent cx="7157720" cy="4254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5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900"/>
          </w:cols>
          <w:pgMar w:left="1440" w:top="1413" w:right="559" w:bottom="1440" w:gutter="0" w:footer="0" w:header="0"/>
        </w:sectPr>
      </w:pPr>
    </w:p>
    <w:bookmarkStart w:id="177" w:name="page178"/>
    <w:bookmarkEnd w:id="177"/>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right="34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accompanying Annual Report on Form 10-K of Petco Health and Wellness Company, Inc. (the “Company”) for the year ended January 31, 2026, as filed with the Securities and Exchange Commission on the date hereof (the “Report”), I, Joel D. Anderson, Chief Executive Officer of the Company, hereby certify, pursuant to 18 U.S.C. § 1350, as adopted pursuant to § 906 of the Sarbanes-Oxley Act of 2002, that:</w:t>
      </w:r>
    </w:p>
    <w:p>
      <w:pPr>
        <w:spacing w:after="0" w:line="176" w:lineRule="exact"/>
        <w:rPr>
          <w:sz w:val="20"/>
          <w:szCs w:val="20"/>
          <w:color w:val="auto"/>
        </w:rPr>
      </w:pPr>
    </w:p>
    <w:p>
      <w:pPr>
        <w:ind w:left="1020" w:hanging="503"/>
        <w:spacing w:after="0"/>
        <w:tabs>
          <w:tab w:leader="none" w:pos="1020"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1020" w:right="560" w:hanging="503"/>
        <w:spacing w:after="0" w:line="282" w:lineRule="auto"/>
        <w:tabs>
          <w:tab w:leader="none" w:pos="1020"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89" w:lineRule="exact"/>
        <w:rPr>
          <w:sz w:val="20"/>
          <w:szCs w:val="20"/>
          <w:color w:val="auto"/>
        </w:rPr>
      </w:pPr>
    </w:p>
    <w:p>
      <w:pPr>
        <w:spacing w:after="0"/>
        <w:tabs>
          <w:tab w:leader="none" w:pos="5680" w:val="left"/>
          <w:tab w:leader="none" w:pos="7880" w:val="left"/>
        </w:tabs>
        <w:rPr>
          <w:sz w:val="20"/>
          <w:szCs w:val="20"/>
          <w:color w:val="auto"/>
        </w:rPr>
      </w:pPr>
      <w:r>
        <w:rPr>
          <w:rFonts w:ascii="Times New Roman" w:cs="Times New Roman" w:eastAsia="Times New Roman" w:hAnsi="Times New Roman"/>
          <w:sz w:val="18"/>
          <w:szCs w:val="18"/>
          <w:color w:val="auto"/>
        </w:rPr>
        <w:t>Date: March 13,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Joel D.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17145</wp:posOffset>
            </wp:positionV>
            <wp:extent cx="3308985" cy="889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526">
                      <a:extLst>
                        <a:ext uri="{28A0092B-C50C-407E-A947-70E740481C1C}"/>
                      </a:extLst>
                    </a:blip>
                    <a:srcRect/>
                    <a:stretch>
                      <a:fillRect/>
                    </a:stretch>
                  </pic:blipFill>
                  <pic:spPr bwMode="auto">
                    <a:xfrm>
                      <a:off x="0" y="0"/>
                      <a:ext cx="3308985" cy="8890"/>
                    </a:xfrm>
                    <a:prstGeom prst="rect">
                      <a:avLst/>
                    </a:prstGeom>
                    <a:noFill/>
                  </pic:spPr>
                </pic:pic>
              </a:graphicData>
            </a:graphic>
          </wp:anchor>
        </w:drawing>
      </w:r>
    </w:p>
    <w:p>
      <w:pPr>
        <w:spacing w:after="0" w:line="21"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Joel D. Anderson</w:t>
      </w:r>
    </w:p>
    <w:p>
      <w:pPr>
        <w:spacing w:after="0" w:line="9"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9"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747395</wp:posOffset>
            </wp:positionV>
            <wp:extent cx="7157720" cy="4254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5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78" w:name="page179"/>
    <w:bookmarkEnd w:id="178"/>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right="38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accompanying Annual Report on Form 10-K of Petco Health and Wellness Company, Inc. (the “Company”) for the year ended January 31, 2026, as filed with the Securities and Exchange Commission on the date hereof (the “Report”), I, Sabrina Simmons, Chief Financial Officer of the Company, hereby certify, pursuant to 18 U.S.C. § 1350, as adopted pursuant to § 906 of the Sarbanes-Oxley Act of 2002, that:</w:t>
      </w:r>
    </w:p>
    <w:p>
      <w:pPr>
        <w:spacing w:after="0" w:line="176" w:lineRule="exact"/>
        <w:rPr>
          <w:sz w:val="20"/>
          <w:szCs w:val="20"/>
          <w:color w:val="auto"/>
        </w:rPr>
      </w:pPr>
    </w:p>
    <w:p>
      <w:pPr>
        <w:ind w:left="1020" w:hanging="503"/>
        <w:spacing w:after="0"/>
        <w:tabs>
          <w:tab w:leader="none" w:pos="1020"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1020" w:right="560" w:hanging="503"/>
        <w:spacing w:after="0" w:line="282" w:lineRule="auto"/>
        <w:tabs>
          <w:tab w:leader="none" w:pos="1020"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89" w:lineRule="exact"/>
        <w:rPr>
          <w:sz w:val="20"/>
          <w:szCs w:val="20"/>
          <w:color w:val="auto"/>
        </w:rPr>
      </w:pPr>
    </w:p>
    <w:p>
      <w:pPr>
        <w:spacing w:after="0"/>
        <w:tabs>
          <w:tab w:leader="none" w:pos="5680" w:val="left"/>
          <w:tab w:leader="none" w:pos="7860" w:val="left"/>
        </w:tabs>
        <w:rPr>
          <w:sz w:val="20"/>
          <w:szCs w:val="20"/>
          <w:color w:val="auto"/>
        </w:rPr>
      </w:pPr>
      <w:r>
        <w:rPr>
          <w:rFonts w:ascii="Times New Roman" w:cs="Times New Roman" w:eastAsia="Times New Roman" w:hAnsi="Times New Roman"/>
          <w:sz w:val="18"/>
          <w:szCs w:val="18"/>
          <w:color w:val="auto"/>
        </w:rPr>
        <w:t>Date: March 13,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Sabrina Simmons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17145</wp:posOffset>
            </wp:positionV>
            <wp:extent cx="3308985" cy="889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528">
                      <a:extLst>
                        <a:ext uri="{28A0092B-C50C-407E-A947-70E740481C1C}"/>
                      </a:extLst>
                    </a:blip>
                    <a:srcRect/>
                    <a:stretch>
                      <a:fillRect/>
                    </a:stretch>
                  </pic:blipFill>
                  <pic:spPr bwMode="auto">
                    <a:xfrm>
                      <a:off x="0" y="0"/>
                      <a:ext cx="3308985" cy="8890"/>
                    </a:xfrm>
                    <a:prstGeom prst="rect">
                      <a:avLst/>
                    </a:prstGeom>
                    <a:noFill/>
                  </pic:spPr>
                </pic:pic>
              </a:graphicData>
            </a:graphic>
          </wp:anchor>
        </w:drawing>
      </w:r>
    </w:p>
    <w:p>
      <w:pPr>
        <w:spacing w:after="0" w:line="21"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Sabrina Simmons</w:t>
      </w:r>
    </w:p>
    <w:p>
      <w:pPr>
        <w:spacing w:after="0" w:line="9"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9"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(Principal Financial Officer and</w:t>
      </w:r>
    </w:p>
    <w:p>
      <w:pPr>
        <w:spacing w:after="0" w:line="9"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Principal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747395</wp:posOffset>
            </wp:positionV>
            <wp:extent cx="7157720" cy="4254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5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79" w:name="page180"/>
    <w:bookmarkEnd w:id="17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0EF0119"/>
    <w:multiLevelType w:val="hybridMultilevel"/>
    <w:lvl w:ilvl="0">
      <w:lvlJc w:val="left"/>
      <w:lvlText w:val="☒"/>
      <w:numFmt w:val="bullet"/>
      <w:start w:val="1"/>
    </w:lvl>
  </w:abstractNum>
  <w:abstractNum w:abstractNumId="1">
    <w:nsid w:val="26F324BA"/>
    <w:multiLevelType w:val="hybridMultilevel"/>
    <w:lvl w:ilvl="0">
      <w:lvlJc w:val="left"/>
      <w:lvlText w:val="☐"/>
      <w:numFmt w:val="bullet"/>
      <w:start w:val="1"/>
    </w:lvl>
  </w:abstractNum>
  <w:abstractNum w:abstractNumId="2">
    <w:nsid w:val="7F01579B"/>
    <w:multiLevelType w:val="hybridMultilevel"/>
    <w:lvl w:ilvl="0">
      <w:lvlJc w:val="left"/>
      <w:lvlText w:val="•"/>
      <w:numFmt w:val="bullet"/>
      <w:start w:val="1"/>
    </w:lvl>
  </w:abstractNum>
  <w:abstractNum w:abstractNumId="3">
    <w:nsid w:val="49DA307D"/>
    <w:multiLevelType w:val="hybridMultilevel"/>
    <w:lvl w:ilvl="0">
      <w:lvlJc w:val="left"/>
      <w:lvlText w:val="•"/>
      <w:numFmt w:val="bullet"/>
      <w:start w:val="1"/>
    </w:lvl>
  </w:abstractNum>
  <w:abstractNum w:abstractNumId="4">
    <w:nsid w:val="7055A5F5"/>
    <w:multiLevelType w:val="hybridMultilevel"/>
    <w:lvl w:ilvl="0">
      <w:lvlJc w:val="left"/>
      <w:lvlText w:val="•"/>
      <w:numFmt w:val="bullet"/>
      <w:start w:val="1"/>
    </w:lvl>
  </w:abstractNum>
  <w:abstractNum w:abstractNumId="5">
    <w:nsid w:val="5FB8370B"/>
    <w:multiLevelType w:val="hybridMultilevel"/>
    <w:lvl w:ilvl="0">
      <w:lvlJc w:val="left"/>
      <w:lvlText w:val="•"/>
      <w:numFmt w:val="bullet"/>
      <w:start w:val="1"/>
    </w:lvl>
  </w:abstractNum>
  <w:abstractNum w:abstractNumId="6">
    <w:nsid w:val="50801EE1"/>
    <w:multiLevelType w:val="hybridMultilevel"/>
    <w:lvl w:ilvl="0">
      <w:lvlJc w:val="left"/>
      <w:lvlText w:val="•"/>
      <w:numFmt w:val="bullet"/>
      <w:start w:val="1"/>
    </w:lvl>
  </w:abstractNum>
  <w:abstractNum w:abstractNumId="7">
    <w:nsid w:val="488AC1A"/>
    <w:multiLevelType w:val="hybridMultilevel"/>
    <w:lvl w:ilvl="0">
      <w:lvlJc w:val="left"/>
      <w:lvlText w:val="•"/>
      <w:numFmt w:val="bullet"/>
      <w:start w:val="1"/>
    </w:lvl>
  </w:abstractNum>
  <w:abstractNum w:abstractNumId="8">
    <w:nsid w:val="5FB8011C"/>
    <w:multiLevelType w:val="hybridMultilevel"/>
    <w:lvl w:ilvl="0">
      <w:lvlJc w:val="left"/>
      <w:lvlText w:val="•"/>
      <w:numFmt w:val="bullet"/>
      <w:start w:val="1"/>
    </w:lvl>
  </w:abstractNum>
  <w:abstractNum w:abstractNumId="9">
    <w:nsid w:val="6AA78F7F"/>
    <w:multiLevelType w:val="hybridMultilevel"/>
    <w:lvl w:ilvl="0">
      <w:lvlJc w:val="left"/>
      <w:lvlText w:val="•"/>
      <w:numFmt w:val="bullet"/>
      <w:start w:val="1"/>
    </w:lvl>
  </w:abstractNum>
  <w:abstractNum w:abstractNumId="10">
    <w:nsid w:val="7672BD23"/>
    <w:multiLevelType w:val="hybridMultilevel"/>
    <w:lvl w:ilvl="0">
      <w:lvlJc w:val="left"/>
      <w:lvlText w:val="•"/>
      <w:numFmt w:val="bullet"/>
      <w:start w:val="1"/>
    </w:lvl>
  </w:abstractNum>
  <w:abstractNum w:abstractNumId="11">
    <w:nsid w:val="6FC75AF8"/>
    <w:multiLevelType w:val="hybridMultilevel"/>
    <w:lvl w:ilvl="0">
      <w:lvlJc w:val="left"/>
      <w:lvlText w:val="•"/>
      <w:numFmt w:val="bullet"/>
      <w:start w:val="1"/>
    </w:lvl>
  </w:abstractNum>
  <w:abstractNum w:abstractNumId="12">
    <w:nsid w:val="6A5F7029"/>
    <w:multiLevelType w:val="hybridMultilevel"/>
    <w:lvl w:ilvl="0">
      <w:lvlJc w:val="left"/>
      <w:lvlText w:val="•"/>
      <w:numFmt w:val="bullet"/>
      <w:start w:val="1"/>
    </w:lvl>
  </w:abstractNum>
  <w:abstractNum w:abstractNumId="13">
    <w:nsid w:val="7D5E18F8"/>
    <w:multiLevelType w:val="hybridMultilevel"/>
    <w:lvl w:ilvl="0">
      <w:lvlJc w:val="left"/>
      <w:lvlText w:val="•"/>
      <w:numFmt w:val="bullet"/>
      <w:start w:val="1"/>
    </w:lvl>
  </w:abstractNum>
  <w:abstractNum w:abstractNumId="14">
    <w:nsid w:val="5F3534A4"/>
    <w:multiLevelType w:val="hybridMultilevel"/>
    <w:lvl w:ilvl="0">
      <w:lvlJc w:val="left"/>
      <w:lvlText w:val="•"/>
      <w:numFmt w:val="bullet"/>
      <w:start w:val="1"/>
    </w:lvl>
  </w:abstractNum>
  <w:abstractNum w:abstractNumId="15">
    <w:nsid w:val="73A1821B"/>
    <w:multiLevelType w:val="hybridMultilevel"/>
    <w:lvl w:ilvl="0">
      <w:lvlJc w:val="left"/>
      <w:lvlText w:val="•"/>
      <w:numFmt w:val="bullet"/>
      <w:start w:val="1"/>
    </w:lvl>
  </w:abstractNum>
  <w:abstractNum w:abstractNumId="16">
    <w:nsid w:val="7DE67713"/>
    <w:multiLevelType w:val="hybridMultilevel"/>
    <w:lvl w:ilvl="0">
      <w:lvlJc w:val="left"/>
      <w:lvlText w:val="•"/>
      <w:numFmt w:val="bullet"/>
      <w:start w:val="1"/>
    </w:lvl>
  </w:abstractNum>
  <w:abstractNum w:abstractNumId="17">
    <w:nsid w:val="555C55B5"/>
    <w:multiLevelType w:val="hybridMultilevel"/>
    <w:lvl w:ilvl="0">
      <w:lvlJc w:val="left"/>
      <w:lvlText w:val="%1."/>
      <w:numFmt w:val="decimal"/>
      <w:start w:val="203"/>
    </w:lvl>
  </w:abstractNum>
  <w:abstractNum w:abstractNumId="18">
    <w:nsid w:val="3FA62ACA"/>
    <w:multiLevelType w:val="hybridMultilevel"/>
    <w:lvl w:ilvl="0">
      <w:lvlJc w:val="left"/>
      <w:lvlText w:val="•"/>
      <w:numFmt w:val="bullet"/>
      <w:start w:val="1"/>
    </w:lvl>
  </w:abstractNum>
  <w:abstractNum w:abstractNumId="19">
    <w:nsid w:val="14FCE74E"/>
    <w:multiLevelType w:val="hybridMultilevel"/>
    <w:lvl w:ilvl="0">
      <w:lvlJc w:val="left"/>
      <w:lvlText w:val="•"/>
      <w:numFmt w:val="bullet"/>
      <w:start w:val="1"/>
    </w:lvl>
  </w:abstractNum>
  <w:abstractNum w:abstractNumId="20">
    <w:nsid w:val="6A3DD3E8"/>
    <w:multiLevelType w:val="hybridMultilevel"/>
    <w:lvl w:ilvl="0">
      <w:lvlJc w:val="left"/>
      <w:lvlText w:val="•"/>
      <w:numFmt w:val="bullet"/>
      <w:start w:val="1"/>
    </w:lvl>
  </w:abstractNum>
  <w:abstractNum w:abstractNumId="21">
    <w:nsid w:val="71C91298"/>
    <w:multiLevelType w:val="hybridMultilevel"/>
    <w:lvl w:ilvl="0">
      <w:lvlJc w:val="left"/>
      <w:lvlText w:val="•"/>
      <w:numFmt w:val="bullet"/>
      <w:start w:val="1"/>
    </w:lvl>
  </w:abstractNum>
  <w:abstractNum w:abstractNumId="22">
    <w:nsid w:val="9DAF632"/>
    <w:multiLevelType w:val="hybridMultilevel"/>
    <w:lvl w:ilvl="0">
      <w:lvlJc w:val="left"/>
      <w:lvlText w:val="•"/>
      <w:numFmt w:val="bullet"/>
      <w:start w:val="1"/>
    </w:lvl>
  </w:abstractNum>
  <w:abstractNum w:abstractNumId="23">
    <w:nsid w:val="53299938"/>
    <w:multiLevelType w:val="hybridMultilevel"/>
    <w:lvl w:ilvl="0">
      <w:lvlJc w:val="left"/>
      <w:lvlText w:val="(%1)"/>
      <w:numFmt w:val="decimal"/>
      <w:start w:val="1"/>
    </w:lvl>
  </w:abstractNum>
  <w:abstractNum w:abstractNumId="24">
    <w:nsid w:val="1FBFE8E0"/>
    <w:multiLevelType w:val="hybridMultilevel"/>
    <w:lvl w:ilvl="0">
      <w:lvlJc w:val="left"/>
      <w:lvlText w:val="(%1)"/>
      <w:numFmt w:val="decimal"/>
      <w:start w:val="2"/>
    </w:lvl>
  </w:abstractNum>
  <w:abstractNum w:abstractNumId="25">
    <w:nsid w:val="5092CA79"/>
    <w:multiLevelType w:val="hybridMultilevel"/>
    <w:lvl w:ilvl="0">
      <w:lvlJc w:val="left"/>
      <w:lvlText w:val="•"/>
      <w:numFmt w:val="bullet"/>
      <w:start w:val="1"/>
    </w:lvl>
  </w:abstractNum>
  <w:abstractNum w:abstractNumId="26">
    <w:nsid w:val="1D545C4D"/>
    <w:multiLevelType w:val="hybridMultilevel"/>
    <w:lvl w:ilvl="0">
      <w:lvlJc w:val="left"/>
      <w:lvlText w:val="•"/>
      <w:numFmt w:val="bullet"/>
      <w:start w:val="1"/>
    </w:lvl>
  </w:abstractNum>
  <w:abstractNum w:abstractNumId="27">
    <w:nsid w:val="59ADEA3D"/>
    <w:multiLevelType w:val="hybridMultilevel"/>
    <w:lvl w:ilvl="0">
      <w:lvlJc w:val="left"/>
      <w:lvlText w:val="•"/>
      <w:numFmt w:val="bullet"/>
      <w:start w:val="1"/>
    </w:lvl>
  </w:abstractNum>
  <w:abstractNum w:abstractNumId="28">
    <w:nsid w:val="288F1A34"/>
    <w:multiLevelType w:val="hybridMultilevel"/>
    <w:lvl w:ilvl="0">
      <w:lvlJc w:val="left"/>
      <w:lvlText w:val="(%1)"/>
      <w:numFmt w:val="decimal"/>
      <w:start w:val="1"/>
    </w:lvl>
  </w:abstractNum>
  <w:abstractNum w:abstractNumId="29">
    <w:nsid w:val="2A155DBC"/>
    <w:multiLevelType w:val="hybridMultilevel"/>
    <w:lvl w:ilvl="0">
      <w:lvlJc w:val="left"/>
      <w:lvlText w:val="(%1)"/>
      <w:numFmt w:val="decimal"/>
      <w:start w:val="1"/>
    </w:lvl>
  </w:abstractNum>
  <w:abstractNum w:abstractNumId="30">
    <w:nsid w:val="1D9F6E5F"/>
    <w:multiLevelType w:val="hybridMultilevel"/>
    <w:lvl w:ilvl="0">
      <w:lvlJc w:val="left"/>
      <w:lvlText w:val="(%1)"/>
      <w:numFmt w:val="decimal"/>
      <w:start w:val="1"/>
    </w:lvl>
  </w:abstractNum>
  <w:abstractNum w:abstractNumId="31">
    <w:nsid w:val="97E1B4E"/>
    <w:multiLevelType w:val="hybridMultilevel"/>
    <w:lvl w:ilvl="0">
      <w:lvlJc w:val="left"/>
      <w:lvlText w:val="(%1)"/>
      <w:numFmt w:val="decimal"/>
      <w:start w:val="1"/>
    </w:lvl>
  </w:abstractNum>
  <w:abstractNum w:abstractNumId="32">
    <w:nsid w:val="51088277"/>
    <w:multiLevelType w:val="hybridMultilevel"/>
    <w:lvl w:ilvl="0">
      <w:lvlJc w:val="left"/>
      <w:lvlText w:val="(%1)"/>
      <w:numFmt w:val="decimal"/>
      <w:start w:val="1"/>
    </w:lvl>
  </w:abstractNum>
  <w:abstractNum w:abstractNumId="33">
    <w:nsid w:val="1CA0C5FA"/>
    <w:multiLevelType w:val="hybridMultilevel"/>
    <w:lvl w:ilvl="0">
      <w:lvlJc w:val="left"/>
      <w:lvlText w:val="%1."/>
      <w:numFmt w:val="decimal"/>
      <w:start w:val="2"/>
    </w:lvl>
  </w:abstractNum>
  <w:abstractNum w:abstractNumId="34">
    <w:nsid w:val="53584BCB"/>
    <w:multiLevelType w:val="hybridMultilevel"/>
    <w:lvl w:ilvl="0">
      <w:lvlJc w:val="left"/>
      <w:lvlText w:val="%1"/>
      <w:numFmt w:val="decimal"/>
      <w:start w:val="97"/>
    </w:lvl>
  </w:abstractNum>
  <w:abstractNum w:abstractNumId="35">
    <w:nsid w:val="415E286C"/>
    <w:multiLevelType w:val="hybridMultilevel"/>
    <w:lvl w:ilvl="0">
      <w:lvlJc w:val="left"/>
      <w:lvlText w:val="*"/>
      <w:numFmt w:val="bullet"/>
      <w:start w:val="1"/>
    </w:lvl>
    <w:lvl w:ilvl="1">
      <w:lvlJc w:val="left"/>
      <w:lvlText w:val="%2"/>
      <w:numFmt w:val="decimal"/>
      <w:start w:val="104"/>
    </w:lvl>
  </w:abstractNum>
  <w:abstractNum w:abstractNumId="36">
    <w:nsid w:val="7C58FD05"/>
    <w:multiLevelType w:val="hybridMultilevel"/>
    <w:lvl w:ilvl="0">
      <w:lvlJc w:val="left"/>
      <w:lvlText w:val="**"/>
      <w:numFmt w:val="bullet"/>
      <w:start w:val="1"/>
    </w:lvl>
    <w:lvl w:ilvl="1">
      <w:lvlJc w:val="left"/>
      <w:lvlText w:val="%2"/>
      <w:numFmt w:val="decimal"/>
      <w:start w:val="1"/>
    </w:lvl>
  </w:abstractNum>
  <w:abstractNum w:abstractNumId="37">
    <w:nsid w:val="23D86AAC"/>
    <w:multiLevelType w:val="hybridMultilevel"/>
    <w:lvl w:ilvl="0">
      <w:lvlJc w:val="left"/>
      <w:lvlText w:val="%1."/>
      <w:numFmt w:val="decimal"/>
      <w:start w:val="1"/>
    </w:lvl>
  </w:abstractNum>
  <w:abstractNum w:abstractNumId="38">
    <w:nsid w:val="45E6D486"/>
    <w:multiLevelType w:val="hybridMultilevel"/>
    <w:lvl w:ilvl="0">
      <w:lvlJc w:val="left"/>
      <w:lvlText w:val="%1."/>
      <w:numFmt w:val="decimal"/>
      <w:start w:val="2"/>
    </w:lvl>
    <w:lvl w:ilvl="1">
      <w:lvlJc w:val="left"/>
      <w:lvlText w:val="(%2)"/>
      <w:numFmt w:val="lowerLetter"/>
      <w:start w:val="1"/>
    </w:lvl>
  </w:abstractNum>
  <w:abstractNum w:abstractNumId="39">
    <w:nsid w:val="5C10FE21"/>
    <w:multiLevelType w:val="hybridMultilevel"/>
    <w:lvl w:ilvl="0">
      <w:lvlJc w:val="left"/>
      <w:lvlText w:val="(%1)"/>
      <w:numFmt w:val="lowerLetter"/>
      <w:start w:val="3"/>
    </w:lvl>
  </w:abstractNum>
  <w:abstractNum w:abstractNumId="40">
    <w:nsid w:val="E7FFA2B"/>
    <w:multiLevelType w:val="hybridMultilevel"/>
    <w:lvl w:ilvl="0">
      <w:lvlJc w:val="left"/>
      <w:lvlText w:val="(%1)"/>
      <w:numFmt w:val="lowerLetter"/>
      <w:start w:val="5"/>
    </w:lvl>
  </w:abstractNum>
  <w:abstractNum w:abstractNumId="41">
    <w:nsid w:val="3C5991AA"/>
    <w:multiLevelType w:val="hybridMultilevel"/>
    <w:lvl w:ilvl="0">
      <w:lvlJc w:val="left"/>
      <w:lvlText w:val="%1"/>
      <w:numFmt w:val="decimal"/>
      <w:start w:val="1"/>
    </w:lvl>
    <w:lvl w:ilvl="1">
      <w:lvlJc w:val="left"/>
      <w:lvlText w:val="(%2)"/>
      <w:numFmt w:val="lowerLetter"/>
      <w:start w:val="9"/>
    </w:lvl>
    <w:lvl w:ilvl="2">
      <w:lvlJc w:val="left"/>
      <w:lvlText w:val="(%3)"/>
      <w:numFmt w:val="lowerRoman"/>
      <w:start w:val="1"/>
    </w:lvl>
  </w:abstractNum>
  <w:abstractNum w:abstractNumId="42">
    <w:nsid w:val="4BD8591A"/>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43">
    <w:nsid w:val="78DF6A55"/>
    <w:multiLevelType w:val="hybridMultilevel"/>
    <w:lvl w:ilvl="0">
      <w:lvlJc w:val="left"/>
      <w:lvlText w:val="(%1)"/>
      <w:numFmt w:val="lowerLetter"/>
      <w:start w:val="1"/>
    </w:lvl>
  </w:abstractNum>
  <w:abstractNum w:abstractNumId="44">
    <w:nsid w:val="39B7AAA2"/>
    <w:multiLevelType w:val="hybridMultilevel"/>
    <w:lvl w:ilvl="0">
      <w:lvlJc w:val="left"/>
      <w:lvlText w:val="(%1)"/>
      <w:numFmt w:val="lowerRoman"/>
      <w:start w:val="1"/>
    </w:lvl>
  </w:abstractNum>
  <w:abstractNum w:abstractNumId="45">
    <w:nsid w:val="2B0D8DBE"/>
    <w:multiLevelType w:val="hybridMultilevel"/>
    <w:lvl w:ilvl="0">
      <w:lvlJc w:val="left"/>
      <w:lvlText w:val="%1."/>
      <w:numFmt w:val="decimal"/>
      <w:start w:val="4"/>
    </w:lvl>
  </w:abstractNum>
  <w:abstractNum w:abstractNumId="46">
    <w:nsid w:val="6C80EC70"/>
    <w:multiLevelType w:val="hybridMultilevel"/>
    <w:lvl w:ilvl="0">
      <w:lvlJc w:val="left"/>
      <w:lvlText w:val="%1."/>
      <w:numFmt w:val="decimal"/>
      <w:start w:val="5"/>
    </w:lvl>
  </w:abstractNum>
  <w:abstractNum w:abstractNumId="47">
    <w:nsid w:val="379E21B5"/>
    <w:multiLevelType w:val="hybridMultilevel"/>
    <w:lvl w:ilvl="0">
      <w:lvlJc w:val="left"/>
      <w:lvlText w:val="%1."/>
      <w:numFmt w:val="decimal"/>
      <w:start w:val="6"/>
    </w:lvl>
  </w:abstractNum>
  <w:abstractNum w:abstractNumId="48">
    <w:nsid w:val="69E373"/>
    <w:multiLevelType w:val="hybridMultilevel"/>
    <w:lvl w:ilvl="0">
      <w:lvlJc w:val="left"/>
      <w:lvlText w:val="%1."/>
      <w:numFmt w:val="decimal"/>
      <w:start w:val="7"/>
    </w:lvl>
  </w:abstractNum>
  <w:abstractNum w:abstractNumId="49">
    <w:nsid w:val="2C27173B"/>
    <w:multiLevelType w:val="hybridMultilevel"/>
    <w:lvl w:ilvl="0">
      <w:lvlJc w:val="left"/>
      <w:lvlText w:val="%1."/>
      <w:numFmt w:val="decimal"/>
      <w:start w:val="8"/>
    </w:lvl>
  </w:abstractNum>
  <w:abstractNum w:abstractNumId="50">
    <w:nsid w:val="4C9B0904"/>
    <w:multiLevelType w:val="hybridMultilevel"/>
    <w:lvl w:ilvl="0">
      <w:lvlJc w:val="left"/>
      <w:lvlText w:val="%1."/>
      <w:numFmt w:val="decimal"/>
      <w:start w:val="9"/>
    </w:lvl>
    <w:lvl w:ilvl="1">
      <w:lvlJc w:val="left"/>
      <w:lvlText w:val="(%2)"/>
      <w:numFmt w:val="lowerLetter"/>
      <w:start w:val="1"/>
    </w:lvl>
  </w:abstractNum>
  <w:abstractNum w:abstractNumId="51">
    <w:nsid w:val="6AA7B75C"/>
    <w:multiLevelType w:val="hybridMultilevel"/>
    <w:lvl w:ilvl="0">
      <w:lvlJc w:val="left"/>
      <w:lvlText w:val="(%1)"/>
      <w:numFmt w:val="lowerLetter"/>
      <w:start w:val="3"/>
    </w:lvl>
  </w:abstractNum>
  <w:abstractNum w:abstractNumId="52">
    <w:nsid w:val="1DF029D3"/>
    <w:multiLevelType w:val="hybridMultilevel"/>
    <w:lvl w:ilvl="0">
      <w:lvlJc w:val="left"/>
      <w:lvlText w:val="(%1)"/>
      <w:numFmt w:val="lowerLetter"/>
      <w:start w:val="5"/>
    </w:lvl>
  </w:abstractNum>
  <w:abstractNum w:abstractNumId="53">
    <w:nsid w:val="5675FF36"/>
    <w:multiLevelType w:val="hybridMultilevel"/>
    <w:lvl w:ilvl="0">
      <w:lvlJc w:val="left"/>
      <w:lvlText w:val="%1."/>
      <w:numFmt w:val="decimal"/>
      <w:start w:val="10"/>
    </w:lvl>
  </w:abstractNum>
  <w:abstractNum w:abstractNumId="54">
    <w:nsid w:val="3DD15094"/>
    <w:multiLevelType w:val="hybridMultilevel"/>
    <w:lvl w:ilvl="0">
      <w:lvlJc w:val="left"/>
      <w:lvlText w:val="%1."/>
      <w:numFmt w:val="decimal"/>
      <w:start w:val="11"/>
    </w:lvl>
  </w:abstractNum>
  <w:abstractNum w:abstractNumId="55">
    <w:nsid w:val="3DB012B3"/>
    <w:multiLevelType w:val="hybridMultilevel"/>
    <w:lvl w:ilvl="0">
      <w:lvlJc w:val="left"/>
      <w:lvlText w:val="%1."/>
      <w:numFmt w:val="decimal"/>
      <w:start w:val="1"/>
    </w:lvl>
  </w:abstractNum>
  <w:abstractNum w:abstractNumId="56">
    <w:nsid w:val="2708C9AF"/>
    <w:multiLevelType w:val="hybridMultilevel"/>
    <w:lvl w:ilvl="0">
      <w:lvlJc w:val="left"/>
      <w:lvlText w:val="%1."/>
      <w:numFmt w:val="decimal"/>
      <w:start w:val="2"/>
    </w:lvl>
  </w:abstractNum>
  <w:abstractNum w:abstractNumId="57">
    <w:nsid w:val="5B25ACE2"/>
    <w:multiLevelType w:val="hybridMultilevel"/>
    <w:lvl w:ilvl="0">
      <w:lvlJc w:val="left"/>
      <w:lvlText w:val="(%1)"/>
      <w:numFmt w:val="lowerLetter"/>
      <w:start w:val="1"/>
    </w:lvl>
  </w:abstractNum>
  <w:abstractNum w:abstractNumId="58">
    <w:nsid w:val="175DFCF0"/>
    <w:multiLevelType w:val="hybridMultilevel"/>
    <w:lvl w:ilvl="0">
      <w:lvlJc w:val="left"/>
      <w:lvlText w:val="%1."/>
      <w:numFmt w:val="decimal"/>
      <w:start w:val="3"/>
    </w:lvl>
    <w:lvl w:ilvl="1">
      <w:lvlJc w:val="left"/>
      <w:lvlText w:val="(%2)"/>
      <w:numFmt w:val="lowerLetter"/>
      <w:start w:val="1"/>
    </w:lvl>
  </w:abstractNum>
  <w:abstractNum w:abstractNumId="59">
    <w:nsid w:val="4F97E3E4"/>
    <w:multiLevelType w:val="hybridMultilevel"/>
    <w:lvl w:ilvl="0">
      <w:lvlJc w:val="left"/>
      <w:lvlText w:val="(%1)"/>
      <w:numFmt w:val="lowerLetter"/>
      <w:start w:val="3"/>
    </w:lvl>
  </w:abstractNum>
  <w:abstractNum w:abstractNumId="60">
    <w:nsid w:val="53B0A9E"/>
    <w:multiLevelType w:val="hybridMultilevel"/>
    <w:lvl w:ilvl="0">
      <w:lvlJc w:val="left"/>
      <w:lvlText w:val="%1."/>
      <w:numFmt w:val="decimal"/>
      <w:start w:val="4"/>
    </w:lvl>
  </w:abstractNum>
  <w:abstractNum w:abstractNumId="61">
    <w:nsid w:val="34FD6B4F"/>
    <w:multiLevelType w:val="hybridMultilevel"/>
    <w:lvl w:ilvl="0">
      <w:lvlJc w:val="left"/>
      <w:lvlText w:val="%1."/>
      <w:numFmt w:val="decimal"/>
      <w:start w:val="5"/>
    </w:lvl>
  </w:abstractNum>
  <w:abstractNum w:abstractNumId="62">
    <w:nsid w:val="5915FF32"/>
    <w:multiLevelType w:val="hybridMultilevel"/>
    <w:lvl w:ilvl="0">
      <w:lvlJc w:val="left"/>
      <w:lvlText w:val="%1."/>
      <w:numFmt w:val="decimal"/>
      <w:start w:val="6"/>
    </w:lvl>
  </w:abstractNum>
  <w:abstractNum w:abstractNumId="63">
    <w:nsid w:val="56438D15"/>
    <w:multiLevelType w:val="hybridMultilevel"/>
    <w:lvl w:ilvl="0">
      <w:lvlJc w:val="left"/>
      <w:lvlText w:val="%1."/>
      <w:numFmt w:val="decimal"/>
      <w:start w:val="7"/>
    </w:lvl>
    <w:lvl w:ilvl="1">
      <w:lvlJc w:val="left"/>
      <w:lvlText w:val="(%2)"/>
      <w:numFmt w:val="lowerLetter"/>
      <w:start w:val="1"/>
    </w:lvl>
  </w:abstractNum>
  <w:abstractNum w:abstractNumId="64">
    <w:nsid w:val="519E3149"/>
    <w:multiLevelType w:val="hybridMultilevel"/>
    <w:lvl w:ilvl="0">
      <w:lvlJc w:val="left"/>
      <w:lvlText w:val="%1."/>
      <w:numFmt w:val="decimal"/>
      <w:start w:val="8"/>
    </w:lvl>
  </w:abstractNum>
  <w:abstractNum w:abstractNumId="65">
    <w:nsid w:val="2C6E4AFD"/>
    <w:multiLevelType w:val="hybridMultilevel"/>
    <w:lvl w:ilvl="0">
      <w:lvlJc w:val="left"/>
      <w:lvlText w:val="%1."/>
      <w:numFmt w:val="decimal"/>
      <w:start w:val="9"/>
    </w:lvl>
  </w:abstractNum>
  <w:abstractNum w:abstractNumId="66">
    <w:nsid w:val="17A1B582"/>
    <w:multiLevelType w:val="hybridMultilevel"/>
    <w:lvl w:ilvl="0">
      <w:lvlJc w:val="left"/>
      <w:lvlText w:val="%1."/>
      <w:numFmt w:val="decimal"/>
      <w:start w:val="10"/>
    </w:lvl>
  </w:abstractNum>
  <w:abstractNum w:abstractNumId="67">
    <w:nsid w:val="4DF72E4E"/>
    <w:multiLevelType w:val="hybridMultilevel"/>
    <w:lvl w:ilvl="0">
      <w:lvlJc w:val="left"/>
      <w:lvlText w:val="%1."/>
      <w:numFmt w:val="decimal"/>
      <w:start w:val="11"/>
    </w:lvl>
  </w:abstractNum>
  <w:abstractNum w:abstractNumId="68">
    <w:nsid w:val="5046B5A9"/>
    <w:multiLevelType w:val="hybridMultilevel"/>
    <w:lvl w:ilvl="0">
      <w:lvlJc w:val="left"/>
      <w:lvlText w:val="%1."/>
      <w:numFmt w:val="decimal"/>
      <w:start w:val="12"/>
    </w:lvl>
  </w:abstractNum>
  <w:abstractNum w:abstractNumId="69">
    <w:nsid w:val="5D888A08"/>
    <w:multiLevelType w:val="hybridMultilevel"/>
    <w:lvl w:ilvl="0">
      <w:lvlJc w:val="left"/>
      <w:lvlText w:val="%1."/>
      <w:numFmt w:val="decimal"/>
      <w:start w:val="13"/>
    </w:lvl>
  </w:abstractNum>
  <w:abstractNum w:abstractNumId="70">
    <w:nsid w:val="2A082C70"/>
    <w:multiLevelType w:val="hybridMultilevel"/>
    <w:lvl w:ilvl="0">
      <w:lvlJc w:val="left"/>
      <w:lvlText w:val="%1."/>
      <w:numFmt w:val="decimal"/>
      <w:start w:val="14"/>
    </w:lvl>
  </w:abstractNum>
  <w:abstractNum w:abstractNumId="71">
    <w:nsid w:val="5EC6AFD4"/>
    <w:multiLevelType w:val="hybridMultilevel"/>
    <w:lvl w:ilvl="0">
      <w:lvlJc w:val="left"/>
      <w:lvlText w:val="%1."/>
      <w:numFmt w:val="decimal"/>
      <w:start w:val="15"/>
    </w:lvl>
  </w:abstractNum>
  <w:abstractNum w:abstractNumId="72">
    <w:nsid w:val="19E21BB2"/>
    <w:multiLevelType w:val="hybridMultilevel"/>
    <w:lvl w:ilvl="0">
      <w:lvlJc w:val="left"/>
      <w:lvlText w:val="%1."/>
      <w:numFmt w:val="decimal"/>
      <w:start w:val="16"/>
    </w:lvl>
  </w:abstractNum>
  <w:abstractNum w:abstractNumId="73">
    <w:nsid w:val="75E0858A"/>
    <w:multiLevelType w:val="hybridMultilevel"/>
    <w:lvl w:ilvl="0">
      <w:lvlJc w:val="left"/>
      <w:lvlText w:val="%1."/>
      <w:numFmt w:val="decimal"/>
      <w:start w:val="17"/>
    </w:lvl>
  </w:abstractNum>
  <w:abstractNum w:abstractNumId="74">
    <w:nsid w:val="57A61A29"/>
    <w:multiLevelType w:val="hybridMultilevel"/>
    <w:lvl w:ilvl="0">
      <w:lvlJc w:val="left"/>
      <w:lvlText w:val="%1."/>
      <w:numFmt w:val="decimal"/>
      <w:start w:val="1"/>
    </w:lvl>
  </w:abstractNum>
  <w:abstractNum w:abstractNumId="75">
    <w:nsid w:val="5399C654"/>
    <w:multiLevelType w:val="hybridMultilevel"/>
    <w:lvl w:ilvl="0">
      <w:lvlJc w:val="left"/>
      <w:lvlText w:val="%1."/>
      <w:numFmt w:val="decimal"/>
      <w:start w:val="2"/>
    </w:lvl>
    <w:lvl w:ilvl="1">
      <w:lvlJc w:val="left"/>
      <w:lvlText w:val="(%2)"/>
      <w:numFmt w:val="lowerLetter"/>
      <w:start w:val="1"/>
    </w:lvl>
  </w:abstractNum>
  <w:abstractNum w:abstractNumId="76">
    <w:nsid w:val="20EE1348"/>
    <w:multiLevelType w:val="hybridMultilevel"/>
    <w:lvl w:ilvl="0">
      <w:lvlJc w:val="left"/>
      <w:lvlText w:val="(%1)"/>
      <w:numFmt w:val="lowerLetter"/>
      <w:start w:val="3"/>
    </w:lvl>
  </w:abstractNum>
  <w:abstractNum w:abstractNumId="77">
    <w:nsid w:val="4427069A"/>
    <w:multiLevelType w:val="hybridMultilevel"/>
    <w:lvl w:ilvl="0">
      <w:lvlJc w:val="left"/>
      <w:lvlText w:val="(%1)"/>
      <w:numFmt w:val="lowerLetter"/>
      <w:start w:val="5"/>
    </w:lvl>
  </w:abstractNum>
  <w:abstractNum w:abstractNumId="78">
    <w:nsid w:val="B37E80A"/>
    <w:multiLevelType w:val="hybridMultilevel"/>
    <w:lvl w:ilvl="0">
      <w:lvlJc w:val="left"/>
      <w:lvlText w:val="(%1)"/>
      <w:numFmt w:val="lowerRoman"/>
      <w:start w:val="1"/>
    </w:lvl>
  </w:abstractNum>
  <w:abstractNum w:abstractNumId="79">
    <w:nsid w:val="2157F6BC"/>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3"/>
    </w:lvl>
  </w:abstractNum>
  <w:abstractNum w:abstractNumId="80">
    <w:nsid w:val="704E1DD5"/>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81">
    <w:nsid w:val="57D2F10E"/>
    <w:multiLevelType w:val="hybridMultilevel"/>
    <w:lvl w:ilvl="0">
      <w:lvlJc w:val="left"/>
      <w:lvlText w:val="%1."/>
      <w:numFmt w:val="decimal"/>
      <w:start w:val="5"/>
    </w:lvl>
  </w:abstractNum>
  <w:abstractNum w:abstractNumId="82">
    <w:nsid w:val="BFFAE18"/>
    <w:multiLevelType w:val="hybridMultilevel"/>
    <w:lvl w:ilvl="0">
      <w:lvlJc w:val="left"/>
      <w:lvlText w:val="%1."/>
      <w:numFmt w:val="decimal"/>
      <w:start w:val="6"/>
    </w:lvl>
  </w:abstractNum>
  <w:abstractNum w:abstractNumId="83">
    <w:nsid w:val="E3E47A8"/>
    <w:multiLevelType w:val="hybridMultilevel"/>
    <w:lvl w:ilvl="0">
      <w:lvlJc w:val="left"/>
      <w:lvlText w:val="%1."/>
      <w:numFmt w:val="decimal"/>
      <w:start w:val="7"/>
    </w:lvl>
  </w:abstractNum>
  <w:abstractNum w:abstractNumId="84">
    <w:nsid w:val="2E48F044"/>
    <w:multiLevelType w:val="hybridMultilevel"/>
    <w:lvl w:ilvl="0">
      <w:lvlJc w:val="left"/>
      <w:lvlText w:val="%1."/>
      <w:numFmt w:val="decimal"/>
      <w:start w:val="8"/>
    </w:lvl>
  </w:abstractNum>
  <w:abstractNum w:abstractNumId="85">
    <w:nsid w:val="49D0FEAC"/>
    <w:multiLevelType w:val="hybridMultilevel"/>
    <w:lvl w:ilvl="0">
      <w:lvlJc w:val="left"/>
      <w:lvlText w:val="%1."/>
      <w:numFmt w:val="decimal"/>
      <w:start w:val="9"/>
    </w:lvl>
    <w:lvl w:ilvl="1">
      <w:lvlJc w:val="left"/>
      <w:lvlText w:val="(%2)"/>
      <w:numFmt w:val="lowerLetter"/>
      <w:start w:val="1"/>
    </w:lvl>
  </w:abstractNum>
  <w:abstractNum w:abstractNumId="86">
    <w:nsid w:val="4BEE5A5B"/>
    <w:multiLevelType w:val="hybridMultilevel"/>
    <w:lvl w:ilvl="0">
      <w:lvlJc w:val="left"/>
      <w:lvlText w:val="(%1)"/>
      <w:numFmt w:val="lowerLetter"/>
      <w:start w:val="3"/>
    </w:lvl>
  </w:abstractNum>
  <w:abstractNum w:abstractNumId="87">
    <w:nsid w:val="5551B9F3"/>
    <w:multiLevelType w:val="hybridMultilevel"/>
    <w:lvl w:ilvl="0">
      <w:lvlJc w:val="left"/>
      <w:lvlText w:val="(%1)"/>
      <w:numFmt w:val="lowerLetter"/>
      <w:start w:val="5"/>
    </w:lvl>
  </w:abstractNum>
  <w:abstractNum w:abstractNumId="88">
    <w:nsid w:val="24F6AB8E"/>
    <w:multiLevelType w:val="hybridMultilevel"/>
    <w:lvl w:ilvl="0">
      <w:lvlJc w:val="left"/>
      <w:lvlText w:val="%1."/>
      <w:numFmt w:val="decimal"/>
      <w:start w:val="10"/>
    </w:lvl>
  </w:abstractNum>
  <w:abstractNum w:abstractNumId="89">
    <w:nsid w:val="634C574C"/>
    <w:multiLevelType w:val="hybridMultilevel"/>
    <w:lvl w:ilvl="0">
      <w:lvlJc w:val="left"/>
      <w:lvlText w:val="%1."/>
      <w:numFmt w:val="decimal"/>
      <w:start w:val="11"/>
    </w:lvl>
  </w:abstractNum>
  <w:abstractNum w:abstractNumId="90">
    <w:nsid w:val="24E99DD7"/>
    <w:multiLevelType w:val="hybridMultilevel"/>
    <w:lvl w:ilvl="0">
      <w:lvlJc w:val="left"/>
      <w:lvlText w:val="%1."/>
      <w:numFmt w:val="decimal"/>
      <w:start w:val="1"/>
    </w:lvl>
  </w:abstractNum>
  <w:abstractNum w:abstractNumId="91">
    <w:nsid w:val="2A31B62D"/>
    <w:multiLevelType w:val="hybridMultilevel"/>
    <w:lvl w:ilvl="0">
      <w:lvlJc w:val="left"/>
      <w:lvlText w:val="%1."/>
      <w:numFmt w:val="decimal"/>
      <w:start w:val="2"/>
    </w:lvl>
  </w:abstractNum>
  <w:abstractNum w:abstractNumId="92">
    <w:nsid w:val="1849C29B"/>
    <w:multiLevelType w:val="hybridMultilevel"/>
    <w:lvl w:ilvl="0">
      <w:lvlJc w:val="left"/>
      <w:lvlText w:val="(%1)"/>
      <w:numFmt w:val="lowerLetter"/>
      <w:start w:val="1"/>
    </w:lvl>
  </w:abstractNum>
  <w:abstractNum w:abstractNumId="93">
    <w:nsid w:val="7DFF9D09"/>
    <w:multiLevelType w:val="hybridMultilevel"/>
    <w:lvl w:ilvl="0">
      <w:lvlJc w:val="left"/>
      <w:lvlText w:val="%1."/>
      <w:numFmt w:val="decimal"/>
      <w:start w:val="3"/>
    </w:lvl>
    <w:lvl w:ilvl="1">
      <w:lvlJc w:val="left"/>
      <w:lvlText w:val="(%2)"/>
      <w:numFmt w:val="lowerLetter"/>
      <w:start w:val="1"/>
    </w:lvl>
  </w:abstractNum>
  <w:abstractNum w:abstractNumId="94">
    <w:nsid w:val="754342"/>
    <w:multiLevelType w:val="hybridMultilevel"/>
    <w:lvl w:ilvl="0">
      <w:lvlJc w:val="left"/>
      <w:lvlText w:val="(%1)"/>
      <w:numFmt w:val="lowerLetter"/>
      <w:start w:val="3"/>
    </w:lvl>
  </w:abstractNum>
  <w:abstractNum w:abstractNumId="95">
    <w:nsid w:val="69E7F3E5"/>
    <w:multiLevelType w:val="hybridMultilevel"/>
    <w:lvl w:ilvl="0">
      <w:lvlJc w:val="left"/>
      <w:lvlText w:val="%1."/>
      <w:numFmt w:val="decimal"/>
      <w:start w:val="4"/>
    </w:lvl>
  </w:abstractNum>
  <w:abstractNum w:abstractNumId="96">
    <w:nsid w:val="2A6DE806"/>
    <w:multiLevelType w:val="hybridMultilevel"/>
    <w:lvl w:ilvl="0">
      <w:lvlJc w:val="left"/>
      <w:lvlText w:val="%1."/>
      <w:numFmt w:val="decimal"/>
      <w:start w:val="5"/>
    </w:lvl>
  </w:abstractNum>
  <w:abstractNum w:abstractNumId="97">
    <w:nsid w:val="1816F8C4"/>
    <w:multiLevelType w:val="hybridMultilevel"/>
    <w:lvl w:ilvl="0">
      <w:lvlJc w:val="left"/>
      <w:lvlText w:val="%1."/>
      <w:numFmt w:val="decimal"/>
      <w:start w:val="6"/>
    </w:lvl>
  </w:abstractNum>
  <w:abstractNum w:abstractNumId="98">
    <w:nsid w:val="37DF2233"/>
    <w:multiLevelType w:val="hybridMultilevel"/>
    <w:lvl w:ilvl="0">
      <w:lvlJc w:val="left"/>
      <w:lvlText w:val="%1."/>
      <w:numFmt w:val="decimal"/>
      <w:start w:val="7"/>
    </w:lvl>
  </w:abstractNum>
  <w:abstractNum w:abstractNumId="99">
    <w:nsid w:val="7AB49DAF"/>
    <w:multiLevelType w:val="hybridMultilevel"/>
    <w:lvl w:ilvl="0">
      <w:lvlJc w:val="left"/>
      <w:lvlText w:val="%1."/>
      <w:numFmt w:val="decimal"/>
      <w:start w:val="8"/>
    </w:lvl>
  </w:abstractNum>
  <w:abstractNum w:abstractNumId="100">
    <w:nsid w:val="759F82CD"/>
    <w:multiLevelType w:val="hybridMultilevel"/>
    <w:lvl w:ilvl="0">
      <w:lvlJc w:val="left"/>
      <w:lvlText w:val="%1."/>
      <w:numFmt w:val="decimal"/>
      <w:start w:val="9"/>
    </w:lvl>
  </w:abstractNum>
  <w:abstractNum w:abstractNumId="101">
    <w:nsid w:val="61E74EA3"/>
    <w:multiLevelType w:val="hybridMultilevel"/>
    <w:lvl w:ilvl="0">
      <w:lvlJc w:val="left"/>
      <w:lvlText w:val="%1."/>
      <w:numFmt w:val="decimal"/>
      <w:start w:val="10"/>
    </w:lvl>
  </w:abstractNum>
  <w:abstractNum w:abstractNumId="102">
    <w:nsid w:val="597B4D84"/>
    <w:multiLevelType w:val="hybridMultilevel"/>
    <w:lvl w:ilvl="0">
      <w:lvlJc w:val="left"/>
      <w:lvlText w:val="%1."/>
      <w:numFmt w:val="decimal"/>
      <w:start w:val="11"/>
    </w:lvl>
  </w:abstractNum>
  <w:abstractNum w:abstractNumId="103">
    <w:nsid w:val="F819E7F"/>
    <w:multiLevelType w:val="hybridMultilevel"/>
    <w:lvl w:ilvl="0">
      <w:lvlJc w:val="left"/>
      <w:lvlText w:val="%1."/>
      <w:numFmt w:val="decimal"/>
      <w:start w:val="12"/>
    </w:lvl>
  </w:abstractNum>
  <w:abstractNum w:abstractNumId="104">
    <w:nsid w:val="57C7D42D"/>
    <w:multiLevelType w:val="hybridMultilevel"/>
    <w:lvl w:ilvl="0">
      <w:lvlJc w:val="left"/>
      <w:lvlText w:val="%1."/>
      <w:numFmt w:val="decimal"/>
      <w:start w:val="13"/>
    </w:lvl>
  </w:abstractNum>
  <w:abstractNum w:abstractNumId="105">
    <w:nsid w:val="312167AD"/>
    <w:multiLevelType w:val="hybridMultilevel"/>
    <w:lvl w:ilvl="0">
      <w:lvlJc w:val="left"/>
      <w:lvlText w:val="%1."/>
      <w:numFmt w:val="decimal"/>
      <w:start w:val="14"/>
    </w:lvl>
  </w:abstractNum>
  <w:abstractNum w:abstractNumId="106">
    <w:nsid w:val="631B64D4"/>
    <w:multiLevelType w:val="hybridMultilevel"/>
    <w:lvl w:ilvl="0">
      <w:lvlJc w:val="left"/>
      <w:lvlText w:val="%1."/>
      <w:numFmt w:val="decimal"/>
      <w:start w:val="15"/>
    </w:lvl>
  </w:abstractNum>
  <w:abstractNum w:abstractNumId="107">
    <w:nsid w:val="78B5E776"/>
    <w:multiLevelType w:val="hybridMultilevel"/>
    <w:lvl w:ilvl="0">
      <w:lvlJc w:val="left"/>
      <w:lvlText w:val="%1."/>
      <w:numFmt w:val="decimal"/>
      <w:start w:val="16"/>
    </w:lvl>
  </w:abstractNum>
  <w:abstractNum w:abstractNumId="108">
    <w:nsid w:val="75486E47"/>
    <w:multiLevelType w:val="hybridMultilevel"/>
    <w:lvl w:ilvl="0">
      <w:lvlJc w:val="left"/>
      <w:lvlText w:val="%1."/>
      <w:numFmt w:val="decimal"/>
      <w:start w:val="17"/>
    </w:lvl>
  </w:abstractNum>
  <w:abstractNum w:abstractNumId="109">
    <w:nsid w:val="6E534CDE"/>
    <w:multiLevelType w:val="hybridMultilevel"/>
    <w:lvl w:ilvl="0">
      <w:lvlJc w:val="left"/>
      <w:lvlText w:val="%1."/>
      <w:numFmt w:val="decimal"/>
      <w:start w:val="1"/>
    </w:lvl>
  </w:abstractNum>
  <w:abstractNum w:abstractNumId="110">
    <w:nsid w:val="1A0DDE32"/>
    <w:multiLevelType w:val="hybridMultilevel"/>
    <w:lvl w:ilvl="0">
      <w:lvlJc w:val="left"/>
      <w:lvlText w:val="%1."/>
      <w:numFmt w:val="decimal"/>
      <w:start w:val="2"/>
    </w:lvl>
    <w:lvl w:ilvl="1">
      <w:lvlJc w:val="left"/>
      <w:lvlText w:val="(%2)"/>
      <w:numFmt w:val="lowerLetter"/>
      <w:start w:val="1"/>
    </w:lvl>
  </w:abstractNum>
  <w:abstractNum w:abstractNumId="111">
    <w:nsid w:val="65968C1C"/>
    <w:multiLevelType w:val="hybridMultilevel"/>
    <w:lvl w:ilvl="0">
      <w:lvlJc w:val="left"/>
      <w:lvlText w:val="(%1)"/>
      <w:numFmt w:val="lowerLetter"/>
      <w:start w:val="3"/>
    </w:lvl>
  </w:abstractNum>
  <w:abstractNum w:abstractNumId="112">
    <w:nsid w:val="46263DEC"/>
    <w:multiLevelType w:val="hybridMultilevel"/>
    <w:lvl w:ilvl="0">
      <w:lvlJc w:val="left"/>
      <w:lvlText w:val="(%1)"/>
      <w:numFmt w:val="lowerLetter"/>
      <w:start w:val="5"/>
    </w:lvl>
  </w:abstractNum>
  <w:abstractNum w:abstractNumId="113">
    <w:nsid w:val="260D8C4A"/>
    <w:multiLevelType w:val="hybridMultilevel"/>
    <w:lvl w:ilvl="0">
      <w:lvlJc w:val="left"/>
      <w:lvlText w:val="(%1)"/>
      <w:numFmt w:val="lowerRoman"/>
      <w:start w:val="1"/>
    </w:lvl>
  </w:abstractNum>
  <w:abstractNum w:abstractNumId="114">
    <w:nsid w:val="73D4D3C4"/>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115">
    <w:nsid w:val="746F2E30"/>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116">
    <w:nsid w:val="6FDE8AF6"/>
    <w:multiLevelType w:val="hybridMultilevel"/>
    <w:lvl w:ilvl="0">
      <w:lvlJc w:val="left"/>
      <w:lvlText w:val="%1."/>
      <w:numFmt w:val="decimal"/>
      <w:start w:val="4"/>
    </w:lvl>
  </w:abstractNum>
  <w:abstractNum w:abstractNumId="117">
    <w:nsid w:val="3FC32E20"/>
    <w:multiLevelType w:val="hybridMultilevel"/>
    <w:lvl w:ilvl="0">
      <w:lvlJc w:val="left"/>
      <w:lvlText w:val="%1."/>
      <w:numFmt w:val="decimal"/>
      <w:start w:val="5"/>
    </w:lvl>
  </w:abstractNum>
  <w:abstractNum w:abstractNumId="118">
    <w:nsid w:val="49C0E823"/>
    <w:multiLevelType w:val="hybridMultilevel"/>
    <w:lvl w:ilvl="0">
      <w:lvlJc w:val="left"/>
      <w:lvlText w:val="%1."/>
      <w:numFmt w:val="decimal"/>
      <w:start w:val="6"/>
    </w:lvl>
  </w:abstractNum>
  <w:abstractNum w:abstractNumId="119">
    <w:nsid w:val="14D53685"/>
    <w:multiLevelType w:val="hybridMultilevel"/>
    <w:lvl w:ilvl="0">
      <w:lvlJc w:val="left"/>
      <w:lvlText w:val="%1."/>
      <w:numFmt w:val="decimal"/>
      <w:start w:val="7"/>
    </w:lvl>
  </w:abstractNum>
  <w:abstractNum w:abstractNumId="120">
    <w:nsid w:val="230F856C"/>
    <w:multiLevelType w:val="hybridMultilevel"/>
    <w:lvl w:ilvl="0">
      <w:lvlJc w:val="left"/>
      <w:lvlText w:val="%1."/>
      <w:numFmt w:val="decimal"/>
      <w:start w:val="8"/>
    </w:lvl>
  </w:abstractNum>
  <w:abstractNum w:abstractNumId="121">
    <w:nsid w:val="6EAA85FB"/>
    <w:multiLevelType w:val="hybridMultilevel"/>
    <w:lvl w:ilvl="0">
      <w:lvlJc w:val="left"/>
      <w:lvlText w:val="%1."/>
      <w:numFmt w:val="decimal"/>
      <w:start w:val="9"/>
    </w:lvl>
    <w:lvl w:ilvl="1">
      <w:lvlJc w:val="left"/>
      <w:lvlText w:val="(%2)"/>
      <w:numFmt w:val="lowerLetter"/>
      <w:start w:val="1"/>
    </w:lvl>
  </w:abstractNum>
  <w:abstractNum w:abstractNumId="122">
    <w:nsid w:val="3F06ECB2"/>
    <w:multiLevelType w:val="hybridMultilevel"/>
    <w:lvl w:ilvl="0">
      <w:lvlJc w:val="left"/>
      <w:lvlText w:val="(%1)"/>
      <w:numFmt w:val="lowerLetter"/>
      <w:start w:val="3"/>
    </w:lvl>
  </w:abstractNum>
  <w:abstractNum w:abstractNumId="123">
    <w:nsid w:val="3B594807"/>
    <w:multiLevelType w:val="hybridMultilevel"/>
    <w:lvl w:ilvl="0">
      <w:lvlJc w:val="left"/>
      <w:lvlText w:val="(%1)"/>
      <w:numFmt w:val="lowerLetter"/>
      <w:start w:val="5"/>
    </w:lvl>
  </w:abstractNum>
  <w:abstractNum w:abstractNumId="124">
    <w:nsid w:val="6CAA2304"/>
    <w:multiLevelType w:val="hybridMultilevel"/>
    <w:lvl w:ilvl="0">
      <w:lvlJc w:val="left"/>
      <w:lvlText w:val="%1."/>
      <w:numFmt w:val="decimal"/>
      <w:start w:val="10"/>
    </w:lvl>
  </w:abstractNum>
  <w:abstractNum w:abstractNumId="125">
    <w:nsid w:val="3F7C2FF4"/>
    <w:multiLevelType w:val="hybridMultilevel"/>
    <w:lvl w:ilvl="0">
      <w:lvlJc w:val="left"/>
      <w:lvlText w:val="%1."/>
      <w:numFmt w:val="decimal"/>
      <w:start w:val="11"/>
    </w:lvl>
  </w:abstractNum>
  <w:abstractNum w:abstractNumId="126">
    <w:nsid w:val="25413BEC"/>
    <w:multiLevelType w:val="hybridMultilevel"/>
    <w:lvl w:ilvl="0">
      <w:lvlJc w:val="left"/>
      <w:lvlText w:val="%1."/>
      <w:numFmt w:val="decimal"/>
      <w:start w:val="1"/>
    </w:lvl>
  </w:abstractNum>
  <w:abstractNum w:abstractNumId="127">
    <w:nsid w:val="17180B0B"/>
    <w:multiLevelType w:val="hybridMultilevel"/>
    <w:lvl w:ilvl="0">
      <w:lvlJc w:val="left"/>
      <w:lvlText w:val="%1."/>
      <w:numFmt w:val="decimal"/>
      <w:start w:val="2"/>
    </w:lvl>
  </w:abstractNum>
  <w:abstractNum w:abstractNumId="128">
    <w:nsid w:val="579328B9"/>
    <w:multiLevelType w:val="hybridMultilevel"/>
    <w:lvl w:ilvl="0">
      <w:lvlJc w:val="left"/>
      <w:lvlText w:val="(%1)"/>
      <w:numFmt w:val="lowerLetter"/>
      <w:start w:val="1"/>
    </w:lvl>
  </w:abstractNum>
  <w:abstractNum w:abstractNumId="129">
    <w:nsid w:val="5D205E20"/>
    <w:multiLevelType w:val="hybridMultilevel"/>
    <w:lvl w:ilvl="0">
      <w:lvlJc w:val="left"/>
      <w:lvlText w:val="%1."/>
      <w:numFmt w:val="decimal"/>
      <w:start w:val="3"/>
    </w:lvl>
    <w:lvl w:ilvl="1">
      <w:lvlJc w:val="left"/>
      <w:lvlText w:val="(%2)"/>
      <w:numFmt w:val="lowerLetter"/>
      <w:start w:val="1"/>
    </w:lvl>
  </w:abstractNum>
  <w:abstractNum w:abstractNumId="130">
    <w:nsid w:val="11CCA8BA"/>
    <w:multiLevelType w:val="hybridMultilevel"/>
    <w:lvl w:ilvl="0">
      <w:lvlJc w:val="left"/>
      <w:lvlText w:val="(%1)"/>
      <w:numFmt w:val="lowerLetter"/>
      <w:start w:val="3"/>
    </w:lvl>
  </w:abstractNum>
  <w:abstractNum w:abstractNumId="131">
    <w:nsid w:val="4D32AB86"/>
    <w:multiLevelType w:val="hybridMultilevel"/>
    <w:lvl w:ilvl="0">
      <w:lvlJc w:val="left"/>
      <w:lvlText w:val="%1."/>
      <w:numFmt w:val="decimal"/>
      <w:start w:val="4"/>
    </w:lvl>
  </w:abstractNum>
  <w:abstractNum w:abstractNumId="132">
    <w:nsid w:val="3F07ACC3"/>
    <w:multiLevelType w:val="hybridMultilevel"/>
    <w:lvl w:ilvl="0">
      <w:lvlJc w:val="left"/>
      <w:lvlText w:val="%1."/>
      <w:numFmt w:val="decimal"/>
      <w:start w:val="5"/>
    </w:lvl>
  </w:abstractNum>
  <w:abstractNum w:abstractNumId="133">
    <w:nsid w:val="6B47F63E"/>
    <w:multiLevelType w:val="hybridMultilevel"/>
    <w:lvl w:ilvl="0">
      <w:lvlJc w:val="left"/>
      <w:lvlText w:val="%1."/>
      <w:numFmt w:val="decimal"/>
      <w:start w:val="6"/>
    </w:lvl>
  </w:abstractNum>
  <w:abstractNum w:abstractNumId="134">
    <w:nsid w:val="5CB44A05"/>
    <w:multiLevelType w:val="hybridMultilevel"/>
    <w:lvl w:ilvl="0">
      <w:lvlJc w:val="left"/>
      <w:lvlText w:val="%1."/>
      <w:numFmt w:val="decimal"/>
      <w:start w:val="7"/>
    </w:lvl>
    <w:lvl w:ilvl="1">
      <w:lvlJc w:val="left"/>
      <w:lvlText w:val="(%2)"/>
      <w:numFmt w:val="lowerLetter"/>
      <w:start w:val="1"/>
    </w:lvl>
  </w:abstractNum>
  <w:abstractNum w:abstractNumId="135">
    <w:nsid w:val="16CF80F1"/>
    <w:multiLevelType w:val="hybridMultilevel"/>
    <w:lvl w:ilvl="0">
      <w:lvlJc w:val="left"/>
      <w:lvlText w:val="%1."/>
      <w:numFmt w:val="decimal"/>
      <w:start w:val="8"/>
    </w:lvl>
  </w:abstractNum>
  <w:abstractNum w:abstractNumId="136">
    <w:nsid w:val="1C695DEC"/>
    <w:multiLevelType w:val="hybridMultilevel"/>
    <w:lvl w:ilvl="0">
      <w:lvlJc w:val="left"/>
      <w:lvlText w:val="%1."/>
      <w:numFmt w:val="decimal"/>
      <w:start w:val="9"/>
    </w:lvl>
  </w:abstractNum>
  <w:abstractNum w:abstractNumId="137">
    <w:nsid w:val="3FCFAED9"/>
    <w:multiLevelType w:val="hybridMultilevel"/>
    <w:lvl w:ilvl="0">
      <w:lvlJc w:val="left"/>
      <w:lvlText w:val="%1."/>
      <w:numFmt w:val="decimal"/>
      <w:start w:val="10"/>
    </w:lvl>
  </w:abstractNum>
  <w:abstractNum w:abstractNumId="138">
    <w:nsid w:val="F856867"/>
    <w:multiLevelType w:val="hybridMultilevel"/>
    <w:lvl w:ilvl="0">
      <w:lvlJc w:val="left"/>
      <w:lvlText w:val="%1."/>
      <w:numFmt w:val="decimal"/>
      <w:start w:val="11"/>
    </w:lvl>
  </w:abstractNum>
  <w:abstractNum w:abstractNumId="139">
    <w:nsid w:val="11B1CC33"/>
    <w:multiLevelType w:val="hybridMultilevel"/>
    <w:lvl w:ilvl="0">
      <w:lvlJc w:val="left"/>
      <w:lvlText w:val="%1."/>
      <w:numFmt w:val="decimal"/>
      <w:start w:val="12"/>
    </w:lvl>
  </w:abstractNum>
  <w:abstractNum w:abstractNumId="140">
    <w:nsid w:val="2E22FBB7"/>
    <w:multiLevelType w:val="hybridMultilevel"/>
    <w:lvl w:ilvl="0">
      <w:lvlJc w:val="left"/>
      <w:lvlText w:val="%1."/>
      <w:numFmt w:val="decimal"/>
      <w:start w:val="13"/>
    </w:lvl>
  </w:abstractNum>
  <w:abstractNum w:abstractNumId="141">
    <w:nsid w:val="29934699"/>
    <w:multiLevelType w:val="hybridMultilevel"/>
    <w:lvl w:ilvl="0">
      <w:lvlJc w:val="left"/>
      <w:lvlText w:val="%1."/>
      <w:numFmt w:val="decimal"/>
      <w:start w:val="14"/>
    </w:lvl>
  </w:abstractNum>
  <w:abstractNum w:abstractNumId="142">
    <w:nsid w:val="77485850"/>
    <w:multiLevelType w:val="hybridMultilevel"/>
    <w:lvl w:ilvl="0">
      <w:lvlJc w:val="left"/>
      <w:lvlText w:val="%1."/>
      <w:numFmt w:val="decimal"/>
      <w:start w:val="15"/>
    </w:lvl>
  </w:abstractNum>
  <w:abstractNum w:abstractNumId="143">
    <w:nsid w:val="744939A3"/>
    <w:multiLevelType w:val="hybridMultilevel"/>
    <w:lvl w:ilvl="0">
      <w:lvlJc w:val="left"/>
      <w:lvlText w:val="%1."/>
      <w:numFmt w:val="decimal"/>
      <w:start w:val="16"/>
    </w:lvl>
  </w:abstractNum>
  <w:abstractNum w:abstractNumId="144">
    <w:nsid w:val="4FA0D2E3"/>
    <w:multiLevelType w:val="hybridMultilevel"/>
    <w:lvl w:ilvl="0">
      <w:lvlJc w:val="left"/>
      <w:lvlText w:val="%1."/>
      <w:numFmt w:val="decimal"/>
      <w:start w:val="17"/>
    </w:lvl>
  </w:abstractNum>
  <w:abstractNum w:abstractNumId="145">
    <w:nsid w:val="6B1D2C14"/>
    <w:multiLevelType w:val="hybridMultilevel"/>
    <w:lvl w:ilvl="0">
      <w:lvlJc w:val="left"/>
      <w:lvlText w:val="%1."/>
      <w:numFmt w:val="decimal"/>
      <w:start w:val="1"/>
    </w:lvl>
  </w:abstractNum>
  <w:abstractNum w:abstractNumId="146">
    <w:nsid w:val="68B867D3"/>
    <w:multiLevelType w:val="hybridMultilevel"/>
    <w:lvl w:ilvl="0">
      <w:lvlJc w:val="left"/>
      <w:lvlText w:val="%1."/>
      <w:numFmt w:val="decimal"/>
      <w:start w:val="2"/>
    </w:lvl>
    <w:lvl w:ilvl="1">
      <w:lvlJc w:val="left"/>
      <w:lvlText w:val="(%2)"/>
      <w:numFmt w:val="lowerLetter"/>
      <w:start w:val="1"/>
    </w:lvl>
  </w:abstractNum>
  <w:abstractNum w:abstractNumId="147">
    <w:nsid w:val="3F7F5DD9"/>
    <w:multiLevelType w:val="hybridMultilevel"/>
    <w:lvl w:ilvl="0">
      <w:lvlJc w:val="left"/>
      <w:lvlText w:val="(%1)"/>
      <w:numFmt w:val="lowerLetter"/>
      <w:start w:val="3"/>
    </w:lvl>
  </w:abstractNum>
  <w:abstractNum w:abstractNumId="148">
    <w:nsid w:val="2AE05A34"/>
    <w:multiLevelType w:val="hybridMultilevel"/>
    <w:lvl w:ilvl="0">
      <w:lvlJc w:val="left"/>
      <w:lvlText w:val="(%1)"/>
      <w:numFmt w:val="lowerLetter"/>
      <w:start w:val="5"/>
    </w:lvl>
  </w:abstractNum>
  <w:abstractNum w:abstractNumId="149">
    <w:nsid w:val="32794FF7"/>
    <w:multiLevelType w:val="hybridMultilevel"/>
    <w:lvl w:ilvl="0">
      <w:lvlJc w:val="left"/>
      <w:lvlText w:val="(%1)"/>
      <w:numFmt w:val="lowerRoman"/>
      <w:start w:val="1"/>
    </w:lvl>
  </w:abstractNum>
  <w:abstractNum w:abstractNumId="150">
    <w:nsid w:val="5454945E"/>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151">
    <w:nsid w:val="4DEFDFA0"/>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152">
    <w:nsid w:val="2123D5F2"/>
    <w:multiLevelType w:val="hybridMultilevel"/>
    <w:lvl w:ilvl="0">
      <w:lvlJc w:val="left"/>
      <w:lvlText w:val="(%1)"/>
      <w:numFmt w:val="lowerRoman"/>
      <w:start w:val="1"/>
    </w:lvl>
  </w:abstractNum>
  <w:abstractNum w:abstractNumId="153">
    <w:nsid w:val="135B8110"/>
    <w:multiLevelType w:val="hybridMultilevel"/>
    <w:lvl w:ilvl="0">
      <w:lvlJc w:val="left"/>
      <w:lvlText w:val="%1."/>
      <w:numFmt w:val="decimal"/>
      <w:start w:val="4"/>
    </w:lvl>
  </w:abstractNum>
  <w:abstractNum w:abstractNumId="154">
    <w:nsid w:val="94927A8"/>
    <w:multiLevelType w:val="hybridMultilevel"/>
    <w:lvl w:ilvl="0">
      <w:lvlJc w:val="left"/>
      <w:lvlText w:val="%1."/>
      <w:numFmt w:val="decimal"/>
      <w:start w:val="5"/>
    </w:lvl>
  </w:abstractNum>
  <w:abstractNum w:abstractNumId="155">
    <w:nsid w:val="DCDF8F6"/>
    <w:multiLevelType w:val="hybridMultilevel"/>
    <w:lvl w:ilvl="0">
      <w:lvlJc w:val="left"/>
      <w:lvlText w:val="%1."/>
      <w:numFmt w:val="decimal"/>
      <w:start w:val="6"/>
    </w:lvl>
  </w:abstractNum>
  <w:abstractNum w:abstractNumId="156">
    <w:nsid w:val="52D7B105"/>
    <w:multiLevelType w:val="hybridMultilevel"/>
    <w:lvl w:ilvl="0">
      <w:lvlJc w:val="left"/>
      <w:lvlText w:val="%1."/>
      <w:numFmt w:val="decimal"/>
      <w:start w:val="7"/>
    </w:lvl>
  </w:abstractNum>
  <w:abstractNum w:abstractNumId="157">
    <w:nsid w:val="2E8A6394"/>
    <w:multiLevelType w:val="hybridMultilevel"/>
    <w:lvl w:ilvl="0">
      <w:lvlJc w:val="left"/>
      <w:lvlText w:val="%1."/>
      <w:numFmt w:val="decimal"/>
      <w:start w:val="8"/>
    </w:lvl>
  </w:abstractNum>
  <w:abstractNum w:abstractNumId="158">
    <w:nsid w:val="24E60401"/>
    <w:multiLevelType w:val="hybridMultilevel"/>
    <w:lvl w:ilvl="0">
      <w:lvlJc w:val="left"/>
      <w:lvlText w:val="%1."/>
      <w:numFmt w:val="decimal"/>
      <w:start w:val="9"/>
    </w:lvl>
  </w:abstractNum>
  <w:abstractNum w:abstractNumId="159">
    <w:nsid w:val="2A6AD9BE"/>
    <w:multiLevelType w:val="hybridMultilevel"/>
    <w:lvl w:ilvl="0">
      <w:lvlJc w:val="left"/>
      <w:lvlText w:val="(%1)"/>
      <w:numFmt w:val="lowerLetter"/>
      <w:start w:val="3"/>
    </w:lvl>
  </w:abstractNum>
  <w:abstractNum w:abstractNumId="160">
    <w:nsid w:val="BAAC1B4"/>
    <w:multiLevelType w:val="hybridMultilevel"/>
    <w:lvl w:ilvl="0">
      <w:lvlJc w:val="left"/>
      <w:lvlText w:val="(%1)"/>
      <w:numFmt w:val="lowerLetter"/>
      <w:start w:val="5"/>
    </w:lvl>
  </w:abstractNum>
  <w:abstractNum w:abstractNumId="161">
    <w:nsid w:val="36B2ACBC"/>
    <w:multiLevelType w:val="hybridMultilevel"/>
    <w:lvl w:ilvl="0">
      <w:lvlJc w:val="left"/>
      <w:lvlText w:val="%1."/>
      <w:numFmt w:val="decimal"/>
      <w:start w:val="10"/>
    </w:lvl>
  </w:abstractNum>
  <w:abstractNum w:abstractNumId="162">
    <w:nsid w:val="779D8544"/>
    <w:multiLevelType w:val="hybridMultilevel"/>
    <w:lvl w:ilvl="0">
      <w:lvlJc w:val="left"/>
      <w:lvlText w:val="%1."/>
      <w:numFmt w:val="decimal"/>
      <w:start w:val="11"/>
    </w:lvl>
  </w:abstractNum>
  <w:abstractNum w:abstractNumId="163">
    <w:nsid w:val="4AB26E78"/>
    <w:multiLevelType w:val="hybridMultilevel"/>
    <w:lvl w:ilvl="0">
      <w:lvlJc w:val="left"/>
      <w:lvlText w:val="%1."/>
      <w:numFmt w:val="decimal"/>
      <w:start w:val="1"/>
    </w:lvl>
  </w:abstractNum>
  <w:abstractNum w:abstractNumId="164">
    <w:nsid w:val="21FAA2FA"/>
    <w:multiLevelType w:val="hybridMultilevel"/>
    <w:lvl w:ilvl="0">
      <w:lvlJc w:val="left"/>
      <w:lvlText w:val="%1."/>
      <w:numFmt w:val="decimal"/>
      <w:start w:val="2"/>
    </w:lvl>
  </w:abstractNum>
  <w:abstractNum w:abstractNumId="165">
    <w:nsid w:val="5451CF49"/>
    <w:multiLevelType w:val="hybridMultilevel"/>
    <w:lvl w:ilvl="0">
      <w:lvlJc w:val="left"/>
      <w:lvlText w:val="(%1)"/>
      <w:numFmt w:val="lowerLetter"/>
      <w:start w:val="1"/>
    </w:lvl>
  </w:abstractNum>
  <w:abstractNum w:abstractNumId="166">
    <w:nsid w:val="6181EF69"/>
    <w:multiLevelType w:val="hybridMultilevel"/>
    <w:lvl w:ilvl="0">
      <w:lvlJc w:val="left"/>
      <w:lvlText w:val="%1."/>
      <w:numFmt w:val="decimal"/>
      <w:start w:val="3"/>
    </w:lvl>
    <w:lvl w:ilvl="1">
      <w:lvlJc w:val="left"/>
      <w:lvlText w:val="(%2)"/>
      <w:numFmt w:val="lowerLetter"/>
      <w:start w:val="1"/>
    </w:lvl>
  </w:abstractNum>
  <w:abstractNum w:abstractNumId="167">
    <w:nsid w:val="3E6400E6"/>
    <w:multiLevelType w:val="hybridMultilevel"/>
    <w:lvl w:ilvl="0">
      <w:lvlJc w:val="left"/>
      <w:lvlText w:val="(%1)"/>
      <w:numFmt w:val="lowerLetter"/>
      <w:start w:val="3"/>
    </w:lvl>
  </w:abstractNum>
  <w:abstractNum w:abstractNumId="168">
    <w:nsid w:val="14217E23"/>
    <w:multiLevelType w:val="hybridMultilevel"/>
    <w:lvl w:ilvl="0">
      <w:lvlJc w:val="left"/>
      <w:lvlText w:val="%1."/>
      <w:numFmt w:val="decimal"/>
      <w:start w:val="4"/>
    </w:lvl>
  </w:abstractNum>
  <w:abstractNum w:abstractNumId="169">
    <w:nsid w:val="710757D0"/>
    <w:multiLevelType w:val="hybridMultilevel"/>
    <w:lvl w:ilvl="0">
      <w:lvlJc w:val="left"/>
      <w:lvlText w:val="%1."/>
      <w:numFmt w:val="decimal"/>
      <w:start w:val="5"/>
    </w:lvl>
  </w:abstractNum>
  <w:abstractNum w:abstractNumId="170">
    <w:nsid w:val="5015CD1A"/>
    <w:multiLevelType w:val="hybridMultilevel"/>
    <w:lvl w:ilvl="0">
      <w:lvlJc w:val="left"/>
      <w:lvlText w:val="%1."/>
      <w:numFmt w:val="decimal"/>
      <w:start w:val="6"/>
    </w:lvl>
  </w:abstractNum>
  <w:abstractNum w:abstractNumId="171">
    <w:nsid w:val="424479DA"/>
    <w:multiLevelType w:val="hybridMultilevel"/>
    <w:lvl w:ilvl="0">
      <w:lvlJc w:val="left"/>
      <w:lvlText w:val="%1."/>
      <w:numFmt w:val="decimal"/>
      <w:start w:val="7"/>
    </w:lvl>
    <w:lvl w:ilvl="1">
      <w:lvlJc w:val="left"/>
      <w:lvlText w:val="(%2)"/>
      <w:numFmt w:val="lowerLetter"/>
      <w:start w:val="1"/>
    </w:lvl>
  </w:abstractNum>
  <w:abstractNum w:abstractNumId="172">
    <w:nsid w:val="1A9A9E69"/>
    <w:multiLevelType w:val="hybridMultilevel"/>
    <w:lvl w:ilvl="0">
      <w:lvlJc w:val="left"/>
      <w:lvlText w:val="%1."/>
      <w:numFmt w:val="decimal"/>
      <w:start w:val="8"/>
    </w:lvl>
  </w:abstractNum>
  <w:abstractNum w:abstractNumId="173">
    <w:nsid w:val="475E256A"/>
    <w:multiLevelType w:val="hybridMultilevel"/>
    <w:lvl w:ilvl="0">
      <w:lvlJc w:val="left"/>
      <w:lvlText w:val="%1."/>
      <w:numFmt w:val="decimal"/>
      <w:start w:val="9"/>
    </w:lvl>
  </w:abstractNum>
  <w:abstractNum w:abstractNumId="174">
    <w:nsid w:val="368DB37E"/>
    <w:multiLevelType w:val="hybridMultilevel"/>
    <w:lvl w:ilvl="0">
      <w:lvlJc w:val="left"/>
      <w:lvlText w:val="%1."/>
      <w:numFmt w:val="decimal"/>
      <w:start w:val="10"/>
    </w:lvl>
  </w:abstractNum>
  <w:abstractNum w:abstractNumId="175">
    <w:nsid w:val="6A3B714C"/>
    <w:multiLevelType w:val="hybridMultilevel"/>
    <w:lvl w:ilvl="0">
      <w:lvlJc w:val="left"/>
      <w:lvlText w:val="%1."/>
      <w:numFmt w:val="decimal"/>
      <w:start w:val="11"/>
    </w:lvl>
  </w:abstractNum>
  <w:abstractNum w:abstractNumId="176">
    <w:nsid w:val="327B517E"/>
    <w:multiLevelType w:val="hybridMultilevel"/>
    <w:lvl w:ilvl="0">
      <w:lvlJc w:val="left"/>
      <w:lvlText w:val="%1."/>
      <w:numFmt w:val="decimal"/>
      <w:start w:val="12"/>
    </w:lvl>
  </w:abstractNum>
  <w:abstractNum w:abstractNumId="177">
    <w:nsid w:val="1F461B51"/>
    <w:multiLevelType w:val="hybridMultilevel"/>
    <w:lvl w:ilvl="0">
      <w:lvlJc w:val="left"/>
      <w:lvlText w:val="%1."/>
      <w:numFmt w:val="decimal"/>
      <w:start w:val="13"/>
    </w:lvl>
  </w:abstractNum>
  <w:abstractNum w:abstractNumId="178">
    <w:nsid w:val="29BACF25"/>
    <w:multiLevelType w:val="hybridMultilevel"/>
    <w:lvl w:ilvl="0">
      <w:lvlJc w:val="left"/>
      <w:lvlText w:val="%1."/>
      <w:numFmt w:val="decimal"/>
      <w:start w:val="14"/>
    </w:lvl>
  </w:abstractNum>
  <w:abstractNum w:abstractNumId="179">
    <w:nsid w:val="5D5BABB3"/>
    <w:multiLevelType w:val="hybridMultilevel"/>
    <w:lvl w:ilvl="0">
      <w:lvlJc w:val="left"/>
      <w:lvlText w:val="%1."/>
      <w:numFmt w:val="decimal"/>
      <w:start w:val="15"/>
    </w:lvl>
  </w:abstractNum>
  <w:abstractNum w:abstractNumId="180">
    <w:nsid w:val="51BF6B48"/>
    <w:multiLevelType w:val="hybridMultilevel"/>
    <w:lvl w:ilvl="0">
      <w:lvlJc w:val="left"/>
      <w:lvlText w:val="%1."/>
      <w:numFmt w:val="decimal"/>
      <w:start w:val="16"/>
    </w:lvl>
  </w:abstractNum>
  <w:abstractNum w:abstractNumId="181">
    <w:nsid w:val="7E0F6384"/>
    <w:multiLevelType w:val="hybridMultilevel"/>
    <w:lvl w:ilvl="0">
      <w:lvlJc w:val="left"/>
      <w:lvlText w:val="%1."/>
      <w:numFmt w:val="decimal"/>
      <w:start w:val="17"/>
    </w:lvl>
  </w:abstractNum>
  <w:abstractNum w:abstractNumId="182">
    <w:nsid w:val="2B4B8B53"/>
    <w:multiLevelType w:val="hybridMultilevel"/>
    <w:lvl w:ilvl="0">
      <w:lvlJc w:val="left"/>
      <w:lvlText w:val="%1)"/>
      <w:numFmt w:val="decimal"/>
      <w:start w:val="1"/>
    </w:lvl>
  </w:abstractNum>
  <w:abstractNum w:abstractNumId="183">
    <w:nsid w:val="72E3413A"/>
    <w:multiLevelType w:val="hybridMultilevel"/>
    <w:lvl w:ilvl="0">
      <w:lvlJc w:val="left"/>
      <w:lvlText w:val="%1."/>
      <w:numFmt w:val="decimal"/>
      <w:start w:val="1"/>
    </w:lvl>
    <w:lvl w:ilvl="1">
      <w:lvlJc w:val="left"/>
      <w:lvlText w:val="(%2)"/>
      <w:numFmt w:val="lowerLetter"/>
      <w:start w:val="1"/>
    </w:lvl>
  </w:abstractNum>
  <w:abstractNum w:abstractNumId="184">
    <w:nsid w:val="116AE494"/>
    <w:multiLevelType w:val="hybridMultilevel"/>
    <w:lvl w:ilvl="0">
      <w:lvlJc w:val="left"/>
      <w:lvlText w:val="%1."/>
      <w:numFmt w:val="decimal"/>
      <w:start w:val="1"/>
    </w:lvl>
    <w:lvl w:ilvl="1">
      <w:lvlJc w:val="left"/>
      <w:lvlText w:val="(%2)"/>
      <w:numFmt w:val="lowerLetter"/>
      <w:start w:val="1"/>
    </w:lvl>
  </w:abstractNum>
  <w:abstractNum w:abstractNumId="185">
    <w:nsid w:val="3494B2FB"/>
    <w:multiLevelType w:val="hybridMultilevel"/>
    <w:lvl w:ilvl="0">
      <w:lvlJc w:val="left"/>
      <w:lvlText w:val="(%1)"/>
      <w:numFmt w:val="decimal"/>
      <w:start w:val="1"/>
    </w:lvl>
  </w:abstractNum>
  <w:abstractNum w:abstractNumId="186">
    <w:nsid w:val="B13A3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90" Type="http://schemas.openxmlformats.org/officeDocument/2006/relationships/image" Target="media/image372.png"/><Relationship Id="rId391" Type="http://schemas.openxmlformats.org/officeDocument/2006/relationships/image" Target="media/image373.png"/><Relationship Id="rId406" Type="http://schemas.openxmlformats.org/officeDocument/2006/relationships/image" Target="media/image374.png"/><Relationship Id="rId407" Type="http://schemas.openxmlformats.org/officeDocument/2006/relationships/image" Target="media/image375.png"/><Relationship Id="rId419" Type="http://schemas.openxmlformats.org/officeDocument/2006/relationships/image" Target="media/image376.png"/><Relationship Id="rId420" Type="http://schemas.openxmlformats.org/officeDocument/2006/relationships/image" Target="media/image377.png"/><Relationship Id="rId429" Type="http://schemas.openxmlformats.org/officeDocument/2006/relationships/image" Target="media/image378.png"/><Relationship Id="rId430" Type="http://schemas.openxmlformats.org/officeDocument/2006/relationships/image" Target="media/image379.png"/><Relationship Id="rId433" Type="http://schemas.openxmlformats.org/officeDocument/2006/relationships/image" Target="media/image380.png"/><Relationship Id="rId434" Type="http://schemas.openxmlformats.org/officeDocument/2006/relationships/image" Target="media/image381.png"/><Relationship Id="rId435" Type="http://schemas.openxmlformats.org/officeDocument/2006/relationships/image" Target="media/image382.png"/><Relationship Id="rId436" Type="http://schemas.openxmlformats.org/officeDocument/2006/relationships/image" Target="media/image383.png"/><Relationship Id="rId437" Type="http://schemas.openxmlformats.org/officeDocument/2006/relationships/image" Target="media/image384.png"/><Relationship Id="rId438" Type="http://schemas.openxmlformats.org/officeDocument/2006/relationships/image" Target="media/image385.png"/><Relationship Id="rId439" Type="http://schemas.openxmlformats.org/officeDocument/2006/relationships/image" Target="media/image386.png"/><Relationship Id="rId440" Type="http://schemas.openxmlformats.org/officeDocument/2006/relationships/image" Target="media/image387.png"/><Relationship Id="rId441" Type="http://schemas.openxmlformats.org/officeDocument/2006/relationships/image" Target="media/image388.png"/><Relationship Id="rId442" Type="http://schemas.openxmlformats.org/officeDocument/2006/relationships/image" Target="media/image389.png"/><Relationship Id="rId443" Type="http://schemas.openxmlformats.org/officeDocument/2006/relationships/image" Target="media/image390.png"/><Relationship Id="rId444" Type="http://schemas.openxmlformats.org/officeDocument/2006/relationships/image" Target="media/image391.png"/><Relationship Id="rId445" Type="http://schemas.openxmlformats.org/officeDocument/2006/relationships/image" Target="media/image392.png"/><Relationship Id="rId446" Type="http://schemas.openxmlformats.org/officeDocument/2006/relationships/image" Target="media/image393.png"/><Relationship Id="rId447" Type="http://schemas.openxmlformats.org/officeDocument/2006/relationships/image" Target="media/image394.png"/><Relationship Id="rId448" Type="http://schemas.openxmlformats.org/officeDocument/2006/relationships/image" Target="media/image395.png"/><Relationship Id="rId449" Type="http://schemas.openxmlformats.org/officeDocument/2006/relationships/image" Target="media/image396.png"/><Relationship Id="rId450" Type="http://schemas.openxmlformats.org/officeDocument/2006/relationships/image" Target="media/image397.png"/><Relationship Id="rId451" Type="http://schemas.openxmlformats.org/officeDocument/2006/relationships/image" Target="media/image398.png"/><Relationship Id="rId452" Type="http://schemas.openxmlformats.org/officeDocument/2006/relationships/image" Target="media/image399.png"/><Relationship Id="rId453" Type="http://schemas.openxmlformats.org/officeDocument/2006/relationships/image" Target="media/image400.png"/><Relationship Id="rId454" Type="http://schemas.openxmlformats.org/officeDocument/2006/relationships/image" Target="media/image401.png"/><Relationship Id="rId455" Type="http://schemas.openxmlformats.org/officeDocument/2006/relationships/image" Target="media/image402.png"/><Relationship Id="rId456" Type="http://schemas.openxmlformats.org/officeDocument/2006/relationships/image" Target="media/image403.png"/><Relationship Id="rId457" Type="http://schemas.openxmlformats.org/officeDocument/2006/relationships/image" Target="media/image404.png"/><Relationship Id="rId458" Type="http://schemas.openxmlformats.org/officeDocument/2006/relationships/image" Target="media/image405.png"/><Relationship Id="rId459" Type="http://schemas.openxmlformats.org/officeDocument/2006/relationships/image" Target="media/image406.png"/><Relationship Id="rId460" Type="http://schemas.openxmlformats.org/officeDocument/2006/relationships/image" Target="media/image407.png"/><Relationship Id="rId461" Type="http://schemas.openxmlformats.org/officeDocument/2006/relationships/image" Target="media/image408.png"/><Relationship Id="rId462" Type="http://schemas.openxmlformats.org/officeDocument/2006/relationships/image" Target="media/image409.png"/><Relationship Id="rId463" Type="http://schemas.openxmlformats.org/officeDocument/2006/relationships/image" Target="media/image410.png"/><Relationship Id="rId464" Type="http://schemas.openxmlformats.org/officeDocument/2006/relationships/image" Target="media/image411.png"/><Relationship Id="rId465" Type="http://schemas.openxmlformats.org/officeDocument/2006/relationships/image" Target="media/image412.png"/><Relationship Id="rId466" Type="http://schemas.openxmlformats.org/officeDocument/2006/relationships/image" Target="media/image413.png"/><Relationship Id="rId467" Type="http://schemas.openxmlformats.org/officeDocument/2006/relationships/image" Target="media/image414.png"/><Relationship Id="rId468" Type="http://schemas.openxmlformats.org/officeDocument/2006/relationships/image" Target="media/image415.png"/><Relationship Id="rId469" Type="http://schemas.openxmlformats.org/officeDocument/2006/relationships/image" Target="media/image416.png"/><Relationship Id="rId470" Type="http://schemas.openxmlformats.org/officeDocument/2006/relationships/image" Target="media/image417.png"/><Relationship Id="rId471" Type="http://schemas.openxmlformats.org/officeDocument/2006/relationships/image" Target="media/image418.png"/><Relationship Id="rId472" Type="http://schemas.openxmlformats.org/officeDocument/2006/relationships/image" Target="media/image419.png"/><Relationship Id="rId473" Type="http://schemas.openxmlformats.org/officeDocument/2006/relationships/image" Target="media/image420.png"/><Relationship Id="rId474" Type="http://schemas.openxmlformats.org/officeDocument/2006/relationships/image" Target="media/image421.png"/><Relationship Id="rId475" Type="http://schemas.openxmlformats.org/officeDocument/2006/relationships/image" Target="media/image422.png"/><Relationship Id="rId476" Type="http://schemas.openxmlformats.org/officeDocument/2006/relationships/image" Target="media/image423.png"/><Relationship Id="rId477" Type="http://schemas.openxmlformats.org/officeDocument/2006/relationships/image" Target="media/image424.png"/><Relationship Id="rId478" Type="http://schemas.openxmlformats.org/officeDocument/2006/relationships/image" Target="media/image425.png"/><Relationship Id="rId479" Type="http://schemas.openxmlformats.org/officeDocument/2006/relationships/image" Target="media/image426.png"/><Relationship Id="rId480" Type="http://schemas.openxmlformats.org/officeDocument/2006/relationships/image" Target="media/image427.png"/><Relationship Id="rId481" Type="http://schemas.openxmlformats.org/officeDocument/2006/relationships/image" Target="media/image428.png"/><Relationship Id="rId482" Type="http://schemas.openxmlformats.org/officeDocument/2006/relationships/image" Target="media/image429.png"/><Relationship Id="rId483" Type="http://schemas.openxmlformats.org/officeDocument/2006/relationships/image" Target="media/image430.png"/><Relationship Id="rId484" Type="http://schemas.openxmlformats.org/officeDocument/2006/relationships/image" Target="media/image431.png"/><Relationship Id="rId485" Type="http://schemas.openxmlformats.org/officeDocument/2006/relationships/image" Target="media/image432.png"/><Relationship Id="rId486" Type="http://schemas.openxmlformats.org/officeDocument/2006/relationships/image" Target="media/image433.png"/><Relationship Id="rId487" Type="http://schemas.openxmlformats.org/officeDocument/2006/relationships/image" Target="media/image434.png"/><Relationship Id="rId488" Type="http://schemas.openxmlformats.org/officeDocument/2006/relationships/image" Target="media/image435.png"/><Relationship Id="rId489" Type="http://schemas.openxmlformats.org/officeDocument/2006/relationships/image" Target="media/image436.png"/><Relationship Id="rId490" Type="http://schemas.openxmlformats.org/officeDocument/2006/relationships/image" Target="media/image437.png"/><Relationship Id="rId491" Type="http://schemas.openxmlformats.org/officeDocument/2006/relationships/image" Target="media/image438.png"/><Relationship Id="rId492" Type="http://schemas.openxmlformats.org/officeDocument/2006/relationships/image" Target="media/image439.png"/><Relationship Id="rId493" Type="http://schemas.openxmlformats.org/officeDocument/2006/relationships/image" Target="media/image440.png"/><Relationship Id="rId494" Type="http://schemas.openxmlformats.org/officeDocument/2006/relationships/image" Target="media/image441.png"/><Relationship Id="rId495" Type="http://schemas.openxmlformats.org/officeDocument/2006/relationships/image" Target="media/image442.png"/><Relationship Id="rId496" Type="http://schemas.openxmlformats.org/officeDocument/2006/relationships/image" Target="media/image443.png"/><Relationship Id="rId497" Type="http://schemas.openxmlformats.org/officeDocument/2006/relationships/image" Target="media/image444.png"/><Relationship Id="rId498" Type="http://schemas.openxmlformats.org/officeDocument/2006/relationships/image" Target="media/image445.png"/><Relationship Id="rId499" Type="http://schemas.openxmlformats.org/officeDocument/2006/relationships/image" Target="media/image446.png"/><Relationship Id="rId500" Type="http://schemas.openxmlformats.org/officeDocument/2006/relationships/image" Target="media/image447.png"/><Relationship Id="rId501" Type="http://schemas.openxmlformats.org/officeDocument/2006/relationships/image" Target="media/image448.png"/><Relationship Id="rId502" Type="http://schemas.openxmlformats.org/officeDocument/2006/relationships/image" Target="media/image449.png"/><Relationship Id="rId503" Type="http://schemas.openxmlformats.org/officeDocument/2006/relationships/image" Target="media/image450.png"/><Relationship Id="rId504" Type="http://schemas.openxmlformats.org/officeDocument/2006/relationships/image" Target="media/image451.png"/><Relationship Id="rId505" Type="http://schemas.openxmlformats.org/officeDocument/2006/relationships/image" Target="media/image452.png"/><Relationship Id="rId506" Type="http://schemas.openxmlformats.org/officeDocument/2006/relationships/image" Target="media/image453.png"/><Relationship Id="rId507" Type="http://schemas.openxmlformats.org/officeDocument/2006/relationships/image" Target="media/image454.png"/><Relationship Id="rId508" Type="http://schemas.openxmlformats.org/officeDocument/2006/relationships/image" Target="media/image455.png"/><Relationship Id="rId509" Type="http://schemas.openxmlformats.org/officeDocument/2006/relationships/image" Target="media/image456.png"/><Relationship Id="rId510" Type="http://schemas.openxmlformats.org/officeDocument/2006/relationships/image" Target="media/image457.png"/><Relationship Id="rId511" Type="http://schemas.openxmlformats.org/officeDocument/2006/relationships/image" Target="media/image458.png"/><Relationship Id="rId512" Type="http://schemas.openxmlformats.org/officeDocument/2006/relationships/image" Target="media/image459.png"/><Relationship Id="rId513" Type="http://schemas.openxmlformats.org/officeDocument/2006/relationships/image" Target="media/image460.png"/><Relationship Id="rId514" Type="http://schemas.openxmlformats.org/officeDocument/2006/relationships/image" Target="media/image461.png"/><Relationship Id="rId515" Type="http://schemas.openxmlformats.org/officeDocument/2006/relationships/image" Target="media/image462.png"/><Relationship Id="rId516" Type="http://schemas.openxmlformats.org/officeDocument/2006/relationships/image" Target="media/image463.png"/><Relationship Id="rId517" Type="http://schemas.openxmlformats.org/officeDocument/2006/relationships/image" Target="media/image464.png"/><Relationship Id="rId518" Type="http://schemas.openxmlformats.org/officeDocument/2006/relationships/image" Target="media/image465.png"/><Relationship Id="rId519" Type="http://schemas.openxmlformats.org/officeDocument/2006/relationships/image" Target="media/image466.png"/><Relationship Id="rId520" Type="http://schemas.openxmlformats.org/officeDocument/2006/relationships/image" Target="media/image467.png"/><Relationship Id="rId521" Type="http://schemas.openxmlformats.org/officeDocument/2006/relationships/image" Target="media/image468.png"/><Relationship Id="rId522" Type="http://schemas.openxmlformats.org/officeDocument/2006/relationships/image" Target="media/image469.png"/><Relationship Id="rId523" Type="http://schemas.openxmlformats.org/officeDocument/2006/relationships/image" Target="media/image470.png"/><Relationship Id="rId524" Type="http://schemas.openxmlformats.org/officeDocument/2006/relationships/image" Target="media/image471.png"/><Relationship Id="rId525" Type="http://schemas.openxmlformats.org/officeDocument/2006/relationships/image" Target="media/image472.png"/><Relationship Id="rId526" Type="http://schemas.openxmlformats.org/officeDocument/2006/relationships/image" Target="media/image473.png"/><Relationship Id="rId527" Type="http://schemas.openxmlformats.org/officeDocument/2006/relationships/image" Target="media/image474.png"/><Relationship Id="rId528" Type="http://schemas.openxmlformats.org/officeDocument/2006/relationships/image" Target="media/image475.png"/><Relationship Id="rId529" Type="http://schemas.openxmlformats.org/officeDocument/2006/relationships/image" Target="media/image476.png"/><Relationship Id="rId379" Type="http://schemas.openxmlformats.org/officeDocument/2006/relationships/hyperlink" Target="https://www.sec.gov/Archives/edgar/data/1826470/000119312521011439/d72007dex31.htm" TargetMode="External"/><Relationship Id="rId380" Type="http://schemas.openxmlformats.org/officeDocument/2006/relationships/hyperlink" Target="https://www.sec.gov/Archives/edgar/data/1826470/000119312523173967/d475965dex31.htm" TargetMode="External"/><Relationship Id="rId381" Type="http://schemas.openxmlformats.org/officeDocument/2006/relationships/hyperlink" Target="https://www.sec.gov/Archives/edgar/data/1826470/000119312525309620/woof-ex3_1.htm" TargetMode="External"/><Relationship Id="rId382" Type="http://schemas.openxmlformats.org/officeDocument/2006/relationships/hyperlink" Target="https://www.sec.gov/Archives/edgar/data/1826470/000119312521011439/d72007dex41.htm" TargetMode="External"/><Relationship Id="rId383" Type="http://schemas.openxmlformats.org/officeDocument/2006/relationships/hyperlink" Target="https://www.sec.gov/Archives/edgar/data/1826470/000119312521011439/d72007dex42.htm" TargetMode="External"/><Relationship Id="rId384" Type="http://schemas.openxmlformats.org/officeDocument/2006/relationships/hyperlink" Target="https://www.sec.gov/Archives/edgar/data/1826470/000156459021017616/woof-ex43_382.htm" TargetMode="External"/><Relationship Id="rId385" Type="http://schemas.openxmlformats.org/officeDocument/2006/relationships/hyperlink" Target="https://www.sec.gov/Archives/edgar/data/1826470/000119312526033607/woof-ex4_1.htm" TargetMode="External"/><Relationship Id="rId386" Type="http://schemas.openxmlformats.org/officeDocument/2006/relationships/hyperlink" Target="https://www.sec.gov/Archives/edgar/data/1826470/000119312521011439/d72007dex101.htm" TargetMode="External"/><Relationship Id="rId387" Type="http://schemas.openxmlformats.org/officeDocument/2006/relationships/hyperlink" Target="https://www.sec.gov/Archives/edgar/data/1826470/000119312521011439/d72007dex102.htm" TargetMode="External"/><Relationship Id="rId388" Type="http://schemas.openxmlformats.org/officeDocument/2006/relationships/hyperlink" Target="https://www.sec.gov/Archives/edgar/data/1826470/000119312520309678/d62974dex102.htm" TargetMode="External"/><Relationship Id="rId389" Type="http://schemas.openxmlformats.org/officeDocument/2006/relationships/hyperlink" Target="https://www.sec.gov/Archives/edgar/data/1826470/000182647025000015/woof-ex10_1.htm" TargetMode="External"/><Relationship Id="rId392" Type="http://schemas.openxmlformats.org/officeDocument/2006/relationships/hyperlink" Target="https://www.sec.gov/Archives/edgar/data/1826470/000119312520309678/d62974dex1011.htm" TargetMode="External"/><Relationship Id="rId393" Type="http://schemas.openxmlformats.org/officeDocument/2006/relationships/hyperlink" Target="https://www.sec.gov/Archives/edgar/data/1826470/000119312521011537/d63587dex996.htm" TargetMode="External"/><Relationship Id="rId394" Type="http://schemas.openxmlformats.org/officeDocument/2006/relationships/hyperlink" Target="https://www.sec.gov/Archives/edgar/data/1826470/000095017023026849/woof-ex10_2.htm" TargetMode="External"/><Relationship Id="rId395" Type="http://schemas.openxmlformats.org/officeDocument/2006/relationships/hyperlink" Target="https://www.sec.gov/Archives/edgar/data/1826470/000119312523173967/d475965dex101.htm" TargetMode="External"/><Relationship Id="rId396" Type="http://schemas.openxmlformats.org/officeDocument/2006/relationships/hyperlink" Target="https://www.sec.gov/Archives/edgar/data/1826470/000119312524138218/d839959dex101.htm" TargetMode="External"/><Relationship Id="rId397" Type="http://schemas.openxmlformats.org/officeDocument/2006/relationships/hyperlink" Target="https://www.sec.gov/Archives/edgar/data/1826470/000119312524138218/d839959dex102.htm" TargetMode="External"/><Relationship Id="rId398" Type="http://schemas.openxmlformats.org/officeDocument/2006/relationships/hyperlink" Target="https://www.sec.gov/Archives/edgar/data/1826470/000095017024069337/woof-ex10_2.htm" TargetMode="External"/><Relationship Id="rId399" Type="http://schemas.openxmlformats.org/officeDocument/2006/relationships/hyperlink" Target="https://www.sec.gov/Archives/edgar/data/1826470/000095017024069337/woof-ex10_4.htm" TargetMode="External"/><Relationship Id="rId400" Type="http://schemas.openxmlformats.org/officeDocument/2006/relationships/hyperlink" Target="https://www.sec.gov/Archives/edgar/data/1826470/000095017024069337/woof-ex10_5.htm" TargetMode="External"/><Relationship Id="rId401" Type="http://schemas.openxmlformats.org/officeDocument/2006/relationships/hyperlink" Target="https://www.sec.gov/Archives/edgar/data/1826470/000119312524180399/d845993dex101.htm" TargetMode="External"/><Relationship Id="rId402" Type="http://schemas.openxmlformats.org/officeDocument/2006/relationships/hyperlink" Target="https://www.sec.gov/Archives/edgar/data/1826470/000119312521011537/d63587dex992.htm" TargetMode="External"/><Relationship Id="rId403" Type="http://schemas.openxmlformats.org/officeDocument/2006/relationships/hyperlink" Target="https://www.sec.gov/Archives/edgar/data/1826470/000119312525028619/d876071dex101.htm" TargetMode="External"/><Relationship Id="rId404" Type="http://schemas.openxmlformats.org/officeDocument/2006/relationships/hyperlink" Target="https://www.sec.gov/Archives/edgar/data/1826470/000119312525033440/d918762dex101.htm" TargetMode="External"/><Relationship Id="rId405" Type="http://schemas.openxmlformats.org/officeDocument/2006/relationships/hyperlink" Target="https://www.sec.gov/Archives/edgar/data/1826470/000095017025047693/woof-ex10_44.htm" TargetMode="External"/><Relationship Id="rId408" Type="http://schemas.openxmlformats.org/officeDocument/2006/relationships/hyperlink" Target="https://www.sec.gov/Archives/edgar/data/1826470/000095017025047693/woof-ex10_46.htm" TargetMode="External"/><Relationship Id="rId409" Type="http://schemas.openxmlformats.org/officeDocument/2006/relationships/hyperlink" Target="https://www.sec.gov/Archives/edgar/data/1826470/000095017025047693/woof-ex10_47.htm" TargetMode="External"/><Relationship Id="rId410" Type="http://schemas.openxmlformats.org/officeDocument/2006/relationships/hyperlink" Target="https://www.sec.gov/Archives/edgar/data/1826470/000095017025047693/woof-ex10_48.htm" TargetMode="External"/><Relationship Id="rId411" Type="http://schemas.openxmlformats.org/officeDocument/2006/relationships/hyperlink" Target="https://www.sec.gov/Archives/edgar/data/1826470/000095017025047693/woof-ex10_49.htm" TargetMode="External"/><Relationship Id="rId412" Type="http://schemas.openxmlformats.org/officeDocument/2006/relationships/hyperlink" Target="https://www.sec.gov/Archives/edgar/data/1826470/000095017025047693/woof-ex10_50.htm" TargetMode="External"/><Relationship Id="rId413" Type="http://schemas.openxmlformats.org/officeDocument/2006/relationships/hyperlink" Target="https://www.sec.gov/Archives/edgar/data/1826470/000119312525309620/woof-ex10_1.htm" TargetMode="External"/><Relationship Id="rId414" Type="http://schemas.openxmlformats.org/officeDocument/2006/relationships/hyperlink" Target="https://www.sec.gov/Archives/edgar/data/1826470/000119312525048475/d923902dex991.htm" TargetMode="External"/><Relationship Id="rId415" Type="http://schemas.openxmlformats.org/officeDocument/2006/relationships/hyperlink" Target="https://www.sec.gov/Archives/edgar/data/1826470/000119312525048475/d923902dex992.htm" TargetMode="External"/><Relationship Id="rId416" Type="http://schemas.openxmlformats.org/officeDocument/2006/relationships/hyperlink" Target="https://www.sec.gov/Archives/edgar/data/1826470/000119312525048475/d923902dex993.htm" TargetMode="External"/><Relationship Id="rId417" Type="http://schemas.openxmlformats.org/officeDocument/2006/relationships/hyperlink" Target="https://www.sec.gov/Archives/edgar/data/1826470/000095017025047693/woof-ex10_55.htm" TargetMode="External"/><Relationship Id="rId418" Type="http://schemas.openxmlformats.org/officeDocument/2006/relationships/hyperlink" Target="https://www.sec.gov/Archives/edgar/data/1826470/000095017024040516/woof-ex10_31.htm" TargetMode="External"/><Relationship Id="rId421" Type="http://schemas.openxmlformats.org/officeDocument/2006/relationships/hyperlink" Target="https://www.sec.gov/Archives/edgar/data/1826470/000156459021017616/woof-ex1031_384.htm" TargetMode="External"/><Relationship Id="rId422" Type="http://schemas.openxmlformats.org/officeDocument/2006/relationships/hyperlink" Target="https://www.sec.gov/Archives/edgar/data/1826470/000156459021017616/woof-ex1032_385.htm" TargetMode="External"/><Relationship Id="rId423" Type="http://schemas.openxmlformats.org/officeDocument/2006/relationships/hyperlink" Target="https://www.sec.gov/Archives/edgar/data/1826470/000156459021017616/woof-ex1033_386.htm" TargetMode="External"/><Relationship Id="rId424" Type="http://schemas.openxmlformats.org/officeDocument/2006/relationships/hyperlink" Target="https://www.sec.gov/Archives/edgar/data/1826470/000156459021017616/woof-ex1034_387.htm" TargetMode="External"/><Relationship Id="rId425" Type="http://schemas.openxmlformats.org/officeDocument/2006/relationships/hyperlink" Target="https://www.sec.gov/Archives/edgar/data/1826470/000156459021017616/woof-ex1035_388.htm" TargetMode="External"/><Relationship Id="rId426" Type="http://schemas.openxmlformats.org/officeDocument/2006/relationships/hyperlink" Target="https://www.sec.gov/Archives/edgar/data/1826470/000119312526033750/woof-ex10_1.htm" TargetMode="External"/><Relationship Id="rId427" Type="http://schemas.openxmlformats.org/officeDocument/2006/relationships/hyperlink" Target="https://www.sec.gov/Archives/edgar/data/1826470/000119312526033607/woof-ex10_1.htm" TargetMode="External"/><Relationship Id="rId428" Type="http://schemas.openxmlformats.org/officeDocument/2006/relationships/hyperlink" Target="https://www.sec.gov/Archives/edgar/data/1826470/000095017025047693/woof-ex19_1.htm" TargetMode="External"/><Relationship Id="rId431" Type="http://schemas.openxmlformats.org/officeDocument/2006/relationships/hyperlink" Target="https://www.sec.gov/Archives/edgar/data/1826470/000119312521002588/d62974dex211.htm" TargetMode="External"/><Relationship Id="rId432" Type="http://schemas.openxmlformats.org/officeDocument/2006/relationships/hyperlink" Target="https://www.sec.gov/Archives/edgar/data/1826470/000095017024040516/woof-ex9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2026-03-13T15:21:08Z</dcterms:created>
  <dcterms:modified xsi:type="dcterms:W3CDTF">2026-03-13T15:21:08Z</dcterms:modified>
</cp:coreProperties>
</file>