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ind w:left="3760" w:right="1620" w:hanging="3739"/>
        <w:spacing w:after="0" w:line="306"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29,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Petco Health and Wellness Company,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p>
      <w:pPr>
        <w:spacing w:after="0" w:line="200" w:lineRule="exact"/>
        <w:rPr>
          <w:sz w:val="24"/>
          <w:szCs w:val="24"/>
          <w:color w:val="auto"/>
        </w:rPr>
      </w:pPr>
    </w:p>
    <w:p>
      <w:pPr>
        <w:spacing w:after="0" w:line="298"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3"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81-1005932</w:t>
      </w:r>
    </w:p>
    <w:p>
      <w:pPr>
        <w:spacing w:after="0" w:line="3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0" w:lineRule="exact"/>
        <w:rPr>
          <w:sz w:val="24"/>
          <w:szCs w:val="24"/>
          <w:color w:val="auto"/>
        </w:rPr>
      </w:pPr>
    </w:p>
    <w:p>
      <w:pPr>
        <w:sectPr>
          <w:pgSz w:w="11900" w:h="16838" w:orient="portrait"/>
          <w:cols w:equalWidth="0" w:num="2">
            <w:col w:w="7220" w:space="720"/>
            <w:col w:w="3300"/>
          </w:cols>
          <w:pgMar w:left="320" w:top="686" w:right="3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31" w:lineRule="exact"/>
        <w:rPr>
          <w:sz w:val="24"/>
          <w:szCs w:val="24"/>
          <w:color w:val="auto"/>
        </w:rPr>
      </w:pPr>
    </w:p>
    <w:p>
      <w:pPr>
        <w:ind w:left="19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8"/>
          <w:szCs w:val="18"/>
          <w:b w:val="1"/>
          <w:bCs w:val="1"/>
          <w:color w:val="auto"/>
        </w:rPr>
        <w:t>92127</w:t>
      </w:r>
    </w:p>
    <w:p>
      <w:pPr>
        <w:spacing w:after="0" w:line="16"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6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WOOF</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31"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04"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tabs>
          <w:tab w:leader="none" w:pos="7560" w:val="left"/>
          <w:tab w:leader="none" w:pos="81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A Common Stock outstanding as of December 6, 2022 was 228,129,255.</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B-1 Common Stock outstanding as of December 6, 2022 was 37,790,781.</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B-2 Common Stock outstanding as of December 6, 2022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98"/>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40" w:type="dxa"/>
            <w:vAlign w:val="bottom"/>
            <w:tcBorders>
              <w:right w:val="single" w:sz="8" w:color="0000EE"/>
            </w:tcBorders>
            <w:gridSpan w:val="6"/>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96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3"/>
            <w:vMerge w:val="continue"/>
          </w:tcPr>
          <w:p>
            <w:pPr>
              <w:spacing w:after="0"/>
              <w:rPr>
                <w:sz w:val="24"/>
                <w:szCs w:val="24"/>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460" w:type="dxa"/>
            <w:vAlign w:val="bottom"/>
            <w:gridSpan w:val="16"/>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inflationary pressures,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8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expectations and assumptions about future events that may or may not be correct or necessarily take place and that are by their nature subject to significant uncertainties and contingencies, many of which are outside of our control.</w:t>
      </w:r>
    </w:p>
    <w:p>
      <w:pPr>
        <w:spacing w:after="0" w:line="81"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(vii) failure to effectively manage our costs; (viii) our reliance on our information technology systems; (ix) our ability to prevent or effectively respond to 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 in Ukraine),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and (xx) the other risks, uncertainties and other factors referred to under “Risk Factors” and identified elsewhere in this Form 10-Q and our other filings with the SEC. The occurrence of any such factors could significantly alter the results set forth in these statements.</w:t>
      </w:r>
    </w:p>
    <w:p>
      <w:pPr>
        <w:spacing w:after="0" w:line="14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122"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8"/>
              </w:rPr>
              <w:t>October 29,</w:t>
            </w:r>
          </w:p>
        </w:tc>
        <w:tc>
          <w:tcPr>
            <w:tcW w:w="28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January 29,</w:t>
            </w:r>
          </w:p>
        </w:tc>
        <w:tc>
          <w:tcPr>
            <w:tcW w:w="0" w:type="dxa"/>
            <w:vAlign w:val="bottom"/>
          </w:tcPr>
          <w:p>
            <w:pPr>
              <w:spacing w:after="0"/>
              <w:rPr>
                <w:sz w:val="1"/>
                <w:szCs w:val="1"/>
                <w:color w:val="auto"/>
              </w:rPr>
            </w:pPr>
          </w:p>
        </w:tc>
      </w:tr>
      <w:tr>
        <w:trPr>
          <w:trHeight w:val="167"/>
        </w:trPr>
        <w:tc>
          <w:tcPr>
            <w:tcW w:w="7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(Unaudited)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148,731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211,602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Receivables, less allowance for credit losses ($1,140 and $931, respectively)</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Merchandise inventories, net</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723,424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675,111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43,708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56,724</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86,091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1,019,033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1,070,777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Fixed assets</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1,937,804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1,745,691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(1,146,217 )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(1,018,769 )</w:t>
            </w: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Fixed assets, net</w:t>
            </w:r>
          </w:p>
        </w:tc>
        <w:tc>
          <w:tcPr>
            <w:tcW w:w="28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791,587</w:t>
            </w:r>
          </w:p>
        </w:tc>
        <w:tc>
          <w:tcPr>
            <w:tcW w:w="2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726,922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1,378,336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1,338,465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2,191,891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2,183,991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171,045</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152,786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6,576,892</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6,497,941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 and book overdrafts</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384,595</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403,976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salaries and employee benefits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125,113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220,055</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210,872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304,789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portion of long-term debt and other lease liabilities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22,645</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21,764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1,057,197</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credit facilities, net, excluding current portion</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1,631,335</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1,640,390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1,131,081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1,096,133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taxes, net</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298,380</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318,355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130,990</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4,248,983</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4,242,122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3 and 6)</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common stock, $0.001 par value: Authorized - 1.0 billion shares;</w:t>
            </w:r>
          </w:p>
        </w:tc>
        <w:tc>
          <w:tcPr>
            <w:tcW w:w="2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- 227.9 million and 227.2 million shares, respectively</w:t>
            </w:r>
          </w:p>
        </w:tc>
        <w:tc>
          <w:tcPr>
            <w:tcW w:w="2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B-1 common stock, $0.001 par value: Authorized - 75.0 million shares;</w:t>
            </w:r>
          </w:p>
        </w:tc>
        <w:tc>
          <w:tcPr>
            <w:tcW w:w="28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8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B-2 common stock, $0.000001 par value: Authorized - 75.0 million shares;</w:t>
            </w:r>
          </w:p>
        </w:tc>
        <w:tc>
          <w:tcPr>
            <w:tcW w:w="280" w:type="dxa"/>
            <w:vAlign w:val="bottom"/>
          </w:tcPr>
          <w:p>
            <w:pPr>
              <w:spacing w:after="0"/>
              <w:rPr>
                <w:sz w:val="12"/>
                <w:szCs w:val="12"/>
                <w:color w:val="auto"/>
              </w:rPr>
            </w:pPr>
          </w:p>
        </w:tc>
        <w:tc>
          <w:tcPr>
            <w:tcW w:w="1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Preferred stock, $0.001 par value: Authorized - 25.0 million shares;</w:t>
            </w:r>
          </w:p>
        </w:tc>
        <w:tc>
          <w:tcPr>
            <w:tcW w:w="280" w:type="dxa"/>
            <w:vAlign w:val="bottom"/>
            <w:shd w:val="clear" w:color="auto" w:fill="CFF0FC"/>
          </w:tcPr>
          <w:p>
            <w:pPr>
              <w:spacing w:after="0"/>
              <w:rPr>
                <w:sz w:val="12"/>
                <w:szCs w:val="12"/>
                <w:color w:val="auto"/>
              </w:rPr>
            </w:pPr>
          </w:p>
        </w:tc>
        <w:tc>
          <w:tcPr>
            <w:tcW w:w="15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none</w:t>
            </w:r>
          </w:p>
        </w:tc>
        <w:tc>
          <w:tcPr>
            <w:tcW w:w="280" w:type="dxa"/>
            <w:vAlign w:val="bottom"/>
            <w:shd w:val="clear" w:color="auto" w:fill="CFF0FC"/>
          </w:tcPr>
          <w:p>
            <w:pPr>
              <w:spacing w:after="0"/>
              <w:rPr>
                <w:sz w:val="16"/>
                <w:szCs w:val="16"/>
                <w:color w:val="auto"/>
              </w:rPr>
            </w:pPr>
          </w:p>
        </w:tc>
        <w:tc>
          <w:tcPr>
            <w:tcW w:w="158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2,131,930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2,133,821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Retained earnings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200,235</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(4,522 )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(2,238 )</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2,327,909</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2,274,014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80" w:type="dxa"/>
            <w:vAlign w:val="bottom"/>
          </w:tcPr>
          <w:p>
            <w:pPr>
              <w:spacing w:after="0"/>
              <w:rPr>
                <w:sz w:val="14"/>
                <w:szCs w:val="14"/>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(18,195 )</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2,327,909</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2,255,819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6,576,892</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6,497,941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-4431030</wp:posOffset>
            </wp:positionV>
            <wp:extent cx="6858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-3514090</wp:posOffset>
            </wp:positionV>
            <wp:extent cx="685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-2588260</wp:posOffset>
            </wp:positionV>
            <wp:extent cx="6858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-1893570</wp:posOffset>
            </wp:positionV>
            <wp:extent cx="6858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-385445</wp:posOffset>
            </wp:positionV>
            <wp:extent cx="6858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4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58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1,501,220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1,443,264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4,458,008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4,292,792</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903,543</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848,555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2,658,180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2,501,688</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597,677</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594,709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1,799,828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1,791,104</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549,622</w:t>
            </w:r>
          </w:p>
        </w:tc>
        <w:tc>
          <w:tcPr>
            <w:tcW w:w="2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532,760</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1,651,829</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1,607,938</w:t>
            </w:r>
          </w:p>
        </w:tc>
        <w:tc>
          <w:tcPr>
            <w:tcW w:w="100" w:type="dxa"/>
            <w:vAlign w:val="bottom"/>
            <w:tcBorders>
              <w:bottom w:val="single" w:sz="8" w:color="CFF0FC"/>
            </w:tcBorders>
          </w:tcPr>
          <w:p>
            <w:pPr>
              <w:spacing w:after="0"/>
              <w:rPr>
                <w:sz w:val="20"/>
                <w:szCs w:val="20"/>
                <w:color w:val="auto"/>
              </w:rPr>
            </w:pPr>
          </w:p>
        </w:tc>
      </w:tr>
      <w:tr>
        <w:trPr>
          <w:trHeight w:val="241"/>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147,999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183,166</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(130 )</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(287 )</w:t>
            </w: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and modification of debt</w:t>
            </w: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(576 )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(19,773 )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(64,934 )</w:t>
            </w:r>
          </w:p>
        </w:tc>
      </w:tr>
      <w:tr>
        <w:trPr>
          <w:trHeight w:val="209"/>
        </w:trPr>
        <w:tc>
          <w:tcPr>
            <w:tcW w:w="58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Income before income taxes and income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1"/>
        </w:trPr>
        <w:tc>
          <w:tcPr>
            <w:tcW w:w="5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168,811</w:t>
            </w:r>
          </w:p>
        </w:tc>
        <w:tc>
          <w:tcPr>
            <w:tcW w:w="100" w:type="dxa"/>
            <w:vAlign w:val="bottom"/>
          </w:tcPr>
          <w:p>
            <w:pPr>
              <w:spacing w:after="0"/>
              <w:rPr>
                <w:sz w:val="20"/>
                <w:szCs w:val="20"/>
                <w:color w:val="auto"/>
              </w:rPr>
            </w:pPr>
          </w:p>
        </w:tc>
      </w:tr>
      <w:tr>
        <w:trPr>
          <w:trHeight w:val="25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(2,627 )</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(2,637 )</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(7,821 )</w:t>
            </w: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(7,490 )</w:t>
            </w:r>
          </w:p>
        </w:tc>
      </w:tr>
      <w:tr>
        <w:trPr>
          <w:trHeight w:val="241"/>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51,513</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57,178</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132,517</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(1,239 )</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(891 )</w:t>
            </w: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(2,906 )</w:t>
            </w:r>
          </w:p>
        </w:tc>
      </w:tr>
      <w:tr>
        <w:trPr>
          <w:trHeight w:val="20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attributable to Class A and B-1</w:t>
            </w: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135,423</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Class A and B-1 common share:</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net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per Class A and B-1 common share:</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265,689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265,390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264,220</w:t>
            </w:r>
          </w:p>
        </w:tc>
        <w:tc>
          <w:tcPr>
            <w:tcW w:w="100" w:type="dxa"/>
            <w:vAlign w:val="bottom"/>
          </w:tcPr>
          <w:p>
            <w:pPr>
              <w:spacing w:after="0"/>
              <w:rPr>
                <w:sz w:val="20"/>
                <w:szCs w:val="20"/>
                <w:color w:val="auto"/>
              </w:rPr>
            </w:pPr>
          </w:p>
        </w:tc>
      </w:tr>
      <w:tr>
        <w:trPr>
          <w:trHeight w:val="261"/>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265,935</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265,322</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265,824</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265,189</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-3385820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-3385820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-3385820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-2605405</wp:posOffset>
            </wp:positionV>
            <wp:extent cx="7747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-2605405</wp:posOffset>
            </wp:positionV>
            <wp:extent cx="6858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-2605405</wp:posOffset>
            </wp:positionV>
            <wp:extent cx="6858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480" w:type="dxa"/>
            <w:vAlign w:val="bottom"/>
            <w:gridSpan w:val="5"/>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35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(1,239 )</w:t>
            </w:r>
          </w:p>
        </w:tc>
        <w:tc>
          <w:tcPr>
            <w:tcW w:w="160" w:type="dxa"/>
            <w:vAlign w:val="bottom"/>
          </w:tcPr>
          <w:p>
            <w:pPr>
              <w:spacing w:after="0"/>
              <w:rPr>
                <w:sz w:val="20"/>
                <w:szCs w:val="20"/>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(891 )</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(2,906 )</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Class A and B-1</w:t>
            </w: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stockholders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(1,056 )</w:t>
            </w:r>
          </w:p>
        </w:tc>
        <w:tc>
          <w:tcPr>
            <w:tcW w:w="160" w:type="dxa"/>
            <w:vAlign w:val="bottom"/>
          </w:tcPr>
          <w:p>
            <w:pPr>
              <w:spacing w:after="0"/>
              <w:rPr>
                <w:sz w:val="20"/>
                <w:szCs w:val="20"/>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(2,284 )</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(1,053 )</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 attributable to noncontrolling</w:t>
            </w:r>
          </w:p>
        </w:tc>
        <w:tc>
          <w:tcPr>
            <w:tcW w:w="1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(1,239 )</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(891 )</w:t>
            </w:r>
          </w:p>
        </w:tc>
        <w:tc>
          <w:tcPr>
            <w:tcW w:w="160" w:type="dxa"/>
            <w:vAlign w:val="bottom"/>
          </w:tcPr>
          <w:p>
            <w:pPr>
              <w:spacing w:after="0"/>
              <w:rPr>
                <w:sz w:val="18"/>
                <w:szCs w:val="18"/>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(2,906 )</w:t>
            </w:r>
          </w:p>
        </w:tc>
        <w:tc>
          <w:tcPr>
            <w:tcW w:w="0" w:type="dxa"/>
            <w:vAlign w:val="bottom"/>
          </w:tcPr>
          <w:p>
            <w:pPr>
              <w:spacing w:after="0"/>
              <w:rPr>
                <w:sz w:val="1"/>
                <w:szCs w:val="1"/>
                <w:color w:val="auto"/>
              </w:rPr>
            </w:pPr>
          </w:p>
        </w:tc>
      </w:tr>
      <w:tr>
        <w:trPr>
          <w:trHeight w:val="234"/>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Comprehensive income attributable to Class A and</w:t>
            </w: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260" w:type="dxa"/>
            <w:vAlign w:val="bottom"/>
            <w:vMerge w:val="restart"/>
            <w:shd w:val="clear" w:color="auto" w:fill="CFF0FC"/>
          </w:tcPr>
          <w:p>
            <w:pPr>
              <w:spacing w:after="0"/>
              <w:rPr>
                <w:sz w:val="17"/>
                <w:szCs w:val="17"/>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51,696</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55,785</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B-1 common stockholders</w:t>
            </w: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-899795</wp:posOffset>
            </wp:positionV>
            <wp:extent cx="7747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-899795</wp:posOffset>
            </wp:positionV>
            <wp:extent cx="685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-899795</wp:posOffset>
            </wp:positionV>
            <wp:extent cx="685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Class</w:t>
            </w:r>
          </w:p>
        </w:tc>
        <w:tc>
          <w:tcPr>
            <w:tcW w:w="140" w:type="dxa"/>
            <w:vAlign w:val="bottom"/>
          </w:tcPr>
          <w:p>
            <w:pPr>
              <w:spacing w:after="0"/>
              <w:rPr>
                <w:sz w:val="10"/>
                <w:szCs w:val="10"/>
                <w:color w:val="auto"/>
              </w:rPr>
            </w:pPr>
          </w:p>
        </w:tc>
        <w:tc>
          <w:tcPr>
            <w:tcW w:w="104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7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3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74"/>
              </w:rPr>
              <w:t>A</w:t>
            </w:r>
          </w:p>
        </w:tc>
        <w:tc>
          <w:tcPr>
            <w:tcW w:w="140" w:type="dxa"/>
            <w:vAlign w:val="bottom"/>
          </w:tcPr>
          <w:p>
            <w:pPr>
              <w:spacing w:after="0"/>
              <w:rPr>
                <w:sz w:val="10"/>
                <w:szCs w:val="10"/>
                <w:color w:val="auto"/>
              </w:rPr>
            </w:pPr>
          </w:p>
        </w:tc>
        <w:tc>
          <w:tcPr>
            <w:tcW w:w="104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7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 paid-in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30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8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40" w:type="dxa"/>
            <w:vAlign w:val="bottom"/>
          </w:tcPr>
          <w:p>
            <w:pPr>
              <w:spacing w:after="0"/>
              <w:rPr>
                <w:sz w:val="12"/>
                <w:szCs w:val="12"/>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96"/>
              </w:rPr>
              <w:t>Retained earnings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326"/>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7"/>
        </w:trPr>
        <w:tc>
          <w:tcPr>
            <w:tcW w:w="820" w:type="dxa"/>
            <w:vAlign w:val="bottom"/>
            <w:tcBorders>
              <w:right w:val="single" w:sz="8" w:color="CFF0FC"/>
            </w:tcBorders>
            <w:shd w:val="clear" w:color="auto" w:fill="CFF0FC"/>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840" w:type="dxa"/>
            <w:vAlign w:val="bottom"/>
            <w:tcBorders>
              <w:top w:val="single" w:sz="8" w:color="auto"/>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top w:val="single" w:sz="8" w:color="auto"/>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lef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140" w:type="dxa"/>
            <w:vAlign w:val="bottom"/>
            <w:tcBorders>
              <w:top w:val="single" w:sz="8" w:color="auto"/>
              <w:right w:val="single" w:sz="8" w:color="CFF0FC"/>
            </w:tcBorders>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060" w:type="dxa"/>
            <w:vAlign w:val="bottom"/>
            <w:tcBorders>
              <w:top w:val="single" w:sz="8" w:color="auto"/>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January 29,</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227,187</w:t>
            </w: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1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37,791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265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2,133,821</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142,166</w:t>
            </w:r>
          </w:p>
        </w:tc>
        <w:tc>
          <w:tcPr>
            <w:tcW w:w="26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(2,238 )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11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2,274,014</w:t>
            </w:r>
          </w:p>
        </w:tc>
        <w:tc>
          <w:tcPr>
            <w:tcW w:w="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(18,195 )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9"/>
              </w:rPr>
              <w:t>2,255,819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Equity-based</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expense</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5)</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12,055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10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24,693</w:t>
            </w:r>
          </w:p>
        </w:tc>
        <w:tc>
          <w:tcPr>
            <w:tcW w:w="12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24,693</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(891 )</w:t>
            </w: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Foreign currency</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adjustment, net</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(1,598 )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(1,598 )</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(1,598 )</w:t>
            </w:r>
          </w:p>
        </w:tc>
        <w:tc>
          <w:tcPr>
            <w:tcW w:w="0" w:type="dxa"/>
            <w:vAlign w:val="bottom"/>
          </w:tcPr>
          <w:p>
            <w:pPr>
              <w:spacing w:after="0"/>
              <w:rPr>
                <w:sz w:val="1"/>
                <w:szCs w:val="1"/>
                <w:color w:val="auto"/>
              </w:rPr>
            </w:pPr>
          </w:p>
        </w:tc>
      </w:tr>
      <w:tr>
        <w:trPr>
          <w:trHeight w:val="126"/>
        </w:trPr>
        <w:tc>
          <w:tcPr>
            <w:tcW w:w="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common stock,</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Borders>
              <w:right w:val="single" w:sz="8" w:color="CFF0FC"/>
            </w:tcBorders>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w:t>
            </w:r>
          </w:p>
        </w:tc>
        <w:tc>
          <w:tcPr>
            <w:tcW w:w="8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vMerge w:val="restart"/>
            <w:shd w:val="clear" w:color="auto" w:fill="CFF0FC"/>
          </w:tcPr>
          <w:p>
            <w:pPr>
              <w:spacing w:after="0"/>
              <w:rPr>
                <w:sz w:val="10"/>
                <w:szCs w:val="10"/>
                <w:color w:val="auto"/>
              </w:rPr>
            </w:pPr>
          </w:p>
        </w:tc>
        <w:tc>
          <w:tcPr>
            <w:tcW w:w="140" w:type="dxa"/>
            <w:vAlign w:val="bottom"/>
            <w:vMerge w:val="restart"/>
            <w:shd w:val="clear" w:color="auto" w:fill="CFF0FC"/>
          </w:tcPr>
          <w:p>
            <w:pPr>
              <w:spacing w:after="0"/>
              <w:rPr>
                <w:sz w:val="10"/>
                <w:szCs w:val="10"/>
                <w:color w:val="auto"/>
              </w:rPr>
            </w:pPr>
          </w:p>
        </w:tc>
        <w:tc>
          <w:tcPr>
            <w:tcW w:w="70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tcBorders>
              <w:right w:val="single" w:sz="8" w:color="CFF0FC"/>
            </w:tcBorders>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gridSpan w:val="3"/>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rPr>
              <w:t>(2,371 )</w:t>
            </w:r>
          </w:p>
        </w:tc>
        <w:tc>
          <w:tcPr>
            <w:tcW w:w="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(2,371 )</w:t>
            </w: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(2,371 )</w:t>
            </w:r>
          </w:p>
        </w:tc>
        <w:tc>
          <w:tcPr>
            <w:tcW w:w="0" w:type="dxa"/>
            <w:vAlign w:val="bottom"/>
          </w:tcPr>
          <w:p>
            <w:pPr>
              <w:spacing w:after="0"/>
              <w:rPr>
                <w:sz w:val="1"/>
                <w:szCs w:val="1"/>
                <w:color w:val="auto"/>
              </w:rPr>
            </w:pPr>
          </w:p>
        </w:tc>
      </w:tr>
      <w:tr>
        <w:trPr>
          <w:trHeight w:val="135"/>
        </w:trPr>
        <w:tc>
          <w:tcPr>
            <w:tcW w:w="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withholdings</w:t>
            </w:r>
          </w:p>
        </w:tc>
        <w:tc>
          <w:tcPr>
            <w:tcW w:w="840" w:type="dxa"/>
            <w:vAlign w:val="bottom"/>
            <w:tcBorders>
              <w:right w:val="single" w:sz="8" w:color="CFF0FC"/>
            </w:tcBorders>
            <w:vMerge w:val="continue"/>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vMerge w:val="continue"/>
            <w:shd w:val="clear" w:color="auto" w:fill="CFF0FC"/>
          </w:tcPr>
          <w:p>
            <w:pPr>
              <w:spacing w:after="0"/>
              <w:rPr>
                <w:sz w:val="11"/>
                <w:szCs w:val="11"/>
                <w:color w:val="auto"/>
              </w:rPr>
            </w:pPr>
          </w:p>
        </w:tc>
        <w:tc>
          <w:tcPr>
            <w:tcW w:w="120" w:type="dxa"/>
            <w:vAlign w:val="bottom"/>
            <w:tcBorders>
              <w:right w:val="single" w:sz="8" w:color="CFF0FC"/>
            </w:tcBorders>
            <w:vMerge w:val="continue"/>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700" w:type="dxa"/>
            <w:vAlign w:val="bottom"/>
            <w:tcBorders>
              <w:right w:val="single" w:sz="8" w:color="CFF0FC"/>
            </w:tcBorders>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20" w:type="dxa"/>
            <w:vAlign w:val="bottom"/>
            <w:gridSpan w:val="3"/>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tcBorders>
              <w:right w:val="single" w:sz="8" w:color="CFF0FC"/>
            </w:tcBorders>
            <w:vMerge w:val="continue"/>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tcBorders>
              <w:right w:val="single" w:sz="8" w:color="CFF0FC"/>
            </w:tcBorders>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2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Balance at April</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227,478</w:t>
            </w:r>
          </w:p>
        </w:tc>
        <w:tc>
          <w:tcPr>
            <w:tcW w:w="14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37,791</w:t>
            </w:r>
          </w:p>
        </w:tc>
        <w:tc>
          <w:tcPr>
            <w:tcW w:w="80" w:type="dxa"/>
            <w:vAlign w:val="bottom"/>
            <w:vMerge w:val="restart"/>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265</w:t>
            </w:r>
          </w:p>
        </w:tc>
        <w:tc>
          <w:tcPr>
            <w:tcW w:w="10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2,143,505</w:t>
            </w:r>
          </w:p>
        </w:tc>
        <w:tc>
          <w:tcPr>
            <w:tcW w:w="10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166,859</w:t>
            </w:r>
          </w:p>
        </w:tc>
        <w:tc>
          <w:tcPr>
            <w:tcW w:w="120" w:type="dxa"/>
            <w:vAlign w:val="bottom"/>
            <w:vMerge w:val="restart"/>
          </w:tcPr>
          <w:p>
            <w:pPr>
              <w:spacing w:after="0"/>
              <w:rPr>
                <w:sz w:val="9"/>
                <w:szCs w:val="9"/>
                <w:color w:val="auto"/>
              </w:rPr>
            </w:pPr>
          </w:p>
        </w:tc>
        <w:tc>
          <w:tcPr>
            <w:tcW w:w="1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9"/>
                <w:szCs w:val="9"/>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(3,836 )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1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2,306,793</w:t>
            </w:r>
          </w:p>
        </w:tc>
        <w:tc>
          <w:tcPr>
            <w:tcW w:w="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(19,086 )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9"/>
              </w:rPr>
              <w:t>2,287,707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b w:val="1"/>
                <w:bCs w:val="1"/>
                <w:color w:val="auto"/>
              </w:rPr>
              <w:t>30, 2022</w:t>
            </w:r>
          </w:p>
        </w:tc>
        <w:tc>
          <w:tcPr>
            <w:tcW w:w="8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0" w:type="dxa"/>
            <w:vAlign w:val="bottom"/>
            <w:tcBorders>
              <w:right w:val="single" w:sz="8" w:color="CFF0FC"/>
            </w:tcBorders>
            <w:shd w:val="clear" w:color="auto" w:fill="CFF0FC"/>
          </w:tcPr>
          <w:p>
            <w:pPr>
              <w:ind w:left="20"/>
              <w:spacing w:after="0" w:line="102" w:lineRule="exact"/>
              <w:rPr>
                <w:sz w:val="20"/>
                <w:szCs w:val="20"/>
                <w:color w:val="auto"/>
              </w:rPr>
            </w:pPr>
            <w:r>
              <w:rPr>
                <w:rFonts w:ascii="Times New Roman" w:cs="Times New Roman" w:eastAsia="Times New Roman" w:hAnsi="Times New Roman"/>
                <w:sz w:val="11"/>
                <w:szCs w:val="11"/>
                <w:color w:val="auto"/>
              </w:rPr>
              <w:t>Equity-based</w:t>
            </w:r>
          </w:p>
        </w:tc>
        <w:tc>
          <w:tcPr>
            <w:tcW w:w="840" w:type="dxa"/>
            <w:vAlign w:val="bottom"/>
            <w:tcBorders>
              <w:right w:val="single" w:sz="8" w:color="CFF0FC"/>
            </w:tcBorders>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780" w:type="dxa"/>
            <w:vAlign w:val="bottom"/>
            <w:tcBorders>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tcBorders>
              <w:lef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14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60" w:type="dxa"/>
            <w:vAlign w:val="bottom"/>
            <w:tcBorders>
              <w:right w:val="single" w:sz="8" w:color="CFF0FC"/>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2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expense</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(Note 5)</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13,422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13,422</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13,456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82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Foreign currency</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Borders>
              <w:right w:val="single" w:sz="8" w:color="CFF0FC"/>
            </w:tcBorders>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adjustment, net</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of tax</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(775 )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(775 )</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(775 )</w:t>
            </w:r>
          </w:p>
        </w:tc>
        <w:tc>
          <w:tcPr>
            <w:tcW w:w="0" w:type="dxa"/>
            <w:vAlign w:val="bottom"/>
          </w:tcPr>
          <w:p>
            <w:pPr>
              <w:spacing w:after="0"/>
              <w:rPr>
                <w:sz w:val="1"/>
                <w:szCs w:val="1"/>
                <w:color w:val="auto"/>
              </w:rPr>
            </w:pPr>
          </w:p>
        </w:tc>
      </w:tr>
      <w:tr>
        <w:trPr>
          <w:trHeight w:val="121"/>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Investment in</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veterinary joint</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venture</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1)</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13"/>
              <w:spacing w:after="0"/>
              <w:rPr>
                <w:sz w:val="20"/>
                <w:szCs w:val="20"/>
                <w:color w:val="auto"/>
              </w:rPr>
            </w:pPr>
            <w:r>
              <w:rPr>
                <w:rFonts w:ascii="Times New Roman" w:cs="Times New Roman" w:eastAsia="Times New Roman" w:hAnsi="Times New Roman"/>
                <w:sz w:val="11"/>
                <w:szCs w:val="11"/>
                <w:color w:val="auto"/>
              </w:rPr>
              <w:t>(54,086 )</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(54,086 )</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(35,000 )</w:t>
            </w:r>
          </w:p>
        </w:tc>
        <w:tc>
          <w:tcPr>
            <w:tcW w:w="0" w:type="dxa"/>
            <w:vAlign w:val="bottom"/>
          </w:tcPr>
          <w:p>
            <w:pPr>
              <w:spacing w:after="0"/>
              <w:rPr>
                <w:sz w:val="1"/>
                <w:szCs w:val="1"/>
                <w:color w:val="auto"/>
              </w:rPr>
            </w:pPr>
          </w:p>
        </w:tc>
      </w:tr>
      <w:tr>
        <w:trPr>
          <w:trHeight w:val="126"/>
        </w:trPr>
        <w:tc>
          <w:tcPr>
            <w:tcW w:w="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common stock,</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Borders>
              <w:right w:val="single" w:sz="8" w:color="CFF0FC"/>
            </w:tcBorders>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w:t>
            </w:r>
          </w:p>
        </w:tc>
        <w:tc>
          <w:tcPr>
            <w:tcW w:w="8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vMerge w:val="restart"/>
            <w:shd w:val="clear" w:color="auto" w:fill="CFF0FC"/>
          </w:tcPr>
          <w:p>
            <w:pPr>
              <w:spacing w:after="0"/>
              <w:rPr>
                <w:sz w:val="10"/>
                <w:szCs w:val="10"/>
                <w:color w:val="auto"/>
              </w:rPr>
            </w:pPr>
          </w:p>
        </w:tc>
        <w:tc>
          <w:tcPr>
            <w:tcW w:w="140" w:type="dxa"/>
            <w:vAlign w:val="bottom"/>
            <w:vMerge w:val="restart"/>
            <w:shd w:val="clear" w:color="auto" w:fill="CFF0FC"/>
          </w:tcPr>
          <w:p>
            <w:pPr>
              <w:spacing w:after="0"/>
              <w:rPr>
                <w:sz w:val="10"/>
                <w:szCs w:val="10"/>
                <w:color w:val="auto"/>
              </w:rPr>
            </w:pPr>
          </w:p>
        </w:tc>
        <w:tc>
          <w:tcPr>
            <w:tcW w:w="70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tcBorders>
              <w:right w:val="single" w:sz="8" w:color="CFF0FC"/>
            </w:tcBorders>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336</w:t>
            </w: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CFF0FC"/>
            </w:tcBorders>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withholdings</w:t>
            </w:r>
          </w:p>
        </w:tc>
        <w:tc>
          <w:tcPr>
            <w:tcW w:w="84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CFF0FC"/>
              <w:right w:val="single" w:sz="8" w:color="CFF0FC"/>
            </w:tcBorders>
            <w:shd w:val="clear" w:color="auto" w:fill="CFF0FC"/>
          </w:tcPr>
          <w:p>
            <w:pPr>
              <w:spacing w:after="0"/>
              <w:rPr>
                <w:sz w:val="11"/>
                <w:szCs w:val="11"/>
                <w:color w:val="auto"/>
              </w:rPr>
            </w:pPr>
          </w:p>
        </w:tc>
        <w:tc>
          <w:tcPr>
            <w:tcW w:w="78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auto"/>
            </w:tcBorders>
            <w:vMerge w:val="continue"/>
            <w:shd w:val="clear" w:color="auto" w:fill="CFF0FC"/>
          </w:tcPr>
          <w:p>
            <w:pPr>
              <w:spacing w:after="0"/>
              <w:rPr>
                <w:sz w:val="11"/>
                <w:szCs w:val="11"/>
                <w:color w:val="auto"/>
              </w:rPr>
            </w:pPr>
          </w:p>
        </w:tc>
        <w:tc>
          <w:tcPr>
            <w:tcW w:w="700" w:type="dxa"/>
            <w:vAlign w:val="bottom"/>
            <w:tcBorders>
              <w:bottom w:val="single" w:sz="8" w:color="auto"/>
              <w:right w:val="single" w:sz="8" w:color="CFF0FC"/>
            </w:tcBorders>
            <w:gridSpan w:val="2"/>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right w:val="single" w:sz="8" w:color="CFF0FC"/>
            </w:tcBorders>
            <w:gridSpan w:val="2"/>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right w:val="single" w:sz="8" w:color="CFF0FC"/>
            </w:tcBorders>
            <w:gridSpan w:val="2"/>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left w:val="single" w:sz="8" w:color="CFF0FC"/>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82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Balance at July</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227,909</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37,791</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2,103,176</w:t>
            </w:r>
          </w:p>
        </w:tc>
        <w:tc>
          <w:tcPr>
            <w:tcW w:w="10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180,315</w:t>
            </w:r>
          </w:p>
        </w:tc>
        <w:tc>
          <w:tcPr>
            <w:tcW w:w="26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(4,611 )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1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2,279,146</w:t>
            </w:r>
          </w:p>
        </w:tc>
        <w:tc>
          <w:tcPr>
            <w:tcW w:w="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9"/>
              </w:rPr>
              <w:t>2,279,146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b w:val="1"/>
                <w:bCs w:val="1"/>
                <w:color w:val="auto"/>
              </w:rPr>
              <w:t>30, 2022</w:t>
            </w:r>
          </w:p>
        </w:tc>
        <w:tc>
          <w:tcPr>
            <w:tcW w:w="84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0" w:type="dxa"/>
            <w:vAlign w:val="bottom"/>
            <w:tcBorders>
              <w:right w:val="single" w:sz="8" w:color="CFF0FC"/>
            </w:tcBorders>
            <w:shd w:val="clear" w:color="auto" w:fill="CFF0FC"/>
          </w:tcPr>
          <w:p>
            <w:pPr>
              <w:ind w:left="20"/>
              <w:spacing w:after="0" w:line="102" w:lineRule="exact"/>
              <w:rPr>
                <w:sz w:val="20"/>
                <w:szCs w:val="20"/>
                <w:color w:val="auto"/>
              </w:rPr>
            </w:pPr>
            <w:r>
              <w:rPr>
                <w:rFonts w:ascii="Times New Roman" w:cs="Times New Roman" w:eastAsia="Times New Roman" w:hAnsi="Times New Roman"/>
                <w:sz w:val="11"/>
                <w:szCs w:val="11"/>
                <w:color w:val="auto"/>
              </w:rPr>
              <w:t>Equity-based</w:t>
            </w:r>
          </w:p>
        </w:tc>
        <w:tc>
          <w:tcPr>
            <w:tcW w:w="840" w:type="dxa"/>
            <w:vAlign w:val="bottom"/>
            <w:tcBorders>
              <w:right w:val="single" w:sz="8" w:color="CFF0FC"/>
            </w:tcBorders>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780" w:type="dxa"/>
            <w:vAlign w:val="bottom"/>
            <w:tcBorders>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tcBorders>
              <w:lef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14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60" w:type="dxa"/>
            <w:vAlign w:val="bottom"/>
            <w:tcBorders>
              <w:right w:val="single" w:sz="8" w:color="CFF0FC"/>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2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expense</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(Note 5)</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16,069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16,069</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19,920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82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Foreign currency</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Borders>
              <w:right w:val="single" w:sz="8" w:color="CFF0FC"/>
            </w:tcBorders>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adjustment, net</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of tax</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10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89</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Deferred tax</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effect of</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investment</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in veterinary</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joint venture</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(Note 1)</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12,807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common stock,</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Borders>
              <w:right w:val="single" w:sz="8" w:color="CFF0FC"/>
            </w:tcBorders>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w:t>
            </w:r>
          </w:p>
        </w:tc>
        <w:tc>
          <w:tcPr>
            <w:tcW w:w="8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40" w:type="dxa"/>
            <w:vAlign w:val="bottom"/>
            <w:tcBorders>
              <w:right w:val="single" w:sz="8" w:color="CFF0FC"/>
            </w:tcBorders>
            <w:shd w:val="clear" w:color="auto" w:fill="CFF0FC"/>
          </w:tcPr>
          <w:p>
            <w:pPr>
              <w:spacing w:after="0"/>
              <w:rPr>
                <w:sz w:val="10"/>
                <w:szCs w:val="10"/>
                <w:color w:val="auto"/>
              </w:rPr>
            </w:pPr>
          </w:p>
        </w:tc>
        <w:tc>
          <w:tcPr>
            <w:tcW w:w="1040" w:type="dxa"/>
            <w:vAlign w:val="bottom"/>
            <w:gridSpan w:val="3"/>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tcBorders>
              <w:right w:val="single" w:sz="8" w:color="CFF0FC"/>
            </w:tcBorders>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gridSpan w:val="3"/>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rPr>
              <w:t>(122 )</w:t>
            </w:r>
          </w:p>
        </w:tc>
        <w:tc>
          <w:tcPr>
            <w:tcW w:w="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(122 )</w:t>
            </w: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(122 )</w:t>
            </w:r>
          </w:p>
        </w:tc>
        <w:tc>
          <w:tcPr>
            <w:tcW w:w="0" w:type="dxa"/>
            <w:vAlign w:val="bottom"/>
          </w:tcPr>
          <w:p>
            <w:pPr>
              <w:spacing w:after="0"/>
              <w:rPr>
                <w:sz w:val="1"/>
                <w:szCs w:val="1"/>
                <w:color w:val="auto"/>
              </w:rPr>
            </w:pPr>
          </w:p>
        </w:tc>
      </w:tr>
      <w:tr>
        <w:trPr>
          <w:trHeight w:val="135"/>
        </w:trPr>
        <w:tc>
          <w:tcPr>
            <w:tcW w:w="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withholdings</w:t>
            </w:r>
          </w:p>
        </w:tc>
        <w:tc>
          <w:tcPr>
            <w:tcW w:w="840" w:type="dxa"/>
            <w:vAlign w:val="bottom"/>
            <w:tcBorders>
              <w:right w:val="single" w:sz="8" w:color="CFF0FC"/>
            </w:tcBorders>
            <w:vMerge w:val="continue"/>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40" w:type="dxa"/>
            <w:vAlign w:val="bottom"/>
            <w:gridSpan w:val="3"/>
            <w:vMerge w:val="continue"/>
            <w:shd w:val="clear" w:color="auto" w:fill="CFF0FC"/>
          </w:tcPr>
          <w:p>
            <w:pPr>
              <w:spacing w:after="0"/>
              <w:rPr>
                <w:sz w:val="11"/>
                <w:szCs w:val="11"/>
                <w:color w:val="auto"/>
              </w:rPr>
            </w:pPr>
          </w:p>
        </w:tc>
        <w:tc>
          <w:tcPr>
            <w:tcW w:w="700" w:type="dxa"/>
            <w:vAlign w:val="bottom"/>
            <w:tcBorders>
              <w:right w:val="single" w:sz="8" w:color="CFF0FC"/>
            </w:tcBorders>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20" w:type="dxa"/>
            <w:vAlign w:val="bottom"/>
            <w:gridSpan w:val="3"/>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tcBorders>
              <w:right w:val="single" w:sz="8" w:color="CFF0FC"/>
            </w:tcBorders>
            <w:vMerge w:val="continue"/>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tcBorders>
              <w:right w:val="single" w:sz="8" w:color="CFF0FC"/>
            </w:tcBorders>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820" w:type="dxa"/>
            <w:vAlign w:val="bottom"/>
            <w:tcBorders>
              <w:top w:val="single" w:sz="8" w:color="CFF0FC"/>
            </w:tcBorders>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8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October 29,</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227,943</w:t>
            </w:r>
          </w:p>
        </w:tc>
        <w:tc>
          <w:tcPr>
            <w:tcW w:w="14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37,791</w:t>
            </w:r>
          </w:p>
        </w:tc>
        <w:tc>
          <w:tcPr>
            <w:tcW w:w="80" w:type="dxa"/>
            <w:vAlign w:val="bottom"/>
            <w:vMerge w:val="restart"/>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2,131,930</w:t>
            </w:r>
          </w:p>
        </w:tc>
        <w:tc>
          <w:tcPr>
            <w:tcW w:w="10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200,235</w:t>
            </w:r>
          </w:p>
        </w:tc>
        <w:tc>
          <w:tcPr>
            <w:tcW w:w="120" w:type="dxa"/>
            <w:vAlign w:val="bottom"/>
            <w:vMerge w:val="restart"/>
          </w:tcPr>
          <w:p>
            <w:pPr>
              <w:spacing w:after="0"/>
              <w:rPr>
                <w:sz w:val="10"/>
                <w:szCs w:val="10"/>
                <w:color w:val="auto"/>
              </w:rPr>
            </w:pPr>
          </w:p>
        </w:tc>
        <w:tc>
          <w:tcPr>
            <w:tcW w:w="1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(4,522 )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2,327,909</w:t>
            </w:r>
          </w:p>
        </w:tc>
        <w:tc>
          <w:tcPr>
            <w:tcW w:w="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9"/>
              </w:rPr>
              <w:t>2,327,909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b w:val="1"/>
                <w:bCs w:val="1"/>
                <w:color w:val="auto"/>
              </w:rPr>
              <w:t>2022</w:t>
            </w:r>
          </w:p>
        </w:tc>
        <w:tc>
          <w:tcPr>
            <w:tcW w:w="8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84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b w:val="1"/>
                <w:bCs w:val="1"/>
                <w:color w:val="auto"/>
              </w:rPr>
              <w:t>Class</w:t>
            </w:r>
          </w:p>
        </w:tc>
        <w:tc>
          <w:tcPr>
            <w:tcW w:w="140" w:type="dxa"/>
            <w:vAlign w:val="bottom"/>
          </w:tcPr>
          <w:p>
            <w:pPr>
              <w:spacing w:after="0"/>
              <w:rPr>
                <w:sz w:val="10"/>
                <w:szCs w:val="10"/>
                <w:color w:val="auto"/>
              </w:rPr>
            </w:pPr>
          </w:p>
        </w:tc>
        <w:tc>
          <w:tcPr>
            <w:tcW w:w="1040" w:type="dxa"/>
            <w:vAlign w:val="bottom"/>
            <w:gridSpan w:val="3"/>
          </w:tcPr>
          <w:p>
            <w:pPr>
              <w:jc w:val="center"/>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Class</w:t>
            </w:r>
          </w:p>
        </w:tc>
        <w:tc>
          <w:tcPr>
            <w:tcW w:w="7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840" w:type="dxa"/>
            <w:vAlign w:val="bottom"/>
          </w:tcPr>
          <w:p>
            <w:pPr>
              <w:jc w:val="right"/>
              <w:ind w:right="366"/>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140" w:type="dxa"/>
            <w:vAlign w:val="bottom"/>
          </w:tcPr>
          <w:p>
            <w:pPr>
              <w:spacing w:after="0"/>
              <w:rPr>
                <w:sz w:val="10"/>
                <w:szCs w:val="10"/>
                <w:color w:val="auto"/>
              </w:rPr>
            </w:pPr>
          </w:p>
        </w:tc>
        <w:tc>
          <w:tcPr>
            <w:tcW w:w="1040" w:type="dxa"/>
            <w:vAlign w:val="bottom"/>
            <w:gridSpan w:val="3"/>
          </w:tcPr>
          <w:p>
            <w:pPr>
              <w:jc w:val="center"/>
              <w:ind w:right="4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7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deficit) retained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1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40" w:type="dxa"/>
            <w:vAlign w:val="bottom"/>
          </w:tcPr>
          <w:p>
            <w:pPr>
              <w:spacing w:after="0"/>
              <w:rPr>
                <w:sz w:val="12"/>
                <w:szCs w:val="12"/>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80" w:type="dxa"/>
            <w:vAlign w:val="bottom"/>
          </w:tcPr>
          <w:p>
            <w:pPr>
              <w:spacing w:after="0"/>
              <w:rPr>
                <w:sz w:val="12"/>
                <w:szCs w:val="12"/>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earnings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0" w:type="dxa"/>
            <w:vAlign w:val="bottom"/>
          </w:tcPr>
          <w:p>
            <w:pPr>
              <w:spacing w:after="0"/>
              <w:rPr>
                <w:sz w:val="1"/>
                <w:szCs w:val="1"/>
                <w:color w:val="auto"/>
              </w:rPr>
            </w:pPr>
          </w:p>
        </w:tc>
      </w:tr>
      <w:tr>
        <w:trPr>
          <w:trHeight w:val="117"/>
        </w:trPr>
        <w:tc>
          <w:tcPr>
            <w:tcW w:w="820" w:type="dxa"/>
            <w:vAlign w:val="bottom"/>
            <w:tcBorders>
              <w:right w:val="single" w:sz="8" w:color="CFF0FC"/>
            </w:tcBorders>
            <w:shd w:val="clear" w:color="auto" w:fill="CFF0FC"/>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840" w:type="dxa"/>
            <w:vAlign w:val="bottom"/>
            <w:tcBorders>
              <w:top w:val="single" w:sz="8" w:color="auto"/>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top w:val="single" w:sz="8" w:color="auto"/>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140" w:type="dxa"/>
            <w:vAlign w:val="bottom"/>
            <w:tcBorders>
              <w:top w:val="single" w:sz="8" w:color="auto"/>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060" w:type="dxa"/>
            <w:vAlign w:val="bottom"/>
            <w:tcBorders>
              <w:top w:val="single" w:sz="8" w:color="auto"/>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Borders>
              <w:right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January 30,</w:t>
            </w:r>
          </w:p>
        </w:tc>
        <w:tc>
          <w:tcPr>
            <w:tcW w:w="84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2,055,26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2021</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226,424</w:t>
            </w:r>
          </w:p>
        </w:tc>
        <w:tc>
          <w:tcPr>
            <w:tcW w:w="920" w:type="dxa"/>
            <w:vAlign w:val="bottom"/>
            <w:tcBorders>
              <w:right w:val="single" w:sz="8" w:color="CFF0FC"/>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37,791</w:t>
            </w:r>
          </w:p>
        </w:tc>
        <w:tc>
          <w:tcPr>
            <w:tcW w:w="1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1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2,092,110</w:t>
            </w:r>
          </w:p>
        </w:tc>
        <w:tc>
          <w:tcPr>
            <w:tcW w:w="1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shd w:val="clear" w:color="auto" w:fill="CFF0FC"/>
          </w:tcPr>
          <w:p>
            <w:pPr>
              <w:spacing w:after="0"/>
              <w:rPr>
                <w:sz w:val="13"/>
                <w:szCs w:val="13"/>
                <w:color w:val="auto"/>
              </w:rPr>
            </w:pPr>
          </w:p>
        </w:tc>
        <w:tc>
          <w:tcPr>
            <w:tcW w:w="11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(22,251 )  $</w:t>
            </w:r>
          </w:p>
        </w:tc>
        <w:tc>
          <w:tcPr>
            <w:tcW w:w="13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(1,275 )  $</w:t>
            </w:r>
          </w:p>
        </w:tc>
        <w:tc>
          <w:tcPr>
            <w:tcW w:w="114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2,068,848</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(13,583 )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Equity-based</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expense</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5)</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11,604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104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tcBorders>
              <w:right w:val="single" w:sz="8" w:color="CFF0FC"/>
            </w:tcBorders>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7,560</w:t>
            </w:r>
          </w:p>
        </w:tc>
        <w:tc>
          <w:tcPr>
            <w:tcW w:w="140" w:type="dxa"/>
            <w:vAlign w:val="bottom"/>
            <w:tcBorders>
              <w:lef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7,560</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(1,411 )</w:t>
            </w: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-4791075</wp:posOffset>
            </wp:positionV>
            <wp:extent cx="7747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-4791075</wp:posOffset>
            </wp:positionV>
            <wp:extent cx="7747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-4791075</wp:posOffset>
            </wp:positionV>
            <wp:extent cx="7683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-4791075</wp:posOffset>
            </wp:positionV>
            <wp:extent cx="7747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-4791075</wp:posOffset>
            </wp:positionV>
            <wp:extent cx="6858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-4791075</wp:posOffset>
            </wp:positionV>
            <wp:extent cx="6858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-4791075</wp:posOffset>
            </wp:positionV>
            <wp:extent cx="6858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-4791075</wp:posOffset>
            </wp:positionV>
            <wp:extent cx="6858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-4791075</wp:posOffset>
            </wp:positionV>
            <wp:extent cx="685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-4791075</wp:posOffset>
            </wp:positionV>
            <wp:extent cx="6858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-3222625</wp:posOffset>
            </wp:positionV>
            <wp:extent cx="7747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-3222625</wp:posOffset>
            </wp:positionV>
            <wp:extent cx="7747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-3222625</wp:posOffset>
            </wp:positionV>
            <wp:extent cx="76835"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-3222625</wp:posOffset>
            </wp:positionV>
            <wp:extent cx="7747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-3222625</wp:posOffset>
            </wp:positionV>
            <wp:extent cx="6858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-3222625</wp:posOffset>
            </wp:positionV>
            <wp:extent cx="6858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-3222625</wp:posOffset>
            </wp:positionV>
            <wp:extent cx="685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-3222625</wp:posOffset>
            </wp:positionV>
            <wp:extent cx="685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-3222625</wp:posOffset>
            </wp:positionV>
            <wp:extent cx="6858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-1499235</wp:posOffset>
            </wp:positionV>
            <wp:extent cx="77470"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-1499235</wp:posOffset>
            </wp:positionV>
            <wp:extent cx="77470" cy="257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-1499235</wp:posOffset>
            </wp:positionV>
            <wp:extent cx="76835" cy="257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-1499235</wp:posOffset>
            </wp:positionV>
            <wp:extent cx="77470" cy="257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-1499235</wp:posOffset>
            </wp:positionV>
            <wp:extent cx="68580"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-1499235</wp:posOffset>
            </wp:positionV>
            <wp:extent cx="68580" cy="257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-1499235</wp:posOffset>
            </wp:positionV>
            <wp:extent cx="68580" cy="257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-1499235</wp:posOffset>
            </wp:positionV>
            <wp:extent cx="68580"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-1499235</wp:posOffset>
            </wp:positionV>
            <wp:extent cx="68580" cy="257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25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5717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adjustment, net</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of tax</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(786 )</w:t>
            </w:r>
          </w:p>
        </w:tc>
        <w:tc>
          <w:tcPr>
            <w:tcW w:w="42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(786 )</w:t>
            </w:r>
          </w:p>
        </w:tc>
        <w:tc>
          <w:tcPr>
            <w:tcW w:w="4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(786 )</w:t>
            </w:r>
          </w:p>
        </w:tc>
        <w:tc>
          <w:tcPr>
            <w:tcW w:w="0" w:type="dxa"/>
            <w:vAlign w:val="bottom"/>
          </w:tcPr>
          <w:p>
            <w:pPr>
              <w:spacing w:after="0"/>
              <w:rPr>
                <w:sz w:val="1"/>
                <w:szCs w:val="1"/>
                <w:color w:val="auto"/>
              </w:rPr>
            </w:pPr>
          </w:p>
        </w:tc>
      </w:tr>
      <w:tr>
        <w:trPr>
          <w:trHeight w:val="126"/>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w:t>
            </w: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restricted stock</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awards</w:t>
            </w:r>
          </w:p>
        </w:tc>
        <w:tc>
          <w:tcPr>
            <w:tcW w:w="82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900" w:type="dxa"/>
            <w:vAlign w:val="bottom"/>
            <w:gridSpan w:val="2"/>
            <w:vMerge w:val="continue"/>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800" w:type="dxa"/>
            <w:vAlign w:val="bottom"/>
            <w:tcBorders>
              <w:top w:val="single" w:sz="8" w:color="CFF0FC"/>
            </w:tcBorders>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Balance at May</w:t>
            </w:r>
          </w:p>
        </w:tc>
        <w:tc>
          <w:tcPr>
            <w:tcW w:w="82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2,072,23</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1, 2021</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226,479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2,103,714</w:t>
            </w:r>
          </w:p>
        </w:tc>
        <w:tc>
          <w:tcPr>
            <w:tcW w:w="12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(14,691 )</w:t>
            </w:r>
          </w:p>
        </w:tc>
        <w:tc>
          <w:tcPr>
            <w:tcW w:w="4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(2,061 )</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2,087,226</w:t>
            </w:r>
          </w:p>
        </w:tc>
        <w:tc>
          <w:tcPr>
            <w:tcW w:w="100" w:type="dxa"/>
            <w:vAlign w:val="bottom"/>
          </w:tcPr>
          <w:p>
            <w:pPr>
              <w:spacing w:after="0"/>
              <w:rPr>
                <w:sz w:val="12"/>
                <w:szCs w:val="12"/>
                <w:color w:val="auto"/>
              </w:rPr>
            </w:pPr>
          </w:p>
        </w:tc>
        <w:tc>
          <w:tcPr>
            <w:tcW w:w="4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(14,994 )</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800" w:type="dxa"/>
            <w:vAlign w:val="bottom"/>
            <w:shd w:val="clear" w:color="auto" w:fill="CFF0FC"/>
          </w:tcPr>
          <w:p>
            <w:pPr>
              <w:ind w:left="20"/>
              <w:spacing w:after="0" w:line="106" w:lineRule="exact"/>
              <w:rPr>
                <w:sz w:val="20"/>
                <w:szCs w:val="20"/>
                <w:color w:val="auto"/>
              </w:rPr>
            </w:pPr>
            <w:r>
              <w:rPr>
                <w:rFonts w:ascii="Times New Roman" w:cs="Times New Roman" w:eastAsia="Times New Roman" w:hAnsi="Times New Roman"/>
                <w:sz w:val="11"/>
                <w:szCs w:val="11"/>
                <w:color w:val="auto"/>
              </w:rPr>
              <w:t>Equity-based</w:t>
            </w:r>
          </w:p>
        </w:tc>
        <w:tc>
          <w:tcPr>
            <w:tcW w:w="8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expense</w:t>
            </w: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(Note 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11,506</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11,506</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75,111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75,111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(256 )</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8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Foreign currency</w:t>
            </w: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adjustment, net</w:t>
            </w: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of tax</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8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Balance at July</w:t>
            </w:r>
          </w:p>
        </w:tc>
        <w:tc>
          <w:tcPr>
            <w:tcW w:w="82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8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1"/>
                <w:szCs w:val="11"/>
                <w:color w:val="auto"/>
              </w:rPr>
              <w:t>2,159,38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31, 2021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226,491</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2,115,220</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60,420</w:t>
            </w: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(1,272 )</w:t>
            </w: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2,174,632</w:t>
            </w: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(15,250 )</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800" w:type="dxa"/>
            <w:vAlign w:val="bottom"/>
            <w:tcBorders>
              <w:top w:val="single" w:sz="8" w:color="CFF0FC"/>
            </w:tcBorders>
          </w:tcPr>
          <w:p>
            <w:pPr>
              <w:ind w:left="20"/>
              <w:spacing w:after="0" w:line="106" w:lineRule="exact"/>
              <w:rPr>
                <w:sz w:val="20"/>
                <w:szCs w:val="20"/>
                <w:color w:val="auto"/>
              </w:rPr>
            </w:pPr>
            <w:r>
              <w:rPr>
                <w:rFonts w:ascii="Times New Roman" w:cs="Times New Roman" w:eastAsia="Times New Roman" w:hAnsi="Times New Roman"/>
                <w:sz w:val="11"/>
                <w:szCs w:val="11"/>
                <w:color w:val="auto"/>
              </w:rPr>
              <w:t>Equity-based</w:t>
            </w:r>
          </w:p>
        </w:tc>
        <w:tc>
          <w:tcPr>
            <w:tcW w:w="82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expense</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5)</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11,087</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11,087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52,752</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52,752</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(1,239 )</w:t>
            </w: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51,513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Foreign currency</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adjustment, net</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of tax</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(1,056 )</w:t>
            </w:r>
          </w:p>
        </w:tc>
        <w:tc>
          <w:tcPr>
            <w:tcW w:w="42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(1,056 )</w:t>
            </w:r>
          </w:p>
        </w:tc>
        <w:tc>
          <w:tcPr>
            <w:tcW w:w="4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(1,056 )</w:t>
            </w:r>
          </w:p>
        </w:tc>
        <w:tc>
          <w:tcPr>
            <w:tcW w:w="0" w:type="dxa"/>
            <w:vAlign w:val="bottom"/>
          </w:tcPr>
          <w:p>
            <w:pPr>
              <w:spacing w:after="0"/>
              <w:rPr>
                <w:sz w:val="1"/>
                <w:szCs w:val="1"/>
                <w:color w:val="auto"/>
              </w:rPr>
            </w:pPr>
          </w:p>
        </w:tc>
      </w:tr>
      <w:tr>
        <w:trPr>
          <w:trHeight w:val="126"/>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w:t>
            </w: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common stock,</w:t>
            </w: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4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(13 )</w:t>
            </w:r>
          </w:p>
        </w:tc>
        <w:tc>
          <w:tcPr>
            <w:tcW w:w="4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withholdings</w:t>
            </w:r>
          </w:p>
        </w:tc>
        <w:tc>
          <w:tcPr>
            <w:tcW w:w="82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900" w:type="dxa"/>
            <w:vAlign w:val="bottom"/>
            <w:gridSpan w:val="2"/>
            <w:vMerge w:val="continue"/>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800" w:type="dxa"/>
            <w:vAlign w:val="bottom"/>
            <w:tcBorders>
              <w:top w:val="single" w:sz="8" w:color="CFF0FC"/>
            </w:tcBorders>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82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2,220,91</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800" w:type="dxa"/>
            <w:vAlign w:val="bottom"/>
            <w:vMerge w:val="restart"/>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October 30,</w:t>
            </w: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800" w:type="dxa"/>
            <w:vAlign w:val="bottom"/>
            <w:vMerge w:val="continue"/>
          </w:tcPr>
          <w:p>
            <w:pPr>
              <w:spacing w:after="0"/>
              <w:rPr>
                <w:sz w:val="3"/>
                <w:szCs w:val="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226,492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2,126,294</w:t>
            </w:r>
          </w:p>
        </w:tc>
        <w:tc>
          <w:tcPr>
            <w:tcW w:w="120" w:type="dxa"/>
            <w:vAlign w:val="bottom"/>
          </w:tcPr>
          <w:p>
            <w:pPr>
              <w:spacing w:after="0"/>
              <w:rPr>
                <w:sz w:val="3"/>
                <w:szCs w:val="3"/>
                <w:color w:val="auto"/>
              </w:rPr>
            </w:pPr>
          </w:p>
        </w:tc>
        <w:tc>
          <w:tcPr>
            <w:tcW w:w="420" w:type="dxa"/>
            <w:vAlign w:val="bottom"/>
            <w:vMerge w:val="restart"/>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113,172</w:t>
            </w:r>
          </w:p>
        </w:tc>
        <w:tc>
          <w:tcPr>
            <w:tcW w:w="100" w:type="dxa"/>
            <w:vAlign w:val="bottom"/>
          </w:tcPr>
          <w:p>
            <w:pPr>
              <w:spacing w:after="0"/>
              <w:rPr>
                <w:sz w:val="3"/>
                <w:szCs w:val="3"/>
                <w:color w:val="auto"/>
              </w:rPr>
            </w:pPr>
          </w:p>
        </w:tc>
        <w:tc>
          <w:tcPr>
            <w:tcW w:w="460" w:type="dxa"/>
            <w:vAlign w:val="bottom"/>
            <w:vMerge w:val="restart"/>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(2,328 )</w:t>
            </w:r>
          </w:p>
        </w:tc>
        <w:tc>
          <w:tcPr>
            <w:tcW w:w="420" w:type="dxa"/>
            <w:vAlign w:val="bottom"/>
            <w:vMerge w:val="restart"/>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2,237,402</w:t>
            </w:r>
          </w:p>
        </w:tc>
        <w:tc>
          <w:tcPr>
            <w:tcW w:w="100" w:type="dxa"/>
            <w:vAlign w:val="bottom"/>
          </w:tcPr>
          <w:p>
            <w:pPr>
              <w:spacing w:after="0"/>
              <w:rPr>
                <w:sz w:val="3"/>
                <w:szCs w:val="3"/>
                <w:color w:val="auto"/>
              </w:rPr>
            </w:pPr>
          </w:p>
        </w:tc>
        <w:tc>
          <w:tcPr>
            <w:tcW w:w="480" w:type="dxa"/>
            <w:vAlign w:val="bottom"/>
            <w:vMerge w:val="restart"/>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(16,489 )</w:t>
            </w:r>
          </w:p>
        </w:tc>
        <w:tc>
          <w:tcPr>
            <w:tcW w:w="1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0"/>
        </w:trPr>
        <w:tc>
          <w:tcPr>
            <w:tcW w:w="80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b w:val="1"/>
                <w:bCs w:val="1"/>
                <w:color w:val="auto"/>
              </w:rPr>
              <w:t>2021</w:t>
            </w:r>
          </w:p>
        </w:tc>
        <w:tc>
          <w:tcPr>
            <w:tcW w:w="82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-2639695</wp:posOffset>
            </wp:positionV>
            <wp:extent cx="7747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-2639695</wp:posOffset>
            </wp:positionV>
            <wp:extent cx="76835"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-2639695</wp:posOffset>
            </wp:positionV>
            <wp:extent cx="7683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-2639695</wp:posOffset>
            </wp:positionV>
            <wp:extent cx="7683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-2639695</wp:posOffset>
            </wp:positionV>
            <wp:extent cx="6858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-2639695</wp:posOffset>
            </wp:positionV>
            <wp:extent cx="68580"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-2639695</wp:posOffset>
            </wp:positionV>
            <wp:extent cx="6858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-2639695</wp:posOffset>
            </wp:positionV>
            <wp:extent cx="6858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-2639695</wp:posOffset>
            </wp:positionV>
            <wp:extent cx="6858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-1344930</wp:posOffset>
            </wp:positionV>
            <wp:extent cx="6103620" cy="3511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03620" cy="3511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-256540</wp:posOffset>
            </wp:positionV>
            <wp:extent cx="77470" cy="257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-256540</wp:posOffset>
            </wp:positionV>
            <wp:extent cx="76835" cy="2571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-256540</wp:posOffset>
            </wp:positionV>
            <wp:extent cx="76835" cy="257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-256540</wp:posOffset>
            </wp:positionV>
            <wp:extent cx="76835" cy="257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-256540</wp:posOffset>
            </wp:positionV>
            <wp:extent cx="68580"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-256540</wp:posOffset>
            </wp:positionV>
            <wp:extent cx="68580"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-256540</wp:posOffset>
            </wp:positionV>
            <wp:extent cx="68580"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-256540</wp:posOffset>
            </wp:positionV>
            <wp:extent cx="68580"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-256540</wp:posOffset>
            </wp:positionV>
            <wp:extent cx="68580"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257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25717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8" w:name="page9"/>
    <w:bookmarkEnd w:id="8"/>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gridSpan w:val="5"/>
          </w:tcPr>
          <w:p>
            <w:pPr>
              <w:jc w:val="right"/>
              <w:ind w:right="116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r>
      <w:tr>
        <w:trPr>
          <w:trHeight w:val="123"/>
        </w:trPr>
        <w:tc>
          <w:tcPr>
            <w:tcW w:w="77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right"/>
              <w:ind w:right="740"/>
              <w:spacing w:after="0" w:line="123"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413"/>
              <w:spacing w:after="0" w:line="123"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100" w:type="dxa"/>
            <w:vAlign w:val="bottom"/>
          </w:tcPr>
          <w:p>
            <w:pPr>
              <w:spacing w:after="0"/>
              <w:rPr>
                <w:sz w:val="10"/>
                <w:szCs w:val="10"/>
                <w:color w:val="auto"/>
              </w:rPr>
            </w:pPr>
          </w:p>
        </w:tc>
      </w:tr>
      <w:tr>
        <w:trPr>
          <w:trHeight w:val="167"/>
        </w:trPr>
        <w:tc>
          <w:tcPr>
            <w:tcW w:w="7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r>
      <w:tr>
        <w:trPr>
          <w:trHeight w:val="17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57,178</w:t>
            </w:r>
          </w:p>
        </w:tc>
        <w:tc>
          <w:tcPr>
            <w:tcW w:w="26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132,517</w:t>
            </w:r>
          </w:p>
        </w:tc>
        <w:tc>
          <w:tcPr>
            <w:tcW w:w="100" w:type="dxa"/>
            <w:vAlign w:val="bottom"/>
          </w:tcPr>
          <w:p>
            <w:pPr>
              <w:spacing w:after="0"/>
              <w:rPr>
                <w:sz w:val="15"/>
                <w:szCs w:val="15"/>
                <w:color w:val="auto"/>
              </w:rPr>
            </w:pPr>
          </w:p>
        </w:tc>
      </w:tr>
      <w:tr>
        <w:trPr>
          <w:trHeight w:val="14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activities: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143,599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125,637</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Amortization of debt discounts and issuance costs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3,694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4,579</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Provision for deferred taxes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(6,413 )</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28,523</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40,892</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36,491</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Impairments, write-offs and losses on sale of fixed and other assets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5,918</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Loss on extinguishment and modification of debt</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20,838</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Income from equity method investees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(7,821 )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(7,490 )</w:t>
            </w: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Non-cash operating lease costs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316,492</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315,930</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Other non-operating loss (income)</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(64,934 )</w:t>
            </w: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Receivables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(3,652 )</w:t>
            </w: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Merchandise inventories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(48,314 )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(105,682 )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(2,536 )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(8,053 )</w:t>
            </w: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Accounts payable and book overdrafts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(19,381 )</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47,973</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Accrued salaries and employee benefits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(16,160 )</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27,673</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12,110</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45,437</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(282,954 )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(314,620 )</w:t>
            </w: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(1,762 )</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100" w:type="dxa"/>
            <w:vAlign w:val="bottom"/>
            <w:shd w:val="clear" w:color="auto" w:fill="CFF0FC"/>
          </w:tcPr>
          <w:p>
            <w:pPr>
              <w:spacing w:after="0"/>
              <w:rPr>
                <w:sz w:val="15"/>
                <w:szCs w:val="15"/>
                <w:color w:val="auto"/>
              </w:rPr>
            </w:pPr>
          </w:p>
        </w:tc>
      </w:tr>
      <w:tr>
        <w:trPr>
          <w:trHeight w:val="169"/>
        </w:trPr>
        <w:tc>
          <w:tcPr>
            <w:tcW w:w="770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209,463</w:t>
            </w:r>
          </w:p>
        </w:tc>
        <w:tc>
          <w:tcPr>
            <w:tcW w:w="26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288,444</w:t>
            </w:r>
          </w:p>
        </w:tc>
        <w:tc>
          <w:tcPr>
            <w:tcW w:w="100" w:type="dxa"/>
            <w:vAlign w:val="bottom"/>
            <w:tcBorders>
              <w:top w:val="single" w:sz="8" w:color="CFF0FC"/>
            </w:tcBorders>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fixed assets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(212,074 )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(164,330 )</w:t>
            </w: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(7,750 )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(3,545 )</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interest in veterinary joint venture</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(35,000 )</w:t>
            </w:r>
          </w:p>
        </w:tc>
        <w:tc>
          <w:tcPr>
            <w:tcW w:w="28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2,127</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80" w:type="dxa"/>
            <w:vAlign w:val="bottom"/>
          </w:tcPr>
          <w:p>
            <w:pPr>
              <w:spacing w:after="0"/>
              <w:rPr>
                <w:sz w:val="14"/>
                <w:szCs w:val="14"/>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(252,697 )</w:t>
            </w:r>
          </w:p>
        </w:tc>
        <w:tc>
          <w:tcPr>
            <w:tcW w:w="280" w:type="dxa"/>
            <w:vAlign w:val="bottom"/>
          </w:tcPr>
          <w:p>
            <w:pPr>
              <w:spacing w:after="0"/>
              <w:rPr>
                <w:sz w:val="14"/>
                <w:szCs w:val="14"/>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(167,770 )</w:t>
            </w: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Borrowings under long-term debt agreements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1,700,000</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(135,750 )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(1,686,611 )</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Debt refinancing costs</w:t>
            </w:r>
          </w:p>
        </w:tc>
        <w:tc>
          <w:tcPr>
            <w:tcW w:w="280" w:type="dxa"/>
            <w:vAlign w:val="bottom"/>
          </w:tcPr>
          <w:p>
            <w:pPr>
              <w:spacing w:after="0"/>
              <w:rPr>
                <w:sz w:val="15"/>
                <w:szCs w:val="15"/>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(24,665 )</w:t>
            </w: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Payments for finance lease liabilities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(4,174 )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(2,650 )</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employee stock purchase plan and stock option exercises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Tax withholdings on stock-based awards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(13,581 )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(13 )</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 of offering costs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(3,844 )</w:t>
            </w:r>
          </w:p>
        </w:tc>
      </w:tr>
      <w:tr>
        <w:trPr>
          <w:trHeight w:val="20"/>
        </w:trPr>
        <w:tc>
          <w:tcPr>
            <w:tcW w:w="7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(27,033 )</w:t>
            </w:r>
          </w:p>
        </w:tc>
        <w:tc>
          <w:tcPr>
            <w:tcW w:w="2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(14,863 )</w:t>
            </w:r>
          </w:p>
        </w:tc>
      </w:tr>
      <w:tr>
        <w:trPr>
          <w:trHeight w:val="20"/>
        </w:trPr>
        <w:tc>
          <w:tcPr>
            <w:tcW w:w="77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280" w:type="dxa"/>
            <w:vAlign w:val="bottom"/>
          </w:tcPr>
          <w:p>
            <w:pPr>
              <w:spacing w:after="0"/>
              <w:rPr>
                <w:sz w:val="14"/>
                <w:szCs w:val="14"/>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(70,267 )</w:t>
            </w: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105,811</w:t>
            </w:r>
          </w:p>
        </w:tc>
        <w:tc>
          <w:tcPr>
            <w:tcW w:w="100" w:type="dxa"/>
            <w:vAlign w:val="bottom"/>
          </w:tcPr>
          <w:p>
            <w:pPr>
              <w:spacing w:after="0"/>
              <w:rPr>
                <w:sz w:val="14"/>
                <w:szCs w:val="14"/>
                <w:color w:val="auto"/>
              </w:rPr>
            </w:pPr>
          </w:p>
        </w:tc>
      </w:tr>
      <w:tr>
        <w:trPr>
          <w:trHeight w:val="1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221,890</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119,540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151,623</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225,351</w:t>
            </w:r>
          </w:p>
        </w:tc>
        <w:tc>
          <w:tcPr>
            <w:tcW w:w="10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Supplemental cash flow disclosures:</w:t>
            </w:r>
          </w:p>
        </w:tc>
        <w:tc>
          <w:tcPr>
            <w:tcW w:w="2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Interest paid, net</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59,608</w:t>
            </w:r>
          </w:p>
        </w:tc>
        <w:tc>
          <w:tcPr>
            <w:tcW w:w="26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47,006</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Capitalized interest</w:t>
            </w: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Income taxes paid</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9,598</w:t>
            </w:r>
          </w:p>
        </w:tc>
        <w:tc>
          <w:tcPr>
            <w:tcW w:w="26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13,718</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Supplemental non-cash investing and financing activities disclosure:</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payable and accrued expenses for capital expenditures</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33,107</w:t>
            </w:r>
          </w:p>
        </w:tc>
        <w:tc>
          <w:tcPr>
            <w:tcW w:w="26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36,623</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-2870835</wp:posOffset>
            </wp:positionV>
            <wp:extent cx="6858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-2185035</wp:posOffset>
            </wp:positionV>
            <wp:extent cx="6858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-1044575</wp:posOffset>
            </wp:positionV>
            <wp:extent cx="68580"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-1044575</wp:posOffset>
            </wp:positionV>
            <wp:extent cx="68580" cy="120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-813435</wp:posOffset>
            </wp:positionV>
            <wp:extent cx="6858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Petco Health and Wellness Company, Inc. (together with its consolidated subsidiaries, the “Company”) is a category-defining health and wellness company focused on improving the lives of pets, pet parents, and its own partners. The Company manages its business as one reportable operating segment.</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76"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from the significant accounting policies disclosed in Note 1 of the Notes to Consolidated Financial Statements included in the Company’s Annual Report on Form 10-K for the fiscal year ended January 29, 2022.</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January 29, 2022, from which the prior year balance sheet information herein was derived.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Veterinary Joint Venture</w:t>
      </w:r>
    </w:p>
    <w:p>
      <w:pPr>
        <w:spacing w:after="0" w:line="229" w:lineRule="exact"/>
        <w:rPr>
          <w:sz w:val="20"/>
          <w:szCs w:val="20"/>
          <w:color w:val="auto"/>
        </w:rPr>
      </w:pPr>
    </w:p>
    <w:p>
      <w:pPr>
        <w:ind w:left="40" w:right="60" w:firstLine="666"/>
        <w:spacing w:after="0" w:line="255" w:lineRule="auto"/>
        <w:rPr>
          <w:sz w:val="20"/>
          <w:szCs w:val="20"/>
          <w:color w:val="auto"/>
        </w:rPr>
      </w:pPr>
      <w:r>
        <w:rPr>
          <w:rFonts w:ascii="Times New Roman" w:cs="Times New Roman" w:eastAsia="Times New Roman" w:hAnsi="Times New Roman"/>
          <w:sz w:val="18"/>
          <w:szCs w:val="18"/>
          <w:color w:val="auto"/>
        </w:rPr>
        <w:t>The Company previously held a 50% investment in a joint venture with a domestic partner to build and operate veterinary clinics in Petco locations. The joint venture was a variable interest entity for which the Company was the primary beneficiary, and accordingly, the joint venture’s results of operations and statements of financial position are included in the Company’s consolidated financial statements. In May 2022, the Company completed the purchase of the remaining 50% of the issued and outstanding membership interests of the joint venture, which is now a wholly owned subsidiary of the Company, for cash consideration of $35.0 million. Direct transaction costs related to this purchase were not material. During the third quarter of fiscal 2022, the tax effects of the purchase were finalized, which resulted in a redetermination of the related deferred tax balances in accordance with Financial Accounting Standards Board (“FASB”) Accounting Standards Codification (“ASC”) 740 –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when the three-month Secured Overnight Financing Rate as published by CME Group exceeds 4.5%. The interest rate caps are forward-starting with an effective date of December 30, 2022 and expire on December 31,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148,731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211,602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in</w:t>
            </w:r>
          </w:p>
        </w:tc>
        <w:tc>
          <w:tcPr>
            <w:tcW w:w="180" w:type="dxa"/>
            <w:vAlign w:val="bottom"/>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151,623</w:t>
            </w:r>
          </w:p>
        </w:tc>
        <w:tc>
          <w:tcPr>
            <w:tcW w:w="240" w:type="dxa"/>
            <w:vAlign w:val="bottom"/>
            <w:vMerge w:val="restart"/>
            <w:shd w:val="clear" w:color="auto" w:fill="CFF0FC"/>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221,890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 statement of cash flows</w:t>
            </w: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-25400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March 2020, the FASB issued Accounting Standards Update No. 2020-04 – Reference Rate Reform (Topic 848): Facilitation of the Effects of Reference Rate Reform on Financial Reporting, which provides optional expedients and exceptions for applying GAAP to contract modifications, hedging relationships, and other transactions affected by the anticipated transition from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 The Company is currently evaluating the impact of this accounting standard, but does not expect for it to have a material impact on the consolidated financial statements and related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sales by product type and services were as follows (in thousands):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00" w:type="dxa"/>
            <w:vAlign w:val="bottom"/>
          </w:tcPr>
          <w:p>
            <w:pPr>
              <w:spacing w:after="0"/>
              <w:rPr>
                <w:sz w:val="16"/>
                <w:szCs w:val="16"/>
                <w:color w:val="auto"/>
              </w:rPr>
            </w:pPr>
          </w:p>
        </w:tc>
      </w:tr>
      <w:tr>
        <w:trPr>
          <w:trHeight w:val="131"/>
        </w:trPr>
        <w:tc>
          <w:tcPr>
            <w:tcW w:w="5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r>
      <w:tr>
        <w:trPr>
          <w:trHeight w:val="187"/>
        </w:trPr>
        <w:tc>
          <w:tcPr>
            <w:tcW w:w="5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Consumables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720,512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643,125</w:t>
            </w:r>
          </w:p>
        </w:tc>
        <w:tc>
          <w:tcPr>
            <w:tcW w:w="240" w:type="dxa"/>
            <w:vAlign w:val="bottom"/>
            <w:gridSpan w:val="2"/>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2,093,510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1,850,203</w:t>
            </w:r>
          </w:p>
        </w:tc>
        <w:tc>
          <w:tcPr>
            <w:tcW w:w="100" w:type="dxa"/>
            <w:vAlign w:val="bottom"/>
            <w:shd w:val="clear" w:color="auto" w:fill="CFF0FC"/>
          </w:tcPr>
          <w:p>
            <w:pPr>
              <w:spacing w:after="0"/>
              <w:rPr>
                <w:sz w:val="20"/>
                <w:szCs w:val="20"/>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1,775,149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1,957,022</w:t>
            </w:r>
          </w:p>
        </w:tc>
        <w:tc>
          <w:tcPr>
            <w:tcW w:w="10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205,449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164,861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589,349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1,501,220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1,443,264</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4,458,008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4,292,792</w:t>
            </w:r>
          </w:p>
        </w:tc>
        <w:tc>
          <w:tcPr>
            <w:tcW w:w="10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-187960</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685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032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Senior Secured Credit Facilities</w:t>
      </w:r>
    </w:p>
    <w:p>
      <w:pPr>
        <w:spacing w:after="0" w:line="121" w:lineRule="exact"/>
        <w:rPr>
          <w:sz w:val="20"/>
          <w:szCs w:val="20"/>
          <w:color w:val="auto"/>
        </w:rPr>
      </w:pPr>
    </w:p>
    <w:p>
      <w:pPr>
        <w:ind w:firstLine="515"/>
        <w:spacing w:after="0" w:line="258" w:lineRule="auto"/>
        <w:rPr>
          <w:sz w:val="20"/>
          <w:szCs w:val="20"/>
          <w:color w:val="auto"/>
        </w:rPr>
      </w:pPr>
      <w:r>
        <w:rPr>
          <w:rFonts w:ascii="Times New Roman" w:cs="Times New Roman" w:eastAsia="Times New Roman" w:hAnsi="Times New Roman"/>
          <w:sz w:val="18"/>
          <w:szCs w:val="18"/>
          <w:color w:val="auto"/>
        </w:rPr>
        <w:t>The Company previously had a senior secured term loan facility (the “Amended Term Loan Facility”), which was fully repaid on March 4, 2021, and a senior secured asset-based revolving credit facility (the “Amended Revolving Credit Facility”), which was terminated on March 4, 2021. 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29, 2022, the Company was in compliance with its covenants under the First Lien Term Loan and the ABL Revolving Credit Facility.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Facilities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On March 4, 2021, the Company entered into the First Lien Term Loan and repaid all outstanding principal and interest on the Amended Term Loan Facility. Interest on the First Lien Term Loan is based on, at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ind w:right="20"/>
        <w:spacing w:after="0" w:line="261" w:lineRule="auto"/>
        <w:rPr>
          <w:sz w:val="20"/>
          <w:szCs w:val="20"/>
          <w:color w:val="auto"/>
        </w:rPr>
      </w:pPr>
      <w:r>
        <w:rPr>
          <w:rFonts w:ascii="Times New Roman" w:cs="Times New Roman" w:eastAsia="Times New Roman" w:hAnsi="Times New Roman"/>
          <w:sz w:val="18"/>
          <w:szCs w:val="18"/>
          <w:color w:val="auto"/>
        </w:rPr>
        <w:t>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and interest payments commenced on June 30, 2021. Principal payments are $4.25 million quarterly.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March 4, 2021 transaction described above, the Company recognized a loss on debt extinguishment and modification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$19.6 million on the term loan facilities, which consisted of a $6.5 million write-off of unamortized debt discount and issuance costs on the Amended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Facility and $13.1 million of third-party expenses.</w:t>
      </w:r>
    </w:p>
    <w:p>
      <w:pPr>
        <w:spacing w:after="0" w:line="20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Fees relating to the Company’s entry into the First Lien Term Loan consisted of arranger fees and other third-party expenses. Of those fees, $3.2 million was capitalized as debt issuance costs, along with $4.3 million of original issue discount. The remaining portion of original issue discount and debt issuance costs of the Amended Term Loan Facility previously capitalized is being amortized over the contractual term of the First Lien Term Loan to interest expense using the effective interest rate in effect on the date of issuance, as these amounts represent the portion that was not substantially modified.</w:t>
      </w:r>
    </w:p>
    <w:p>
      <w:pPr>
        <w:spacing w:after="0" w:line="180" w:lineRule="exact"/>
        <w:rPr>
          <w:sz w:val="20"/>
          <w:szCs w:val="20"/>
          <w:color w:val="auto"/>
        </w:rPr>
      </w:pPr>
    </w:p>
    <w:p>
      <w:pPr>
        <w:ind w:right="40" w:firstLine="515"/>
        <w:spacing w:after="0" w:line="256" w:lineRule="auto"/>
        <w:rPr>
          <w:sz w:val="20"/>
          <w:szCs w:val="20"/>
          <w:color w:val="auto"/>
        </w:rPr>
      </w:pPr>
      <w:r>
        <w:rPr>
          <w:rFonts w:ascii="Times New Roman" w:cs="Times New Roman" w:eastAsia="Times New Roman" w:hAnsi="Times New Roman"/>
          <w:sz w:val="18"/>
          <w:szCs w:val="18"/>
          <w:color w:val="auto"/>
        </w:rPr>
        <w:t>As of October 29, 2022, the outstanding principal balance of the First Lien Term Loan was $1,674.5 million ($1,652.2 million, net of the unamortized discount and debt issuance costs). As of January 29, 2022, the outstanding principal balance of the First Lien Term Loan was $1,687.3 million ($1,662.1 million, net of the unamortized discount and debt issuance costs). The weighted average interest rate on the borrowings outstanding was 7.0% and 4.1% as of October 29, 2022 and January 29, 2022, respectively. Debt issuance costs are being amortized over the contractual term to interest expense using the effective interest rate in effect at issuance. As of October 29, 2022 and January 29, 2022, the estimated fair value of the First Lien Term Loan was approximately $1,611.7 million and $1,687.3 million, respectively, based upon Level 2 fair value hierarchy inputs.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March 4, 2021, the Company entered into the ABL Revolving Credit Facility and terminated the Amended Revolving Credit Facility. The ABL Revolving Credit Facility has availability of up to $500.0 million, subject to a borrowing base.</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Fees relating to the Company’s entry into the ABL Revolving Credit Facility consisted of arranger fees and other third-party expenses. Of those fees, $4.1 million was capitalized as debt issuance costs. Unamortized debt issuance costs of $1.2 million were written off and recognized as a loss on debt extinguishment and modification in connection with this transaction. The remaining portion of debt issuance costs of the Amended Revolving Credit Facility previously capitalized is being amortized over the contractual term of the ABL Revolving Credit Facility as these amounts represent the portion that was not substantially modified.</w:t>
      </w:r>
    </w:p>
    <w:p>
      <w:pPr>
        <w:spacing w:after="0" w:line="183" w:lineRule="exact"/>
        <w:rPr>
          <w:sz w:val="20"/>
          <w:szCs w:val="20"/>
          <w:color w:val="auto"/>
        </w:rPr>
      </w:pPr>
    </w:p>
    <w:p>
      <w:pPr>
        <w:ind w:right="80" w:firstLine="515"/>
        <w:spacing w:after="0" w:line="256" w:lineRule="auto"/>
        <w:rPr>
          <w:sz w:val="20"/>
          <w:szCs w:val="20"/>
          <w:color w:val="auto"/>
        </w:rPr>
      </w:pPr>
      <w:r>
        <w:rPr>
          <w:rFonts w:ascii="Times New Roman" w:cs="Times New Roman" w:eastAsia="Times New Roman" w:hAnsi="Times New Roman"/>
          <w:sz w:val="18"/>
          <w:szCs w:val="18"/>
          <w:color w:val="auto"/>
        </w:rPr>
        <w:t>As of October 29, 2022 and January 29, 2022, no amounts were outstanding under the ABL Revolving Credit Facility. At October 29, 2022, $443.9 million was available under the ABL Revolving Credit Facility, which is net of $56.1 million of outstanding letters of credit issued in the normal course of business and no borrowing base reduction for a shortfall in qualifying assets. Unamortized debt issuance costs of $3.9 million relating to the ABL Revolving Credit Facility were outstanding and were being amortized using the straight-line method over the remaining term of the agreement as of October 29, 2022. Unamortized debt issuance costs of $4.7 million relating to the ABL Revolving Credit Facility were outstanding and were being amortized using the straight-line method over the remaining term of the agreement as of January 29, 2022.</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ABL Revolving Credit Facility has availability of up to $500.0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on the ABL Revolving Credit Facility is based on, at the Company’s option, either the base rate or Adjusted LIBOR subject to a floor of 0%, in either case, plus an applicable margin. The applicable margin 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currently equal to 25 basis points in the case of base rate loans and 125 basis points in the case of Adjusted LIBOR loans.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48"/>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Historical Excess Availability</w:t>
            </w:r>
          </w:p>
        </w:tc>
        <w:tc>
          <w:tcPr>
            <w:tcW w:w="80" w:type="dxa"/>
            <w:vAlign w:val="bottom"/>
          </w:tcPr>
          <w:p>
            <w:pPr>
              <w:spacing w:after="0"/>
              <w:rPr>
                <w:sz w:val="12"/>
                <w:szCs w:val="12"/>
                <w:color w:val="auto"/>
              </w:rPr>
            </w:pPr>
          </w:p>
        </w:tc>
        <w:tc>
          <w:tcPr>
            <w:tcW w:w="138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LIBOR</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for Base Rate</w:t>
            </w:r>
          </w:p>
        </w:tc>
        <w:tc>
          <w:tcPr>
            <w:tcW w:w="0" w:type="dxa"/>
            <w:vAlign w:val="bottom"/>
          </w:tcPr>
          <w:p>
            <w:pPr>
              <w:spacing w:after="0"/>
              <w:rPr>
                <w:sz w:val="1"/>
                <w:szCs w:val="1"/>
                <w:color w:val="auto"/>
              </w:rPr>
            </w:pPr>
          </w:p>
        </w:tc>
      </w:tr>
      <w:tr>
        <w:trPr>
          <w:trHeight w:val="187"/>
        </w:trPr>
        <w:tc>
          <w:tcPr>
            <w:tcW w:w="5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28"/>
        </w:trPr>
        <w:tc>
          <w:tcPr>
            <w:tcW w:w="5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than 33.3% of the Line Cap</w:t>
            </w:r>
          </w:p>
        </w:tc>
        <w:tc>
          <w:tcPr>
            <w:tcW w:w="8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Less than 66.7% but greater than or equal to 33.3% of</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Line Cap</w:t>
            </w: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or equal to 66.7% of the Line Cap</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-591185</wp:posOffset>
            </wp:positionV>
            <wp:extent cx="570039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-144780</wp:posOffset>
            </wp:positionV>
            <wp:extent cx="570039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32"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on a Recurring Basis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88,416</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(17,252 )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Rover Group, Inc.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392"/>
        </w:trPr>
        <w:tc>
          <w:tcPr>
            <w:tcW w:w="6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(17,453 )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Rover Group, Inc.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bl>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$86.5 million and $158.0 million as of October 29, 2022 and January 29, 2022, respectively. Also included in the Company’s money market mutual funds balances were $1.9 million and $9.3 million as of October 29, 2022 and January 29, 2022, respectively, which relate to the Company’s restricted cash, and are included in other current assets in the consolidated balance sheets.</w:t>
      </w:r>
    </w:p>
    <w:p>
      <w:pPr>
        <w:spacing w:after="0" w:line="183"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76"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Company previously held an equity investment, in the form of multiple series of preferred stock, in A Place for Rover, Inc., an online marketplace for pet care, which was historically accounted for as an equity security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t>without a readily determinable fair value. In July 2021, A Place for Rover, Inc. completed a business combination with Nebula Caravel Acquisition Corp., a publicly-traded special purpose acquisition company. The combined entity was renamed to Rover Group, Inc. (“Rover”), and the Company’s equity investment was converted into shares of Rover Class A common stock. In September 2021, the Company received additional shares of Rover Class A common stock in accordance with certain earnout provisions from the July 2021 business combination. The Company now remeasures the fair value of its investment on a quarterly basis, and the resulting gains or losses are included in other non-operating income in the consolidated statements of operations. On November 23, 2021, the Company completed the sale of approximately 11% of its Rover Class A common stock for net proceeds of $6.1 million in cash as part of its participation in an underwritten secondary offering by certain Rover shareholders.</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February 2022, the Company amended a collaboration agreement with a vendor, and as part of the amendment the Company was granted a right to receive equity and warrants for common shares of the vendor that is subject to certain performance conditions and other contingencies. The Company evaluated the agreement under FASB ASC 705-20, Consideration Received from a Vendor, and no material consideration was recognized during the thirty-nine week period ended October 29,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on a Non-Recurring Basis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were no triggering events identified and no indication of impairment of the Company’s goodwill, indefinite-lived trade name, other intangible assets or equity and other investments during the thirteen or thirty-nine week periods ended October 29, 2022 and October 30, 2021. During the thirteen and thirty-nine week periods ended October 29, 2022, the Company recorded fixed asset and right-of-use asset impairment charges of $0.8 million and $1.8 million, respectively. During the thirteen and thirty-nine week periods ended October 30, 2021, the Company recorded fixed asset and right-of-use asset impairment charges of $2.9 million and $5.4 million,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Equity-based compensation awards under the Company’s current equity incentive plan (the “2021 Equity Incentive Plan”) include restricted stock units (“RSUs,” which include performance-based stock units), restricted stock awards (“RSAs”), non-qualified stock options, and other equity compensation awards. The Company also has an employee stock purchase plan (“ESPP”).</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equity-based compensation expense by award type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46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94"/>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r>
      <w:tr>
        <w:trPr>
          <w:trHeight w:val="187"/>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RSAs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6,189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24,759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00" w:type="dxa"/>
            <w:vAlign w:val="bottom"/>
            <w:shd w:val="clear" w:color="auto" w:fill="CFF0FC"/>
          </w:tcPr>
          <w:p>
            <w:pPr>
              <w:spacing w:after="0"/>
              <w:rPr>
                <w:sz w:val="20"/>
                <w:szCs w:val="20"/>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FF0FC"/>
          </w:tcPr>
          <w:p>
            <w:pPr>
              <w:spacing w:after="0"/>
              <w:rPr>
                <w:sz w:val="21"/>
                <w:szCs w:val="2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awards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100" w:type="dxa"/>
            <w:vAlign w:val="bottom"/>
          </w:tcPr>
          <w:p>
            <w:pPr>
              <w:spacing w:after="0"/>
              <w:rPr>
                <w:sz w:val="20"/>
                <w:szCs w:val="20"/>
                <w:color w:val="auto"/>
              </w:rPr>
            </w:pPr>
          </w:p>
        </w:tc>
      </w:tr>
      <w:tr>
        <w:trPr>
          <w:trHeight w:val="277"/>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15,775</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13,381</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40,892</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788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Activity under the 2021 Equity Incentive Plan was as follows (shares and dollars in thousands):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RSUs and RSAs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Nonvested/outstanding, January 29, 2022</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shd w:val="clear" w:color="auto" w:fill="CFF0FC"/>
          </w:tcPr>
          <w:p>
            <w:pPr>
              <w:spacing w:after="0"/>
              <w:rPr>
                <w:sz w:val="20"/>
                <w:szCs w:val="20"/>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delivered/exercised</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(1,040 )</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(766 )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(475 )</w:t>
            </w:r>
          </w:p>
        </w:tc>
      </w:tr>
      <w:tr>
        <w:trPr>
          <w:trHeight w:val="277"/>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Nonvested/outstanding, October 29, 2022</w:t>
            </w:r>
          </w:p>
        </w:tc>
        <w:tc>
          <w:tcPr>
            <w:tcW w:w="3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compensation expense as of October 29, 2022</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85,405</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00" w:type="dxa"/>
            <w:vAlign w:val="bottom"/>
          </w:tcPr>
          <w:p>
            <w:pPr>
              <w:spacing w:after="0"/>
              <w:rPr>
                <w:sz w:val="19"/>
                <w:szCs w:val="19"/>
                <w:color w:val="auto"/>
              </w:rPr>
            </w:pPr>
          </w:p>
        </w:tc>
      </w:tr>
      <w:tr>
        <w:trPr>
          <w:trHeight w:val="247"/>
        </w:trPr>
        <w:tc>
          <w:tcPr>
            <w:tcW w:w="4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Weighted average remaining expense period as of October 29, 2022</w:t>
            </w: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 Years</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-1807845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-1791335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-1807845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-1791335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-1807845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-1791335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-334010</wp:posOffset>
            </wp:positionV>
            <wp:extent cx="123444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34440" cy="179705"/>
                    </a:xfrm>
                    <a:prstGeom prst="rect">
                      <a:avLst/>
                    </a:prstGeom>
                    <a:noFill/>
                  </pic:spPr>
                </pic:pic>
              </a:graphicData>
            </a:graphic>
          </wp:anchor>
        </w:drawing>
      </w:r>
    </w:p>
    <w:p>
      <w:pPr>
        <w:spacing w:after="0" w:line="39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RSA activity has not been material and relates to an RSA of Class A common stock granted to an executive in March 2021. For this grant, 50% of the RSA becomes vested on each of the first two anniversaries of the grant date. Unvested RSAs are not considered participating securities for earnings per share purposes, as any related dividends are forfeitable.</w:t>
      </w:r>
    </w:p>
    <w:p>
      <w:pPr>
        <w:spacing w:after="0" w:line="176"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Series C Unit activity under the 2016 Incentive Plan was as follows (in thousands):</w:t>
      </w:r>
    </w:p>
    <w:p>
      <w:pPr>
        <w:spacing w:after="0" w:line="232"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3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29, 2022</w:t>
            </w:r>
          </w:p>
        </w:tc>
        <w:tc>
          <w:tcPr>
            <w:tcW w:w="12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207,178</w:t>
            </w:r>
          </w:p>
        </w:tc>
        <w:tc>
          <w:tcPr>
            <w:tcW w:w="20" w:type="dxa"/>
            <w:vAlign w:val="bottom"/>
          </w:tcPr>
          <w:p>
            <w:pPr>
              <w:spacing w:after="0"/>
              <w:rPr>
                <w:sz w:val="20"/>
                <w:szCs w:val="20"/>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4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(5,701 )</w:t>
            </w:r>
          </w:p>
        </w:tc>
        <w:tc>
          <w:tcPr>
            <w:tcW w:w="20" w:type="dxa"/>
            <w:vAlign w:val="bottom"/>
          </w:tcPr>
          <w:p>
            <w:pPr>
              <w:spacing w:after="0"/>
              <w:rPr>
                <w:sz w:val="21"/>
                <w:szCs w:val="21"/>
                <w:color w:val="auto"/>
              </w:rPr>
            </w:pPr>
          </w:p>
        </w:tc>
      </w:tr>
      <w:tr>
        <w:trPr>
          <w:trHeight w:val="237"/>
        </w:trPr>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October 29, 2022</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201,477</w:t>
            </w:r>
          </w:p>
        </w:tc>
        <w:tc>
          <w:tcPr>
            <w:tcW w:w="2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October 29, 2022</w:t>
            </w:r>
          </w:p>
        </w:tc>
        <w:tc>
          <w:tcPr>
            <w:tcW w:w="1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148,225</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-367665</wp:posOffset>
            </wp:positionV>
            <wp:extent cx="3429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No additional Series C Units have been or will be awarded following the Company’s initial public offering. As of October 29, 2022, unrecognized compensation expense related to the unvested portion of Scooby LP’s Series C Units was $10.8 million, which is expected to be recognized over a weighted average period of 1.5 years.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or more of its direct or indirect holdings of the Company’s Class A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ind w:right="100"/>
        <w:spacing w:after="0" w:line="282" w:lineRule="auto"/>
        <w:rPr>
          <w:sz w:val="20"/>
          <w:szCs w:val="20"/>
          <w:color w:val="auto"/>
        </w:rPr>
      </w:pPr>
      <w:r>
        <w:rPr>
          <w:rFonts w:ascii="Times New Roman" w:cs="Times New Roman" w:eastAsia="Times New Roman" w:hAnsi="Times New Roman"/>
          <w:sz w:val="18"/>
          <w:szCs w:val="18"/>
          <w:color w:val="auto"/>
        </w:rPr>
        <w:t>options and the ESPP) and the associated unrecognized compensation expense is greater than the average market price of Class A common shares because the inclusion of these securities would be anti-dilutive.</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were approximately 5.3 million and 3.5 million potential shares that were anti-dilutive and excluded from the computation of diluted shares outstanding during the thirty-nine weeks ended October 29, 2022 and October 30, 2021, respectively.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364" w:lineRule="exact"/>
        <w:rPr>
          <w:sz w:val="20"/>
          <w:szCs w:val="20"/>
          <w:color w:val="auto"/>
        </w:rPr>
      </w:pPr>
    </w:p>
    <w:p>
      <w:pPr>
        <w:ind w:firstLine="612"/>
        <w:spacing w:after="0" w:line="254"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other claims and litigation, in each case,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January 29, 2022 (the “2021 Form 10-K”). The discussion and analysis below contains certain forward-looking statements about our business and operations that are subject to the risks, uncertainties, and other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Founded in 1965, Petco Health and Wellness Company, Inc. (“Petco”, the “Company”, “we”, “our” and “us”) is a category-defining health and wellness company focused on improving the lives of pets, pet parents, and our own partners. We have consistently set new standards in pet care while delivering comprehensive pet wellness products, services and solutions, and creating communities that deepen the pet-pet parent bond. In recent years, we have transformed our business from a successful yet traditional retailer to a disruptive, fully integrated, omnichannel provider of holistic pet health and wellness offerings, including premium products, services, and veterinary care. Through our integrated ecosystem, we provide our over 25 million total active customers with a comprehensive offering of differentiated products and services to fulfill their pets’ health and wellness needs through our more than 1,500 pet care centers in the U.S., Mexico, and Puerto Rico, including a growing network of more than 225 in-store veterinary hospitals, our digital channel, and our flexible fulfillment options.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multicategory, go-to-market strategy integrates our strong digital assets with our nationwide physical footprint to meet the needs of pet parents who are looking for a single source for all their pet’s needs. Our e-commerce site and personalized mobile app serve as hubs for pet parents to manage their pets’ health, wellness, and merchandise needs, while enabling them to shop wherever, whenever, and however they want. By leveraging our extensive physical network of pet care centers, we are able to offer our comprehensive product and service offering in a localized manner with a meaningful last-mile advantage over much of our competition. The full value of our health and wellness ecosystem is realized for customers through our Vital Care membership program. From the nutrition and supplies pets need each day, to the services that keep them at optimal health, Vital Care makes it easier and more affordable for pet parents to care for their pet’s whole health all in one place. Vital Care memberships are at the top of our integrated loyalty programs, followed by our perks programs that provide rewards for frequent purchasing and our Pals Rewards loyalty program.</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strive to be a truly unique company, one that is saving and improving millions of pet lives and tangibly improving the lives of pet parents and the partners who work for us, while at the same time executing our differentiated strategy with excellence. In tandem with Petco Love (formerly the Petco Foundation), an independent nonprofit organization, we work with and support thousands of local animal welfare groups across the country and, through in-store adoption events, we have helped find homes for more than 6.6 million animals.</w:t>
      </w:r>
    </w:p>
    <w:p>
      <w:pPr>
        <w:spacing w:after="0" w:line="72"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Macroeconomic factors, including the prolonged COVID-19 pandemic, inflationary pressures, supply chain constraints and global economic and geopolitical developments, have varying impacts on our results of operations that are difficult to isolate and quantify. We cannot predict the duration or ultimate severity of these macroeconomic factors or the ultimate impact on the broader economy or our operations and liquidity. Please refer to the risk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w:t>
      </w:r>
    </w:p>
    <w:p>
      <w:pPr>
        <w:spacing w:after="0" w:line="28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the following: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9" w:lineRule="exact"/>
        <w:rPr>
          <w:sz w:val="20"/>
          <w:szCs w:val="20"/>
          <w:color w:val="auto"/>
        </w:rPr>
      </w:pPr>
    </w:p>
    <w:p>
      <w:pPr>
        <w:ind w:right="100" w:firstLine="554"/>
        <w:spacing w:after="0" w:line="261" w:lineRule="auto"/>
        <w:rPr>
          <w:sz w:val="20"/>
          <w:szCs w:val="20"/>
          <w:color w:val="auto"/>
        </w:rPr>
      </w:pPr>
      <w:r>
        <w:rPr>
          <w:rFonts w:ascii="Times New Roman" w:cs="Times New Roman" w:eastAsia="Times New Roman" w:hAnsi="Times New Roman"/>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financial results for the thirteen weeks ended October 29, 2022 reflect continued business and customer growth and operational execution, while investing in strategic growth initiatives. Comparing the thirteen weeks ended October 29, 2022 with the thirteen weeks ended October 30, 2021 (unless otherwise noted), our results included the following:</w:t>
      </w:r>
    </w:p>
    <w:p>
      <w:pPr>
        <w:spacing w:after="0" w:line="6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sales from $1.44 billion to $1.50 billion, representing period-over-period growth of 4.0%;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growth of 4.1%;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operating income from $61.9 million to $48.1 million, representing a period-over-period decrease of 22.4%;</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income attributable to Class A and B-1 common stockholders from $52.8 million to $19.9 million, representing a period-over-period decrease of 62.2%, which was inclusive of a $19.2 million lower remeasurement of the fair value of an investment in securities and $14.7 million of integration-related costs related to the purchase of the remaining stake in our veterinary joint venture;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Adjusted EBITDA from $138.5 million to $137.6 million, representing a period-over-period decrease of 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results of operations and the percent of net sales of line items included in our consolidated statements of operations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60" w:type="dxa"/>
            <w:vAlign w:val="bottom"/>
            <w:gridSpan w:val="1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10"/>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4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top w:val="single" w:sz="8" w:color="auto"/>
            </w:tcBorders>
            <w:gridSpan w:val="6"/>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5"/>
          </w:tcPr>
          <w:p>
            <w:pPr>
              <w:jc w:val="right"/>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5"/>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7"/>
        </w:trPr>
        <w:tc>
          <w:tcPr>
            <w:tcW w:w="4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7"/>
              </w:rPr>
              <w:t>1,501,220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20"/>
                <w:szCs w:val="20"/>
                <w:color w:val="auto"/>
              </w:rPr>
            </w:pPr>
          </w:p>
        </w:tc>
        <w:tc>
          <w:tcPr>
            <w:tcW w:w="9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1,443,264</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4,458,008</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4,292,792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903,543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848,555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2,658,180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2,501,688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4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597,677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594,709</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1,799,828</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1,791,104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4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549,622</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532,760</w:t>
            </w:r>
          </w:p>
        </w:tc>
        <w:tc>
          <w:tcPr>
            <w:tcW w:w="1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1,651,829</w:t>
            </w:r>
          </w:p>
        </w:tc>
        <w:tc>
          <w:tcPr>
            <w:tcW w:w="20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1,607,938</w:t>
            </w:r>
          </w:p>
        </w:tc>
        <w:tc>
          <w:tcPr>
            <w:tcW w:w="100" w:type="dxa"/>
            <w:vAlign w:val="bottom"/>
            <w:tcBorders>
              <w:bottom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4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48,055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61,949</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147,999</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183,166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(287 )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60" w:type="dxa"/>
            <w:vAlign w:val="bottom"/>
          </w:tcPr>
          <w:p>
            <w:pPr>
              <w:spacing w:after="0"/>
              <w:rPr>
                <w:sz w:val="20"/>
                <w:szCs w:val="20"/>
                <w:color w:val="auto"/>
              </w:rPr>
            </w:pPr>
          </w:p>
        </w:tc>
      </w:tr>
      <w:tr>
        <w:trPr>
          <w:trHeight w:val="247"/>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27,307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extinguishment and modification of debt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(576 )</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gridSpan w:val="6"/>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(19,773 )</w:t>
            </w: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9,369</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(64,934 )</w:t>
            </w:r>
          </w:p>
        </w:tc>
        <w:tc>
          <w:tcPr>
            <w:tcW w:w="60" w:type="dxa"/>
            <w:vAlign w:val="bottom"/>
          </w:tcPr>
          <w:p>
            <w:pPr>
              <w:spacing w:after="0"/>
              <w:rPr>
                <w:sz w:val="21"/>
                <w:szCs w:val="21"/>
                <w:color w:val="auto"/>
              </w:rPr>
            </w:pPr>
          </w:p>
        </w:tc>
      </w:tr>
      <w:tr>
        <w:trPr>
          <w:trHeight w:val="209"/>
        </w:trPr>
        <w:tc>
          <w:tcPr>
            <w:tcW w:w="548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Income before income taxes and income</w:t>
            </w:r>
          </w:p>
        </w:tc>
        <w:tc>
          <w:tcPr>
            <w:tcW w:w="2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54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21,454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62,971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70,156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20,799</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(2,627 )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(2,637 )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(7,821 )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(7,490 )</w:t>
            </w:r>
          </w:p>
        </w:tc>
        <w:tc>
          <w:tcPr>
            <w:tcW w:w="60" w:type="dxa"/>
            <w:vAlign w:val="bottom"/>
          </w:tcPr>
          <w:p>
            <w:pPr>
              <w:spacing w:after="0"/>
              <w:rPr>
                <w:sz w:val="20"/>
                <w:szCs w:val="20"/>
                <w:color w:val="auto"/>
              </w:rPr>
            </w:pPr>
          </w:p>
        </w:tc>
      </w:tr>
      <w:tr>
        <w:trPr>
          <w:trHeight w:val="241"/>
        </w:trPr>
        <w:tc>
          <w:tcPr>
            <w:tcW w:w="54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19,920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51,513</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57,178</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132,517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(1,239 )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(891 )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(2,906 )</w:t>
            </w:r>
          </w:p>
        </w:tc>
        <w:tc>
          <w:tcPr>
            <w:tcW w:w="60" w:type="dxa"/>
            <w:vAlign w:val="bottom"/>
          </w:tcPr>
          <w:p>
            <w:pPr>
              <w:spacing w:after="0"/>
              <w:rPr>
                <w:sz w:val="20"/>
                <w:szCs w:val="20"/>
                <w:color w:val="auto"/>
              </w:rPr>
            </w:pPr>
          </w:p>
        </w:tc>
      </w:tr>
      <w:tr>
        <w:trPr>
          <w:trHeight w:val="209"/>
        </w:trPr>
        <w:tc>
          <w:tcPr>
            <w:tcW w:w="54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attributable to Class A and B-1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54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58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19,920</w:t>
            </w: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9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160" w:type="dxa"/>
            <w:vAlign w:val="bottom"/>
            <w:shd w:val="clear" w:color="auto" w:fill="CFF0FC"/>
          </w:tcPr>
          <w:p>
            <w:pPr>
              <w:spacing w:after="0"/>
              <w:rPr>
                <w:sz w:val="21"/>
                <w:szCs w:val="21"/>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58,069</w:t>
            </w:r>
          </w:p>
        </w:tc>
        <w:tc>
          <w:tcPr>
            <w:tcW w:w="20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91"/>
        </w:trPr>
        <w:tc>
          <w:tcPr>
            <w:tcW w:w="4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4560" w:type="dxa"/>
            <w:vAlign w:val="bottom"/>
          </w:tcPr>
          <w:p>
            <w:pPr>
              <w:spacing w:after="0"/>
              <w:rPr>
                <w:sz w:val="11"/>
                <w:szCs w:val="11"/>
                <w:color w:val="auto"/>
              </w:rPr>
            </w:pPr>
          </w:p>
        </w:tc>
        <w:tc>
          <w:tcPr>
            <w:tcW w:w="1680" w:type="dxa"/>
            <w:vAlign w:val="bottom"/>
            <w:tcBorders>
              <w:top w:val="single" w:sz="8" w:color="auto"/>
            </w:tcBorders>
            <w:gridSpan w:val="5"/>
          </w:tcPr>
          <w:p>
            <w:pPr>
              <w:jc w:val="right"/>
              <w:ind w:right="47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6"/>
          </w:tcPr>
          <w:p>
            <w:pPr>
              <w:jc w:val="center"/>
              <w:ind w:left="301"/>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10"/>
          </w:tcPr>
          <w:p>
            <w:pPr>
              <w:jc w:val="right"/>
              <w:ind w:right="8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October 29,</w:t>
            </w:r>
          </w:p>
        </w:tc>
        <w:tc>
          <w:tcPr>
            <w:tcW w:w="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312"/>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60" w:type="dxa"/>
            <w:vAlign w:val="bottom"/>
            <w:gridSpan w:val="2"/>
          </w:tcPr>
          <w:p>
            <w:pPr>
              <w:spacing w:after="0"/>
              <w:rPr>
                <w:sz w:val="11"/>
                <w:szCs w:val="11"/>
                <w:color w:val="auto"/>
              </w:rPr>
            </w:pPr>
          </w:p>
        </w:tc>
      </w:tr>
      <w:tr>
        <w:trPr>
          <w:trHeight w:val="187"/>
        </w:trPr>
        <w:tc>
          <w:tcPr>
            <w:tcW w:w="5480" w:type="dxa"/>
            <w:vAlign w:val="bottom"/>
            <w:gridSpan w:val="2"/>
          </w:tcPr>
          <w:p>
            <w:pPr>
              <w:ind w:left="5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5"/>
          </w:tcPr>
          <w:p>
            <w:pPr>
              <w:jc w:val="center"/>
              <w:ind w:left="5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2"/>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gridSpan w:val="4"/>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tcPr>
          <w:p>
            <w:pPr>
              <w:spacing w:after="0"/>
              <w:rPr>
                <w:sz w:val="21"/>
                <w:szCs w:val="21"/>
                <w:color w:val="auto"/>
              </w:rPr>
            </w:pPr>
          </w:p>
        </w:tc>
      </w:tr>
      <w:tr>
        <w:trPr>
          <w:trHeight w:val="23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and modification of debt</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gridSpan w:val="6"/>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5"/>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7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20"/>
                <w:szCs w:val="20"/>
                <w:color w:val="auto"/>
              </w:rPr>
            </w:pPr>
          </w:p>
        </w:tc>
      </w:tr>
      <w:tr>
        <w:trPr>
          <w:trHeight w:val="209"/>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before income taxes and income</w:t>
            </w: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54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920" w:type="dxa"/>
            <w:vAlign w:val="bottom"/>
            <w:shd w:val="clear" w:color="auto" w:fill="CFF0FC"/>
          </w:tcPr>
          <w:p>
            <w:pPr>
              <w:spacing w:after="0"/>
              <w:rPr>
                <w:sz w:val="21"/>
                <w:szCs w:val="21"/>
                <w:color w:val="auto"/>
              </w:rPr>
            </w:pPr>
          </w:p>
        </w:tc>
        <w:tc>
          <w:tcPr>
            <w:tcW w:w="760" w:type="dxa"/>
            <w:vAlign w:val="bottom"/>
            <w:gridSpan w:val="4"/>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21"/>
                <w:szCs w:val="21"/>
                <w:color w:val="auto"/>
              </w:rPr>
            </w:pPr>
          </w:p>
        </w:tc>
      </w:tr>
      <w:tr>
        <w:trPr>
          <w:trHeight w:val="237"/>
        </w:trPr>
        <w:tc>
          <w:tcPr>
            <w:tcW w:w="45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FF0FC"/>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tcPr>
          <w:p>
            <w:pPr>
              <w:spacing w:after="0"/>
              <w:rPr>
                <w:sz w:val="21"/>
                <w:szCs w:val="21"/>
                <w:color w:val="auto"/>
              </w:rPr>
            </w:pPr>
          </w:p>
        </w:tc>
      </w:tr>
      <w:tr>
        <w:trPr>
          <w:trHeight w:val="209"/>
        </w:trPr>
        <w:tc>
          <w:tcPr>
            <w:tcW w:w="45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income attributable to Class A and B-1</w:t>
            </w: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4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405"/>
        </w:trPr>
        <w:tc>
          <w:tcPr>
            <w:tcW w:w="4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1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10"/>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4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6"/>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5"/>
          </w:tcPr>
          <w:p>
            <w:pPr>
              <w:jc w:val="right"/>
              <w:ind w:right="170"/>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5"/>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2"/>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60" w:type="dxa"/>
            <w:vAlign w:val="bottom"/>
            <w:gridSpan w:val="2"/>
          </w:tcPr>
          <w:p>
            <w:pPr>
              <w:spacing w:after="0"/>
              <w:rPr>
                <w:sz w:val="11"/>
                <w:szCs w:val="11"/>
                <w:color w:val="auto"/>
              </w:rPr>
            </w:pPr>
          </w:p>
        </w:tc>
      </w:tr>
      <w:tr>
        <w:trPr>
          <w:trHeight w:val="187"/>
        </w:trPr>
        <w:tc>
          <w:tcPr>
            <w:tcW w:w="4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gridSpan w:val="6"/>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Operational Data:</w:t>
            </w:r>
          </w:p>
        </w:tc>
        <w:tc>
          <w:tcPr>
            <w:tcW w:w="26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sales increase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15.5 %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4.3 %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47"/>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pet care centers at end of period</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(in thousands)</w:t>
            </w:r>
          </w:p>
        </w:tc>
        <w:tc>
          <w:tcPr>
            <w:tcW w:w="580" w:type="dxa"/>
            <w:vAlign w:val="bottom"/>
            <w:gridSpan w:val="3"/>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138,509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412,061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57"/>
        </w:trPr>
        <w:tc>
          <w:tcPr>
            <w:tcW w:w="4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-6694170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-6694170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-6694170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-6694170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-5914390</wp:posOffset>
            </wp:positionV>
            <wp:extent cx="77470" cy="3003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-5914390</wp:posOffset>
            </wp:positionV>
            <wp:extent cx="68580" cy="3003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-5914390</wp:posOffset>
            </wp:positionV>
            <wp:extent cx="68580" cy="300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-5914390</wp:posOffset>
            </wp:positionV>
            <wp:extent cx="68580" cy="300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-3908425</wp:posOffset>
            </wp:positionV>
            <wp:extent cx="76835"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-3908425</wp:posOffset>
            </wp:positionV>
            <wp:extent cx="6858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-3908425</wp:posOffset>
            </wp:positionV>
            <wp:extent cx="6858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-2202180</wp:posOffset>
            </wp:positionV>
            <wp:extent cx="76835"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-2202180</wp:posOffset>
            </wp:positionV>
            <wp:extent cx="68580"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-2202180</wp:posOffset>
            </wp:positionV>
            <wp:extent cx="6858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-1885315</wp:posOffset>
            </wp:positionV>
            <wp:extent cx="76835" cy="3003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-1885315</wp:posOffset>
            </wp:positionV>
            <wp:extent cx="68580" cy="3003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-1885315</wp:posOffset>
            </wp:positionV>
            <wp:extent cx="68580" cy="3003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3003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657" w:right="279" w:bottom="1440" w:gutter="0" w:footer="0" w:header="0"/>
        </w:sectPr>
      </w:pPr>
    </w:p>
    <w:bookmarkStart w:id="19" w:name="page20"/>
    <w:bookmarkEnd w:id="19"/>
    <w:p>
      <w:pPr>
        <w:ind w:right="660" w:firstLine="592"/>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Thirteen and Thirty-nine Weeks Ended October 29, 2022 Compared with Thirteen and Thirty-nine Weeks Ended October 30, 2021 </w:t>
      </w:r>
      <w:r>
        <w:rPr>
          <w:rFonts w:ascii="Times New Roman" w:cs="Times New Roman" w:eastAsia="Times New Roman" w:hAnsi="Times New Roman"/>
          <w:sz w:val="18"/>
          <w:szCs w:val="18"/>
          <w:b w:val="1"/>
          <w:bCs w:val="1"/>
          <w:i w:val="1"/>
          <w:iCs w:val="1"/>
          <w:color w:val="auto"/>
        </w:rPr>
        <w:t>Net Sales and Comparable Sales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1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1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20" w:type="dxa"/>
            <w:vAlign w:val="bottom"/>
          </w:tcPr>
          <w:p>
            <w:pPr>
              <w:spacing w:after="0"/>
              <w:rPr>
                <w:sz w:val="10"/>
                <w:szCs w:val="10"/>
                <w:color w:val="auto"/>
              </w:rPr>
            </w:pPr>
          </w:p>
        </w:tc>
        <w:tc>
          <w:tcPr>
            <w:tcW w:w="7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260" w:type="dxa"/>
            <w:vAlign w:val="bottom"/>
          </w:tcPr>
          <w:p>
            <w:pPr>
              <w:spacing w:after="0"/>
              <w:rPr>
                <w:sz w:val="10"/>
                <w:szCs w:val="10"/>
                <w:color w:val="auto"/>
              </w:rPr>
            </w:pPr>
          </w:p>
        </w:tc>
        <w:tc>
          <w:tcPr>
            <w:tcW w:w="7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31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440" w:type="dxa"/>
            <w:vAlign w:val="bottom"/>
          </w:tcPr>
          <w:p>
            <w:pPr>
              <w:jc w:val="right"/>
              <w:ind w:right="61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74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200" w:type="dxa"/>
            <w:vAlign w:val="bottom"/>
          </w:tcPr>
          <w:p>
            <w:pPr>
              <w:spacing w:after="0"/>
              <w:rPr>
                <w:sz w:val="10"/>
                <w:szCs w:val="10"/>
                <w:color w:val="auto"/>
              </w:rPr>
            </w:pPr>
          </w:p>
        </w:tc>
        <w:tc>
          <w:tcPr>
            <w:tcW w:w="7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31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1440" w:type="dxa"/>
            <w:vAlign w:val="bottom"/>
          </w:tcPr>
          <w:p>
            <w:pPr>
              <w:jc w:val="right"/>
              <w:ind w:right="61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60" w:type="dxa"/>
            <w:vAlign w:val="bottom"/>
          </w:tcPr>
          <w:p>
            <w:pPr>
              <w:spacing w:after="0"/>
              <w:rPr>
                <w:sz w:val="14"/>
                <w:szCs w:val="14"/>
                <w:color w:val="auto"/>
              </w:rPr>
            </w:pPr>
          </w:p>
        </w:tc>
        <w:tc>
          <w:tcPr>
            <w:tcW w:w="6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60" w:type="dxa"/>
            <w:vAlign w:val="bottom"/>
            <w:gridSpan w:val="2"/>
          </w:tcPr>
          <w:p>
            <w:pPr>
              <w:jc w:val="right"/>
              <w:ind w:right="677"/>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Pr>
          <w:p>
            <w:pPr>
              <w:spacing w:after="0"/>
              <w:rPr>
                <w:sz w:val="14"/>
                <w:szCs w:val="14"/>
                <w:color w:val="auto"/>
              </w:rPr>
            </w:pPr>
          </w:p>
        </w:tc>
        <w:tc>
          <w:tcPr>
            <w:tcW w:w="6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0" w:type="dxa"/>
            <w:vAlign w:val="bottom"/>
            <w:gridSpan w:val="3"/>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55"/>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Consumables</w:t>
            </w: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720,512</w:t>
            </w:r>
          </w:p>
        </w:tc>
        <w:tc>
          <w:tcPr>
            <w:tcW w:w="26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643,125</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77,387</w:t>
            </w:r>
          </w:p>
        </w:tc>
        <w:tc>
          <w:tcPr>
            <w:tcW w:w="260" w:type="dxa"/>
            <w:vAlign w:val="bottom"/>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2,093,510</w:t>
            </w: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1,850,203</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243,307</w:t>
            </w:r>
          </w:p>
        </w:tc>
        <w:tc>
          <w:tcPr>
            <w:tcW w:w="220" w:type="dxa"/>
            <w:vAlign w:val="bottom"/>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Supplies and companion animals</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575,259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635,278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(60,019 )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1,775,149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1,957,022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(181,873 )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0" w:type="dxa"/>
            <w:vAlign w:val="bottom"/>
          </w:tcPr>
          <w:p>
            <w:pPr>
              <w:spacing w:after="0"/>
              <w:rPr>
                <w:sz w:val="1"/>
                <w:szCs w:val="1"/>
                <w:color w:val="auto"/>
              </w:rPr>
            </w:pPr>
          </w:p>
        </w:tc>
      </w:tr>
      <w:tr>
        <w:trPr>
          <w:trHeight w:val="162"/>
        </w:trPr>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Services and other</w:t>
            </w: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205,449</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164,861</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40,588</w:t>
            </w:r>
          </w:p>
        </w:tc>
        <w:tc>
          <w:tcPr>
            <w:tcW w:w="260" w:type="dxa"/>
            <w:vAlign w:val="bottom"/>
            <w:tcBorders>
              <w:bottom w:val="single" w:sz="8" w:color="CFF0FC"/>
            </w:tcBorders>
            <w:shd w:val="clear" w:color="auto" w:fill="CFF0FC"/>
          </w:tcPr>
          <w:p>
            <w:pPr>
              <w:spacing w:after="0"/>
              <w:rPr>
                <w:sz w:val="14"/>
                <w:szCs w:val="14"/>
                <w:color w:val="auto"/>
              </w:rPr>
            </w:pPr>
          </w:p>
        </w:tc>
        <w:tc>
          <w:tcPr>
            <w:tcW w:w="1660" w:type="dxa"/>
            <w:vAlign w:val="bottom"/>
            <w:tcBorders>
              <w:bottom w:val="single" w:sz="8" w:color="CFF0FC"/>
            </w:tcBorders>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24.6 %</w:t>
            </w:r>
          </w:p>
        </w:tc>
        <w:tc>
          <w:tcPr>
            <w:tcW w:w="1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589,349</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485,567</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103,782</w:t>
            </w:r>
          </w:p>
        </w:tc>
        <w:tc>
          <w:tcPr>
            <w:tcW w:w="220" w:type="dxa"/>
            <w:vAlign w:val="bottom"/>
            <w:tcBorders>
              <w:bottom w:val="single" w:sz="8" w:color="CFF0FC"/>
            </w:tcBorders>
            <w:shd w:val="clear" w:color="auto" w:fill="CFF0FC"/>
          </w:tcPr>
          <w:p>
            <w:pPr>
              <w:spacing w:after="0"/>
              <w:rPr>
                <w:sz w:val="14"/>
                <w:szCs w:val="14"/>
                <w:color w:val="auto"/>
              </w:rPr>
            </w:pP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1,501,220</w:t>
            </w:r>
          </w:p>
        </w:tc>
        <w:tc>
          <w:tcPr>
            <w:tcW w:w="42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1,443,264</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57,956</w:t>
            </w:r>
          </w:p>
        </w:tc>
        <w:tc>
          <w:tcPr>
            <w:tcW w:w="260" w:type="dxa"/>
            <w:vAlign w:val="bottom"/>
          </w:tcPr>
          <w:p>
            <w:pPr>
              <w:spacing w:after="0"/>
              <w:rPr>
                <w:sz w:val="13"/>
                <w:szCs w:val="13"/>
                <w:color w:val="auto"/>
              </w:rPr>
            </w:pPr>
          </w:p>
        </w:tc>
        <w:tc>
          <w:tcPr>
            <w:tcW w:w="166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4.0 %</w:t>
            </w:r>
          </w:p>
        </w:tc>
        <w:tc>
          <w:tcPr>
            <w:tcW w:w="140" w:type="dxa"/>
            <w:vAlign w:val="bottom"/>
            <w:vMerge w:val="restart"/>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4,458,008</w:t>
            </w:r>
          </w:p>
        </w:tc>
        <w:tc>
          <w:tcPr>
            <w:tcW w:w="36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4,292,792</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165,216</w:t>
            </w:r>
          </w:p>
        </w:tc>
        <w:tc>
          <w:tcPr>
            <w:tcW w:w="220" w:type="dxa"/>
            <w:vAlign w:val="bottom"/>
          </w:tcPr>
          <w:p>
            <w:pPr>
              <w:spacing w:after="0"/>
              <w:rPr>
                <w:sz w:val="13"/>
                <w:szCs w:val="13"/>
                <w:color w:val="auto"/>
              </w:rPr>
            </w:pPr>
          </w:p>
        </w:tc>
        <w:tc>
          <w:tcPr>
            <w:tcW w:w="16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3.8 %</w:t>
            </w:r>
          </w:p>
        </w:tc>
        <w:tc>
          <w:tcPr>
            <w:tcW w:w="0" w:type="dxa"/>
            <w:vAlign w:val="bottom"/>
          </w:tcPr>
          <w:p>
            <w:pPr>
              <w:spacing w:after="0"/>
              <w:rPr>
                <w:sz w:val="1"/>
                <w:szCs w:val="1"/>
                <w:color w:val="auto"/>
              </w:rPr>
            </w:pPr>
          </w:p>
        </w:tc>
      </w:tr>
      <w:tr>
        <w:trPr>
          <w:trHeight w:val="92"/>
        </w:trPr>
        <w:tc>
          <w:tcPr>
            <w:tcW w:w="20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-196850</wp:posOffset>
            </wp:positionV>
            <wp:extent cx="76835" cy="197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-196850</wp:posOffset>
            </wp:positionV>
            <wp:extent cx="76835" cy="1974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-196850</wp:posOffset>
            </wp:positionV>
            <wp:extent cx="77470" cy="1974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19748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-196850</wp:posOffset>
            </wp:positionV>
            <wp:extent cx="68580" cy="1974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-196850</wp:posOffset>
            </wp:positionV>
            <wp:extent cx="68580" cy="1974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-196850</wp:posOffset>
            </wp:positionV>
            <wp:extent cx="68580" cy="1974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97485"/>
                    </a:xfrm>
                    <a:prstGeom prst="rect">
                      <a:avLst/>
                    </a:prstGeom>
                    <a:noFill/>
                  </pic:spPr>
                </pic:pic>
              </a:graphicData>
            </a:graphic>
          </wp:anchor>
        </w:drawing>
      </w:r>
    </w:p>
    <w:p>
      <w:pPr>
        <w:spacing w:after="0" w:line="3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Net sales increased $58.0 million, or 4.0%, to $1.50 billion in the thirteen weeks ended October 29, 2022 compared to net sales of $1.44 billion in the thirteen weeks ended October 30, 2021, driven by a 4.1% increase in our comparable sales. Net sales increased $165.2 million, or 3.8%, to $4.46 billion in the thirty-nine weeks ended October 29, 2022 compared to net sales of $4.29 billion in the thirty-nine weeks ended October 30, 2021, driven by a 4.3% increase in our comparable sales. Our sales growth period-over-period was driven by our strong execution and differentiated model across digital and in our pet care centers and continued growth in our active customer base. Our total sales mix remains strong, led by continued momentum in consumables and services, whose customers shop more frequently and have among our highest long-term value. This growth is slightly offset by a decrease in supplies and companion animals sales driven by softening in discretionary spend associated with the current inflationary macroeconomic environment and the lapping of a stimulus-driven prior year. We have made certain pricing actions to partially offset cost increases during the thirty-nine weeks ended October 29, 2022.</w:t>
      </w:r>
    </w:p>
    <w:p>
      <w:pPr>
        <w:spacing w:after="0" w:line="8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increase in consumables sales between the periods was driven in part by the increase in new pets, our strategic investments in customer acquisition and retention, continued expansion of our product assortment and a mix shift to more premium consumables, including fresh and frozen food. The decrease in supplies and companion animals sales is due in part to a strong stimulus driven thirty-nine week period ended October 30, 2021 and a decrease in spending on certain non-essential items. The increase in services and other was due in part to the increase in new pets, growth in our membership offerings like Vital Care, and growth in our grooming services and veterinary hospital business in which we now operate over 225 veterinary hospitals – an increase of over 55 since October 30, 2021.</w:t>
      </w:r>
    </w:p>
    <w:p>
      <w:pPr>
        <w:spacing w:after="0" w:line="7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For the thirteen and thirty-nine weeks ended October 29, 2022, pet care center merchandise delivered growth of 1.0% and 1.1%, respectively, led by strong growth in consumables. E-commerce and digital sales increased 9.9% and 10.1% during the thirteen and thirty-nine weeks ended October 29, 2022, respectively, driven by strength in our online initiatives such as repeat delivery, buy online pick up in-store (“BOPUS”), ship from store, and same day delivery as well as an increase in average basket. Services sales, which include veterinary hospitals, increased 14.4% and 15.4% during the thirteen and thirty-nine weeks ended October 29, 2022, respectively, reflecting expansion of our veterinary hospital footprint and strong growth in veterinary and grooming customers.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Gross profit increased $3.0 million, or 0.5%, to $597.7 million in the thirteen weeks ended October 29, 2022 compared to gross profit of $594.7 million for the thirteen weeks ended October 30, 2021. As a percentage of sales, our gross profit rate was 39.8% for the thirteen weeks ended October 29, 2022 compared with 41.2% for the thirteen weeks ended October 30, 2021. Gross profit increased $8.7 million, or 0.5%, to $1,799.8 million in the thirty-nine weeks ended October 29, 2022 compared to gross profit of $1,791.1 million for the thirty-nine weeks ended October 30, 2021. As a percentage of sales, our gross profit rate was 40.4% for the thirty-nine weeks ended October 29, 2022 compared with 41.7% for the thirty-nine weeks ended October 30, 2021. The decrease in gross profit rate between the periods was primarily due to the mix impact of strong consumables sales and lower supplies and companion animal sales during the thirteen and thirty-nine weeks ended October 29, 2022. Sales channel impacts driven by strength in our digital and services business, moderate increases in distribution costs, and one-time integration costs relating to the purchase of the remaining stake in our veterinary joint venture also contributed to the decrease in gross profit rate during the thirteen and thirty-nine weeks ended October 29, 2022 as compared to the prior year periods.</w:t>
      </w:r>
    </w:p>
    <w:p>
      <w:pPr>
        <w:spacing w:after="0" w:line="1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82"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SG&amp;A expenses increased $16.9 million, or 3.2%, to $549.6 million for the thirteen weeks ended October 29, 2022 compared to $532.8 million for the thirteen weeks ended October 30, 2021. As a percentage of net sales, SG&amp;A expenses were 36.6% for the thirteen weeks ended October 29, 2022 compared with 36.9% for the thirteen weeks ended October 30, 2021. The increase in SG&amp;A expenses period-over-period was to support our growth as we continue to invest in infrastructure and our people, along with higher variable costs on increased sales.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SG&amp;A expenses increased $43.9 million, or 2.7%, to $1,651.8 million for the thirty-nine weeks ended October 29, 2022 compared to $1,607.9 million for the thirty-nine weeks ended October 30, 2021. As a percentage of net sales, SG&amp;A expenses were 37.1% for the thirty-nine weeks ended October 29, 2022 compared with 37.5% for the thirty-nine weeks ended October 30, 2021, reflecting operating leverage from net sales growth. The increase in SG&amp;A expenses period-over-period was to support our growth as we continue to invest in infrastructure and our people and was partially offset by a decrease in advertising expenses, primarily due to investments that were made during the thirty-nine week period ended October 30, 2021 for our rebranding campaign, inclusive of a TV launch and associated advertisements.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Interest expense increased $8.5 million, or 45.5%, to $27.3 million in the thirteen weeks ended October 29, 2022 compared with $18.8 million in the thirteen weeks ended October 30, 2021. Interest expense increased $10.3 million, or 17.5%, to $68.8 million in the thirty-nine weeks ended October 29, 2022 compared with $58.5 million in the thirty-nine weeks ended October 30, 2021. The increase was primarily driven by higher interest rates on the First Lien Term Loan. For more information on these obligations, refer to Note 3, “Senior Secured Credit Facilities,” to the Notes to Consolidated Financial Statements included in Part I, Item 1 of this Form 10-Q.</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and Modification of Debt</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Loss on extinguishment and modification of debt was $20.8 million for the thirty-nine weeks ended October 30, 2021. This loss was recognized in conjunction with the March 2021 refinancing of the Amended Term Loan Facility and Amended Revolving Credit Facility. There was no loss on debt extinguishment and modification for the thirteen weeks ended October 30, 2021 or the thirteen and thirty-nine weeks ended October 29, 2022. For more information regarding these activities, refer to Note 3,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Loss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Other non-operating income was $0.6 million for the thirteen weeks ended October 29, 2022, and other non-operating loss was $9.4 million for the thirty-nine weeks ended October 29, 2022. Other non-operating income was $19.8 million and $64.9 million for the thirteen and thirty-nine weeks ended October 30, 2021, respectively. These losses and gains relate to non-cash remeasurements of the fair value of our investment in Rover Group, Inc. For more information regarding this activity, refer to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160" w:firstLine="509"/>
        <w:spacing w:after="0" w:line="263" w:lineRule="auto"/>
        <w:rPr>
          <w:sz w:val="20"/>
          <w:szCs w:val="20"/>
          <w:color w:val="auto"/>
        </w:rPr>
      </w:pPr>
      <w:r>
        <w:rPr>
          <w:rFonts w:ascii="Times New Roman" w:cs="Times New Roman" w:eastAsia="Times New Roman" w:hAnsi="Times New Roman"/>
          <w:sz w:val="18"/>
          <w:szCs w:val="18"/>
          <w:color w:val="auto"/>
        </w:rPr>
        <w:t>Our effective tax rates were 17.3% and 26.4%, resulting in income tax expense of $4.2 million and $20.8 million for the thirteen and thirty-nine weeks ended October 29, 2022, respectively, compared to effective tax rates of 21.1% and 24.4%, resulting in income tax expense of $14.1 million and $43.8 million for the thirteen and thirty-nine weeks ended October 30, 2021, respectively. The decrease in effective tax rate for the thirteen weeks ended October 29, 2022 is primarily driven by an increase in federal tax credits. The increase in effective tax rate for the thirty-nine weeks ended October 29, 2022 is primarily driven by a decrease in earnings in the thirty-nine weeks ended October 29, 2022 and the recognition of professional fees and other transaction costs incurred by the Company in connection with its initial public offering during the thirteen and thirty-nine weeks ended October 30, 2021.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3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Operations—Reconciliation of Non-GAAP Financial Measures to GAAP Measures” included in the 2021 Form 10-K for more information regarding how we define Adjusted EBITDA.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Adjusted EBITDA and Adjusted EBITDA Margin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58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57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7"/>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570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Net income attributable to Class A and B-1</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5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common stockholders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(2,627 )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(2,637 )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(7,821 )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(7,490 )</w:t>
            </w:r>
          </w:p>
        </w:tc>
        <w:tc>
          <w:tcPr>
            <w:tcW w:w="60" w:type="dxa"/>
            <w:vAlign w:val="bottom"/>
          </w:tcPr>
          <w:p>
            <w:pPr>
              <w:spacing w:after="0"/>
              <w:rPr>
                <w:sz w:val="21"/>
                <w:szCs w:val="21"/>
                <w:color w:val="auto"/>
              </w:rPr>
            </w:pP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debt extinguishment and modification</w:t>
            </w:r>
          </w:p>
        </w:tc>
        <w:tc>
          <w:tcPr>
            <w:tcW w:w="18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impairments and write offs</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(576 )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(19,773 )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(64,934 )</w:t>
            </w:r>
          </w:p>
        </w:tc>
        <w:tc>
          <w:tcPr>
            <w:tcW w:w="60" w:type="dxa"/>
            <w:vAlign w:val="bottom"/>
          </w:tcPr>
          <w:p>
            <w:pPr>
              <w:spacing w:after="0"/>
              <w:rPr>
                <w:sz w:val="21"/>
                <w:szCs w:val="21"/>
                <w:color w:val="auto"/>
              </w:rPr>
            </w:pP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Mexico joint venture EBITDA (1)</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Store pre-opening expenses</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Store closing expenses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occupancy-related costs (2)</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Acquisition-related integration costs (3)</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3"/>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costs (4)</w:t>
            </w: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1,501,220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4,458,008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4,292,792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margin (5)</w:t>
            </w:r>
          </w:p>
        </w:tc>
        <w:tc>
          <w:tcPr>
            <w:tcW w:w="18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3.7 %</w:t>
            </w:r>
          </w:p>
        </w:tc>
        <w:tc>
          <w:tcPr>
            <w:tcW w:w="16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8"/>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Adjusted EBITDA Margin (5)</w:t>
            </w:r>
          </w:p>
        </w:tc>
        <w:tc>
          <w:tcPr>
            <w:tcW w:w="18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9.2 %</w:t>
            </w:r>
          </w:p>
        </w:tc>
        <w:tc>
          <w:tcPr>
            <w:tcW w:w="16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9.6 %</w:t>
            </w:r>
          </w:p>
        </w:tc>
        <w:tc>
          <w:tcPr>
            <w:tcW w:w="16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9.2 %</w:t>
            </w:r>
          </w:p>
        </w:tc>
        <w:tc>
          <w:tcPr>
            <w:tcW w:w="16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-642620</wp:posOffset>
            </wp:positionV>
            <wp:extent cx="7683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-642620</wp:posOffset>
            </wp:positionV>
            <wp:extent cx="685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-642620</wp:posOffset>
            </wp:positionV>
            <wp:extent cx="685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19030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22" w:lineRule="exact"/>
        <w:rPr>
          <w:sz w:val="20"/>
          <w:szCs w:val="20"/>
          <w:color w:val="auto"/>
        </w:rPr>
      </w:pPr>
    </w:p>
    <w:p>
      <w:pPr>
        <w:ind w:left="520" w:right="100" w:hanging="512"/>
        <w:spacing w:after="0" w:line="236"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6"/>
                <w:szCs w:val="16"/>
                <w:color w:val="auto"/>
              </w:rPr>
            </w:pPr>
          </w:p>
        </w:tc>
        <w:tc>
          <w:tcPr>
            <w:tcW w:w="25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5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r>
      <w:tr>
        <w:trPr>
          <w:trHeight w:val="18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gain</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(395 )</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(547 )</w:t>
            </w:r>
          </w:p>
        </w:tc>
      </w:tr>
      <w:tr>
        <w:trPr>
          <w:trHeight w:val="243"/>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40,637</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37,046</w:t>
            </w:r>
          </w:p>
        </w:tc>
        <w:tc>
          <w:tcPr>
            <w:tcW w:w="100" w:type="dxa"/>
            <w:vAlign w:val="bottom"/>
          </w:tcPr>
          <w:p>
            <w:pPr>
              <w:spacing w:after="0"/>
              <w:rPr>
                <w:sz w:val="20"/>
                <w:szCs w:val="20"/>
                <w:color w:val="auto"/>
              </w:rPr>
            </w:pPr>
          </w:p>
        </w:tc>
      </w:tr>
      <w:tr>
        <w:trPr>
          <w:trHeight w:val="27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 of EBITDA</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-350520</wp:posOffset>
            </wp:positionV>
            <wp:extent cx="7747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-350520</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-350520</wp:posOffset>
            </wp:positionV>
            <wp:extent cx="6858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19030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54"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occupancy-related costs include the difference between cash and straight-line rent for all periods.</w:t>
      </w:r>
    </w:p>
    <w:p>
      <w:pPr>
        <w:spacing w:after="0" w:line="95" w:lineRule="exact"/>
        <w:rPr>
          <w:rFonts w:ascii="Times New Roman" w:cs="Times New Roman" w:eastAsia="Times New Roman" w:hAnsi="Times New Roman"/>
          <w:sz w:val="14"/>
          <w:szCs w:val="14"/>
          <w:color w:val="auto"/>
        </w:rPr>
      </w:pPr>
    </w:p>
    <w:p>
      <w:pPr>
        <w:ind w:left="520" w:right="140" w:hanging="512"/>
        <w:spacing w:after="0" w:line="256"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integration costs include direct costs resulting from acquiring and integrating businesses. These include third-party professional and legal fees and other integration-related costs that would not have otherwise been incurred as part of the Company’s operations. For the thirteen weeks ended October 29, 2022, approximately $1.0 million of integration costs were recorded in cost of sales and $0.6 million of integration costs were recorded in selling, general and administrative expenses relating to the purchase of the remaining stake in our veterinary joint venture. For the thirty-nine weeks ended October 29, 2022, approximately $7.7 million of integration costs were recorded in cost of sales and $7.0 million of integration costs were recorded in selling, general and administrative expenses relating to the purchase of the remaining stake in our veterinary joint venture.</w:t>
      </w:r>
    </w:p>
    <w:p>
      <w:pPr>
        <w:spacing w:after="0" w:line="59" w:lineRule="exact"/>
        <w:rPr>
          <w:rFonts w:ascii="Times New Roman" w:cs="Times New Roman" w:eastAsia="Times New Roman" w:hAnsi="Times New Roman"/>
          <w:sz w:val="14"/>
          <w:szCs w:val="14"/>
          <w:color w:val="auto"/>
        </w:rPr>
      </w:pPr>
    </w:p>
    <w:p>
      <w:pPr>
        <w:ind w:left="520" w:right="80" w:hanging="512"/>
        <w:spacing w:after="0" w:line="261"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severance; legal reserves and related fees; one-time consulting and other costs associated with our strategic transformation initiatives; discontinuation and liquidation costs; and costs related to our initial public offering and refinancing.</w:t>
      </w:r>
    </w:p>
    <w:p>
      <w:pPr>
        <w:spacing w:after="0" w:line="54"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net margin as net income attributable to Class A and B-1 common stockholders divided by net sales and Adjusted EBITDA margin as Adjusted EBITDA divided by net sales.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Free Cash Flow is a non-GAAP financial measure that is calculated as net cash provided by operating activities less cash paid for fixed assets. Management believes that Free Cash Flow, which measures our ability to</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generate additional cash from our business operations, is an important financial measure for use in evaluating the Company’s financial performance.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Free Cash Flow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31"/>
        </w:trPr>
        <w:tc>
          <w:tcPr>
            <w:tcW w:w="77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right"/>
              <w:ind w:right="61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357"/>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209,463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fixed assets</w:t>
            </w:r>
          </w:p>
        </w:tc>
        <w:tc>
          <w:tcPr>
            <w:tcW w:w="280" w:type="dxa"/>
            <w:vAlign w:val="bottom"/>
          </w:tcPr>
          <w:p>
            <w:pPr>
              <w:spacing w:after="0"/>
              <w:rPr>
                <w:sz w:val="20"/>
                <w:szCs w:val="20"/>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(212,074 )</w:t>
            </w:r>
          </w:p>
        </w:tc>
        <w:tc>
          <w:tcPr>
            <w:tcW w:w="2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(164,330 )</w:t>
            </w: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funds generated by operating activities and available capacity for borrowings on our $500 million secured asset-based revolving credit facility maturing March 4, 2026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October 29, 2022 was $592.6 million, inclusive of cash and cash equivalents of $148.7 million and $443.9 million of availability on the ABL Revolving Credit Facility.</w:t>
      </w:r>
    </w:p>
    <w:p>
      <w:pPr>
        <w:spacing w:after="0" w:line="7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ectPr>
          <w:pgSz w:w="11900" w:h="16838" w:orient="portrait"/>
          <w:cols w:equalWidth="0" w:num="1">
            <w:col w:w="11240"/>
          </w:cols>
          <w:pgMar w:left="320" w:top="445" w:right="339" w:bottom="1440" w:gutter="0" w:footer="0" w:header="0"/>
        </w:sectPr>
      </w:pPr>
    </w:p>
    <w:p>
      <w:pPr>
        <w:spacing w:after="0" w:line="3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w:t>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540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Thirty-nine weeks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356"/>
              <w:spacing w:after="0" w:line="131"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60" w:type="dxa"/>
            <w:vAlign w:val="bottom"/>
          </w:tcPr>
          <w:p>
            <w:pPr>
              <w:spacing w:after="0"/>
              <w:rPr>
                <w:sz w:val="11"/>
                <w:szCs w:val="11"/>
                <w:color w:val="auto"/>
              </w:rPr>
            </w:pPr>
          </w:p>
        </w:tc>
      </w:tr>
      <w:tr>
        <w:trPr>
          <w:trHeight w:val="187"/>
        </w:trPr>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466"/>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209,463</w:t>
            </w:r>
          </w:p>
        </w:tc>
        <w:tc>
          <w:tcPr>
            <w:tcW w:w="2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288,444</w:t>
            </w:r>
          </w:p>
        </w:tc>
        <w:tc>
          <w:tcPr>
            <w:tcW w:w="60" w:type="dxa"/>
            <w:vAlign w:val="bottom"/>
          </w:tcPr>
          <w:p>
            <w:pPr>
              <w:spacing w:after="0"/>
              <w:rPr>
                <w:sz w:val="24"/>
                <w:szCs w:val="24"/>
                <w:color w:val="auto"/>
              </w:rPr>
            </w:pPr>
          </w:p>
        </w:tc>
      </w:tr>
      <w:tr>
        <w:trPr>
          <w:trHeight w:val="243"/>
        </w:trPr>
        <w:tc>
          <w:tcPr>
            <w:tcW w:w="2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(252,697 )</w:t>
            </w:r>
          </w:p>
        </w:tc>
        <w:tc>
          <w:tcPr>
            <w:tcW w:w="2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(167,770 )</w:t>
            </w:r>
          </w:p>
        </w:tc>
      </w:tr>
      <w:tr>
        <w:trPr>
          <w:trHeight w:val="250"/>
        </w:trPr>
        <w:tc>
          <w:tcPr>
            <w:tcW w:w="2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(27,033 )</w:t>
            </w:r>
          </w:p>
        </w:tc>
        <w:tc>
          <w:tcPr>
            <w:tcW w:w="2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(14,863 )</w:t>
            </w:r>
          </w:p>
        </w:tc>
      </w:tr>
      <w:tr>
        <w:trPr>
          <w:trHeight w:val="20"/>
        </w:trPr>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(70,267 )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105,811</w:t>
            </w:r>
          </w:p>
        </w:tc>
        <w:tc>
          <w:tcPr>
            <w:tcW w:w="60" w:type="dxa"/>
            <w:vAlign w:val="bottom"/>
          </w:tcPr>
          <w:p>
            <w:pPr>
              <w:spacing w:after="0"/>
              <w:rPr>
                <w:sz w:val="24"/>
                <w:szCs w:val="24"/>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56" w:lineRule="exact"/>
        <w:rPr>
          <w:sz w:val="20"/>
          <w:szCs w:val="20"/>
          <w:color w:val="auto"/>
        </w:rPr>
      </w:pPr>
    </w:p>
    <w:p>
      <w:pPr>
        <w:sectPr>
          <w:pgSz w:w="11900" w:h="16838" w:orient="portrait"/>
          <w:cols w:equalWidth="0" w:num="2">
            <w:col w:w="7000" w:space="720"/>
            <w:col w:w="3520"/>
          </w:cols>
          <w:pgMar w:left="320" w:top="445" w:right="339" w:bottom="1440" w:gutter="0" w:footer="0" w:header="0"/>
          <w:type w:val="continuous"/>
        </w:sect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adjusted for certain non-cash items, including: depreciation, amortization, impairments and write-offs; amortization of debt discounts and issuance costs; deferred income taxes; equity-based compensation; impairments of goodwill and intangible assets; other non-operating loss (income); and the effect of changes in operating assets and liabilities.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4" w:name="page25"/>
    <w:bookmarkEnd w:id="24"/>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$209.5 million in the thirty-nine weeks ended October 29, 2022 compared with net cash provided by operating activities of $288.4 million in the thirty-nine weeks ended October 30, 2021. The decrease in operating cash flow was due to lower operating income, an increase in cash paid for inventory, higher payroll and fringe benefits including payouts of prior year accrued incentive bonuses. This was partially offset by timing differences in accounts payable as well as lower cash payments on operating leases due to the timing of rent payments.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ind w:right="80" w:firstLine="469"/>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consists of capital expenditures, which in the thirty-nine weeks ended October 29, 2022 and the thirty-nine weeks ended October 30, 2021 primarily supported our transformation initiatives. Net cash used in investing activities was $252.7 million and $167.8 million for the thirty-nine weeks ended October 29, 2022 and October 30, 2021, respectively. The increase in capital expenditures between the periods was predominantly due to the expansion of our veterinary hospitals, investments in digital assets and innovation in response to our sales growth. In addition, in May 2022, we completed the purchase of the remaining 50% stake in our veterinary joint venture for $35.0 million, which is now a wholly owned subsidiary.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$27.0 million for the thirty-nine weeks ended October 29, 2022, compared with $14.9 million used in financing activities in the thirty-nine weeks ended October 30, 2021.</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Financing cash flows in the thirty-nine weeks ended October 29, 2022 primarily consisted of borrowings and repayments under the ABL Revolving Credit Facility, quarterly term loan repayments, and payments for tax withholdings on stock-based awards.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Financing cash flows in the thirty-nine weeks ended October 30, 2021 primarily consisted of borrowings and repayments of debt in connection with the March 4, 2021 debt refinancing transaction discussed under “Sources of Liquidity” below. For more information regarding these activities, refer to Note 3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March 4, 2021, the Company completed a refinancing transaction by repaying the Amended Term Loan Facility and entering into a new $1,700 million secured term loan facility maturing on March 4, 2028 (the “First Lien Term Loan”) and the ABL Revolving Credit Facility, which matures on March 4, 2026 and has availability of up to $500.0 million, subject to a borrowing base. Interest under the First Lien Term Loan is based on, at the 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payments are $4.25 million quarterly and commenced on June 30, 2021. The terms under the ABL Revolving Credit Facility are substantially similar to those of the Amended Revolving Credit Facility.</w:t>
      </w:r>
    </w:p>
    <w:p>
      <w:pPr>
        <w:spacing w:after="0" w:line="18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when the three-month Secured Overnight Financing Rate as published by CME Group exceeds 4.5%. The interest rate caps are forward-starting with an effective date of December 30, 2022 and expire on December 31, 2024.</w:t>
      </w:r>
    </w:p>
    <w:p>
      <w:pPr>
        <w:spacing w:after="0" w:line="174"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regarding this indebtedness, refer to Note 3,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us to make assumptions and estimates about future results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5" w:name="page26"/>
    <w:bookmarkEnd w:id="25"/>
    <w:p>
      <w:pPr>
        <w:ind w:right="80"/>
        <w:spacing w:after="0" w:line="258" w:lineRule="auto"/>
        <w:rPr>
          <w:sz w:val="20"/>
          <w:szCs w:val="20"/>
          <w:color w:val="auto"/>
        </w:rPr>
      </w:pPr>
      <w:r>
        <w:rPr>
          <w:rFonts w:ascii="Times New Roman" w:cs="Times New Roman" w:eastAsia="Times New Roman" w:hAnsi="Times New Roman"/>
          <w:sz w:val="18"/>
          <w:szCs w:val="18"/>
          <w:color w:val="auto"/>
        </w:rPr>
        <w:t>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the 2021 Form 10-K.</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80" w:firstLine="509"/>
        <w:spacing w:after="0" w:line="315"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Notes to Consolidated Financial Statements included in Part I, Item 1 of this Form 10-Q for information regarding recently issued accounting pronouncements.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First Lien Term Loan and the ABL Revolving Credit Facility. As of October 29, 2022, we had $1,674.5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October 29, 2022 would have increased annual cash interest in the aggregate by approximately $17.0 million. In November 2022, we entered into a series of interest rate cap agreements to limit the maximum interest on a portion of our variable-rate debt and decrease our exposure to interest rate variability when the three-month Secured Overnight Financing Rate as published by CME Group exceeds 4.5%. The interest rate caps are forward-starting with an effective date of December 30, 2022 and expire on December 31, 2024.</w:t>
      </w:r>
    </w:p>
    <w:p>
      <w:pPr>
        <w:spacing w:after="0" w:line="18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October 29, 2022,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ind w:right="280" w:firstLine="469"/>
        <w:spacing w:after="0" w:line="282"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6" w:name="page27"/>
    <w:bookmarkEnd w:id="26"/>
    <w:p>
      <w:pPr>
        <w:ind w:right="80"/>
        <w:spacing w:after="0" w:line="266" w:lineRule="auto"/>
        <w:rPr>
          <w:sz w:val="20"/>
          <w:szCs w:val="20"/>
          <w:color w:val="auto"/>
        </w:rPr>
      </w:pPr>
      <w:r>
        <w:rPr>
          <w:rFonts w:ascii="Times New Roman" w:cs="Times New Roman" w:eastAsia="Times New Roman" w:hAnsi="Times New Roman"/>
          <w:sz w:val="18"/>
          <w:szCs w:val="18"/>
          <w:color w:val="auto"/>
        </w:rPr>
        <w:t>“Exchange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76" w:lineRule="exact"/>
        <w:rPr>
          <w:sz w:val="20"/>
          <w:szCs w:val="20"/>
          <w:color w:val="auto"/>
        </w:rPr>
      </w:pPr>
    </w:p>
    <w:p>
      <w:pPr>
        <w:jc w:val="both"/>
        <w:ind w:right="100" w:firstLine="46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October 29,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80" w:firstLine="46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October 29, 2022, which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firstLine="562"/>
        <w:spacing w:after="0" w:line="284" w:lineRule="auto"/>
        <w:rPr>
          <w:sz w:val="20"/>
          <w:szCs w:val="20"/>
          <w:color w:val="auto"/>
        </w:rPr>
      </w:pPr>
      <w:r>
        <w:rPr>
          <w:rFonts w:ascii="Times New Roman" w:cs="Times New Roman" w:eastAsia="Times New Roman" w:hAnsi="Times New Roman"/>
          <w:sz w:val="18"/>
          <w:szCs w:val="18"/>
          <w:color w:val="auto"/>
        </w:rPr>
        <w:t>See Note 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Notes to Consolidated Financial Statements included in Part I, Item 1 of this Form 10-Q for a description of legal proceedings,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40" w:firstLine="562"/>
        <w:spacing w:after="0" w:line="273" w:lineRule="auto"/>
        <w:rPr>
          <w:sz w:val="20"/>
          <w:szCs w:val="20"/>
          <w:color w:val="auto"/>
        </w:rPr>
      </w:pPr>
      <w:r>
        <w:rPr>
          <w:rFonts w:ascii="Times New Roman" w:cs="Times New Roman" w:eastAsia="Times New Roman" w:hAnsi="Times New Roman"/>
          <w:sz w:val="17"/>
          <w:szCs w:val="17"/>
          <w:color w:val="auto"/>
        </w:rPr>
        <w:t>Reference is made to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included in the 2021 Form 10-K for information concerning risk factors. There have been no material changes with respect to the risk factors disclosed in the 2021 Form 10-K. You should carefully consider such factors, which could materially and adversely affect our business, financial condition and/or results of operations. The risks described in the 2021 Form 10-K are not the only risks we face.</w:t>
      </w:r>
    </w:p>
    <w:p>
      <w:pPr>
        <w:spacing w:after="0" w:line="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Additional risks and uncertainties not currently known to us or that we currently deem to be immaterial also may materially and adversely affect our business, financial condition and/or results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940" w:type="dxa"/>
            <w:vAlign w:val="bottom"/>
            <w:gridSpan w:val="10"/>
            <w:vMerge w:val="restart"/>
          </w:tcPr>
          <w:p>
            <w:pPr>
              <w:ind w:left="3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94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8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Petco Health and Wellness Company, Inc. Executive Severance Plan and Form of Participation Agreement (incorporated by reference to</w:t>
              </w:r>
            </w:hyperlink>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2"/>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Exhibit 10.1 of the Company's Current Report on Form 8-K, filed on September 30, 2022)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Separation Agreement and General Release of Claims among Petco Animal Supplies Stores, Inc., Michael Nuzzo, and Scooby LP dated</w:t>
            </w:r>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August 30, 2022</w:t>
            </w:r>
          </w:p>
        </w:tc>
        <w:tc>
          <w:tcPr>
            <w:tcW w:w="89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9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2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100" w:hanging="989"/>
        <w:spacing w:after="0"/>
        <w:tabs>
          <w:tab w:leader="none" w:pos="11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8" w:lineRule="exact"/>
        <w:rPr>
          <w:rFonts w:ascii="Times New Roman" w:cs="Times New Roman" w:eastAsia="Times New Roman" w:hAnsi="Times New Roman"/>
          <w:sz w:val="18"/>
          <w:szCs w:val="18"/>
          <w:color w:val="auto"/>
        </w:rPr>
      </w:pPr>
    </w:p>
    <w:p>
      <w:pPr>
        <w:ind w:left="620" w:hanging="599"/>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19" w:lineRule="exact"/>
        <w:rPr>
          <w:rFonts w:ascii="Times New Roman" w:cs="Times New Roman" w:eastAsia="Times New Roman" w:hAnsi="Times New Roman"/>
          <w:sz w:val="18"/>
          <w:szCs w:val="18"/>
          <w:color w:val="auto"/>
        </w:rPr>
      </w:pPr>
    </w:p>
    <w:p>
      <w:pPr>
        <w:ind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19030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256" w:lineRule="exact"/>
        <w:rPr>
          <w:sz w:val="20"/>
          <w:szCs w:val="20"/>
          <w:color w:val="auto"/>
        </w:rPr>
      </w:pPr>
    </w:p>
    <w:p>
      <w:pPr>
        <w:ind w:left="20"/>
        <w:spacing w:after="0"/>
        <w:tabs>
          <w:tab w:leader="none" w:pos="5620" w:val="left"/>
          <w:tab w:leader="none" w:pos="6200" w:val="left"/>
        </w:tabs>
        <w:rPr>
          <w:sz w:val="20"/>
          <w:szCs w:val="20"/>
          <w:color w:val="auto"/>
        </w:rPr>
      </w:pPr>
      <w:r>
        <w:rPr>
          <w:rFonts w:ascii="Times New Roman" w:cs="Times New Roman" w:eastAsia="Times New Roman" w:hAnsi="Times New Roman"/>
          <w:sz w:val="18"/>
          <w:szCs w:val="18"/>
          <w:color w:val="auto"/>
        </w:rPr>
        <w:t>Date: December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Brian LaRose</w:t>
      </w:r>
    </w:p>
    <w:p>
      <w:pPr>
        <w:spacing w:after="0" w:line="2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3" w:right="7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AND GENERAL RELEASE OF CLAIMS</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This SEPARATION AGREEMENT AND GENERAL RELEASE OF CLAIMS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by and between Petco Animal Supplies Stores,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Michael Nuzzo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xml:space="preserve">”) and solely for purposes of </w:t>
      </w:r>
      <w:r>
        <w:rPr>
          <w:rFonts w:ascii="Times New Roman" w:cs="Times New Roman" w:eastAsia="Times New Roman" w:hAnsi="Times New Roman"/>
          <w:sz w:val="20"/>
          <w:szCs w:val="20"/>
          <w:u w:val="single" w:color="auto"/>
          <w:color w:val="auto"/>
        </w:rPr>
        <w:t>Sections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Scooby LP (“</w:t>
      </w:r>
      <w:r>
        <w:rPr>
          <w:rFonts w:ascii="Times New Roman" w:cs="Times New Roman" w:eastAsia="Times New Roman" w:hAnsi="Times New Roman"/>
          <w:sz w:val="20"/>
          <w:szCs w:val="20"/>
          <w:u w:val="single" w:color="auto"/>
          <w:color w:val="auto"/>
        </w:rPr>
        <w:t>Scooby</w:t>
      </w:r>
      <w:r>
        <w:rPr>
          <w:rFonts w:ascii="Times New Roman" w:cs="Times New Roman" w:eastAsia="Times New Roman" w:hAnsi="Times New Roman"/>
          <w:sz w:val="20"/>
          <w:szCs w:val="20"/>
          <w:color w:val="auto"/>
        </w:rPr>
        <w:t>”). Executive, the Company and Scooby are each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Executive’s employment with the Company terminated effective as of August 13, 2022 (the “</w:t>
      </w: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was granted the Common Series C Units in Scooby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(the “</w:t>
      </w:r>
      <w:r>
        <w:rPr>
          <w:rFonts w:ascii="Times New Roman" w:cs="Times New Roman" w:eastAsia="Times New Roman" w:hAnsi="Times New Roman"/>
          <w:sz w:val="20"/>
          <w:szCs w:val="20"/>
          <w:u w:val="single" w:color="auto"/>
          <w:color w:val="auto"/>
        </w:rPr>
        <w:t>Units</w:t>
      </w:r>
      <w:r>
        <w:rPr>
          <w:rFonts w:ascii="Times New Roman" w:cs="Times New Roman" w:eastAsia="Times New Roman" w:hAnsi="Times New Roman"/>
          <w:sz w:val="20"/>
          <w:szCs w:val="20"/>
          <w:color w:val="auto"/>
        </w:rPr>
        <w:t>”)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those Common Series C Unit Award Agreements between Executive and Scooby (collectively, the “</w:t>
      </w:r>
      <w:r>
        <w:rPr>
          <w:rFonts w:ascii="Times New Roman" w:cs="Times New Roman" w:eastAsia="Times New Roman" w:hAnsi="Times New Roman"/>
          <w:sz w:val="20"/>
          <w:szCs w:val="20"/>
          <w:u w:val="single" w:color="auto"/>
          <w:color w:val="auto"/>
        </w:rPr>
        <w:t>Award Agreements</w:t>
      </w:r>
      <w:r>
        <w:rPr>
          <w:rFonts w:ascii="Times New Roman" w:cs="Times New Roman" w:eastAsia="Times New Roman" w:hAnsi="Times New Roman"/>
          <w:sz w:val="20"/>
          <w:szCs w:val="20"/>
          <w:color w:val="auto"/>
        </w:rPr>
        <w:t xml:space="preserve">”), which are vested and unvested as of the Separation Date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and the Company are parties to that certain Employment Agreement dated April 8, 2015, as amended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certain Amendment to Employment Agreement dated January 26, 2016 (collectively,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Scooby wish to provide Executive with certain separation benefits, which are conditioned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execution, delivery and non-revocation of this Agreement; and</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wish to resolve any and all claims that Executive has or may have against the Company, Scooby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Company Parties (as defined below), including any claims that Executive has or may have arising from or relating to Executive’s employment, or the end of Executive’s employment, with any Company Party.</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promises set forth herein, and for other good and valuable consideration, the receipt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sufficiency of which are hereby acknowledged by Executive and the Company, the Parties hereby agree as follows: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b w:val="1"/>
          <w:bCs w:val="1"/>
          <w:u w:val="single" w:color="auto"/>
          <w:color w:val="auto"/>
        </w:rPr>
        <w:t>Separation from Employment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3" w:lineRule="auto"/>
        <w:tabs>
          <w:tab w:leader="none" w:pos="163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employment with the Company terminated effective as of the Separation Date. As of the Separation Date, Executive will no longer be employed by the Company or any other Company Party, and Executive will be deemed to have automatically resigned (i) as an officer of the Company and its affiliates (as applicable) and (ii) from the board of managers, board of directors or similar governing body of each of the Company and its affiliates (as applicable) and any other corporation, limited liability company, trade organization, or other entity in which the Company or any of its affiliates holds an equity interest or with respect to which board or similar governing body Executive serves as the designee or other representative of the Company or any of its affiliates. For the avoidance of doubt, as of the Separation Date, Executive shall no longer represent the Company in any manner and shall not hold himself out as a representative of the Company.</w:t>
      </w:r>
    </w:p>
    <w:p>
      <w:pPr>
        <w:spacing w:after="0" w:line="189" w:lineRule="exact"/>
        <w:rPr>
          <w:rFonts w:ascii="Times New Roman" w:cs="Times New Roman" w:eastAsia="Times New Roman" w:hAnsi="Times New Roman"/>
          <w:sz w:val="20"/>
          <w:szCs w:val="20"/>
          <w:color w:val="auto"/>
        </w:rPr>
      </w:pPr>
    </w:p>
    <w:p>
      <w:pPr>
        <w:jc w:val="both"/>
        <w:ind w:firstLine="757"/>
        <w:spacing w:after="0" w:line="249" w:lineRule="auto"/>
        <w:tabs>
          <w:tab w:leader="none" w:pos="164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and agrees that Executive has been paid in full all bonuses, been provided all benefits, and otherwise received all wages, compensation and other sums that Executive has been owed by each Company Party. Executive further acknowledges and agrees that Executive has received all leaves (paid and unpaid) that Executive has been entitled to receive from each Company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b w:val="1"/>
          <w:bCs w:val="1"/>
          <w:u w:val="single" w:color="auto"/>
          <w:color w:val="auto"/>
        </w:rPr>
        <w:t>Separation Payments and Benefits</w:t>
      </w:r>
      <w:r>
        <w:rPr>
          <w:rFonts w:ascii="Times New Roman" w:cs="Times New Roman" w:eastAsia="Times New Roman" w:hAnsi="Times New Roman"/>
          <w:sz w:val="20"/>
          <w:szCs w:val="20"/>
          <w:color w:val="auto"/>
        </w:rPr>
        <w:t>. Provided that Executive: (x) executes this Agreement on the Separation Date or by August 30, 2022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(which is at least 21 days following the date this Agreement was provided to Executive) and returns a copy of this Agreement that has been executed by Executive to the Company so that it is received by Ilene Eskenazi, Chief Legal and Human Resources Officer and Corporate Secretary, 10850 Via Frontera, San Diego, California 92127 (email: Ilene.Eskenazi@petco.com) no later than 5:00 pm PT on August 30, 2022; (y) does not revoke Executive’s acceptance of this Agreement pursuant to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(z) remains in compliance with the other terms and conditions set forth in this Agreement (including under </w:t>
      </w:r>
      <w:r>
        <w:rPr>
          <w:rFonts w:ascii="Times New Roman" w:cs="Times New Roman" w:eastAsia="Times New Roman" w:hAnsi="Times New Roman"/>
          <w:sz w:val="20"/>
          <w:szCs w:val="20"/>
          <w:u w:val="single" w:color="auto"/>
          <w:color w:val="auto"/>
        </w:rPr>
        <w:t>Sections 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Executive shall be provided with the following separation payments and benefits:</w:t>
      </w:r>
    </w:p>
    <w:p>
      <w:pPr>
        <w:spacing w:after="0" w:line="183" w:lineRule="exact"/>
        <w:rPr>
          <w:sz w:val="20"/>
          <w:szCs w:val="20"/>
          <w:color w:val="auto"/>
        </w:rPr>
      </w:pPr>
    </w:p>
    <w:p>
      <w:pPr>
        <w:ind w:left="1620" w:hanging="863"/>
        <w:spacing w:after="0"/>
        <w:tabs>
          <w:tab w:leader="none" w:pos="162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a lump sum cash payment of $1,318,015 (the “</w:t>
      </w:r>
      <w:r>
        <w:rPr>
          <w:rFonts w:ascii="Times New Roman" w:cs="Times New Roman" w:eastAsia="Times New Roman" w:hAnsi="Times New Roman"/>
          <w:sz w:val="20"/>
          <w:szCs w:val="20"/>
          <w:u w:val="single" w:color="auto"/>
          <w:color w:val="auto"/>
        </w:rPr>
        <w:t>Severance Payment</w:t>
      </w:r>
      <w:r>
        <w:rPr>
          <w:rFonts w:ascii="Times New Roman" w:cs="Times New Roman" w:eastAsia="Times New Roman" w:hAnsi="Times New Roman"/>
          <w:sz w:val="20"/>
          <w:szCs w:val="20"/>
          <w:color w:val="auto"/>
        </w:rPr>
        <w:t>”), representing</w:t>
      </w:r>
    </w:p>
    <w:p>
      <w:pPr>
        <w:spacing w:after="0" w:line="21" w:lineRule="exact"/>
        <w:rPr>
          <w:rFonts w:ascii="Times New Roman" w:cs="Times New Roman" w:eastAsia="Times New Roman" w:hAnsi="Times New Roman"/>
          <w:sz w:val="20"/>
          <w:szCs w:val="20"/>
          <w:color w:val="auto"/>
        </w:rPr>
      </w:pPr>
    </w:p>
    <w:p>
      <w:pPr>
        <w:jc w:val="both"/>
        <w:ind w:firstLine="8"/>
        <w:spacing w:after="0" w:line="242" w:lineRule="auto"/>
        <w:tabs>
          <w:tab w:leader="none" w:pos="24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 months of Executive’s base salary, (ii) a payment to cover 18 months of group health plan continuation premiums, and (iii) 50% of the target annual incentive bonus for fiscal year 2022, payable within 30 days following the expiration of the Release Revocation Period (as defined below);</w:t>
      </w:r>
    </w:p>
    <w:p>
      <w:pPr>
        <w:spacing w:after="0" w:line="186" w:lineRule="exact"/>
        <w:rPr>
          <w:rFonts w:ascii="Times New Roman" w:cs="Times New Roman" w:eastAsia="Times New Roman" w:hAnsi="Times New Roman"/>
          <w:sz w:val="20"/>
          <w:szCs w:val="20"/>
          <w:color w:val="auto"/>
        </w:rPr>
      </w:pPr>
    </w:p>
    <w:p>
      <w:pPr>
        <w:jc w:val="both"/>
        <w:ind w:firstLine="757"/>
        <w:spacing w:after="0" w:line="254" w:lineRule="auto"/>
        <w:tabs>
          <w:tab w:leader="none" w:pos="1615"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Units designated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be accelerated shall become fully vested effective as of the Separation Date upon the expiration of the Release Revocation Period, and for the avoidance of doubt, all of the Units (including the Units that vest hereunder) shall otherwise remain subject to the terms of the Award Agreements in all respects; and</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605"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Scooby hereby waives its right to call the Units and Executive’s Common Series B Units in Scooby under Section 9.2 of the Third Amended and Restated Agreement of Limited Partnership of Scooby dated as of January 19, 2021 and any right Scooby may have to call the Units under the Award Agreements.</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Executive acknowledges and agrees that the consideration referenced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represents the entirety of the amounts Executive is eligible to receive as severance pay and benefits from the Company or any other Company Party. Executive further acknowledges that as of the Separation Date, (i) Executive will automatically forfeit all unvested restricted stock units and stock options granted under the Petco Health and Wellness Company, Inc. 2021 Equity Incentive Plan, and such awards shall terminate automatically and without any further action by the Company and at no cost to the Company, and (ii) all Units which remain unvested after giving effect to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xml:space="preserve"> shall be forfeited upon the Separation Date for no consideration, and Executive shall have no rights with respect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0"/>
          <w:szCs w:val="20"/>
          <w:b w:val="1"/>
          <w:bCs w:val="1"/>
          <w:u w:val="single" w:color="auto"/>
          <w:color w:val="auto"/>
        </w:rPr>
        <w:t>Release of Liability for Claims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1" w:lineRule="auto"/>
        <w:tabs>
          <w:tab w:leader="none" w:pos="167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good and valuable consideration, including the consideration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any portion thereof), Executive knowingly and voluntarily (for Executive, Executive’s family, and Executive’s heirs, executors, administrators and assigns) hereby releases and forever discharges the Company, Scooby, Petco Health and Wellness Company, Inc. (collectively, the “</w:t>
      </w:r>
      <w:r>
        <w:rPr>
          <w:rFonts w:ascii="Times New Roman" w:cs="Times New Roman" w:eastAsia="Times New Roman" w:hAnsi="Times New Roman"/>
          <w:sz w:val="20"/>
          <w:szCs w:val="20"/>
          <w:u w:val="single" w:color="auto"/>
          <w:color w:val="auto"/>
        </w:rPr>
        <w:t>Petco Affiliated Entities</w:t>
      </w:r>
      <w:r>
        <w:rPr>
          <w:rFonts w:ascii="Times New Roman" w:cs="Times New Roman" w:eastAsia="Times New Roman" w:hAnsi="Times New Roman"/>
          <w:sz w:val="20"/>
          <w:szCs w:val="20"/>
          <w:color w:val="auto"/>
        </w:rPr>
        <w:t>”) and their respective affiliates, predecessors, successors, subsidiaries and benefit plans, and the foregoing entities’ respective equity-holders, officers, directors, managers, members, partners, Executives, agents, representatives, and other affiliated persons, and the Company’s and its affiliates’ benefit plans (and the fiduciaries and trustees of such plans) (collectively, the “</w:t>
      </w:r>
      <w:r>
        <w:rPr>
          <w:rFonts w:ascii="Times New Roman" w:cs="Times New Roman" w:eastAsia="Times New Roman" w:hAnsi="Times New Roman"/>
          <w:sz w:val="20"/>
          <w:szCs w:val="20"/>
          <w:u w:val="single" w:color="auto"/>
          <w:color w:val="auto"/>
        </w:rPr>
        <w:t>Company Parties</w:t>
      </w:r>
      <w:r>
        <w:rPr>
          <w:rFonts w:ascii="Times New Roman" w:cs="Times New Roman" w:eastAsia="Times New Roman" w:hAnsi="Times New Roman"/>
          <w:sz w:val="20"/>
          <w:szCs w:val="20"/>
          <w:color w:val="auto"/>
        </w:rPr>
        <w:t>”), from liability for, and Executive hereby waives, any and all claims, damages, or causes of action of any kind related to Executive’s ownership of any interest in any Company Party, Executive’s employment with any Company Party, the termination of such employment, and any other acts or omissions related to any matter occurring on or prior to the date that Executive executes this Agreement, including (i) any alleged violation through such time of: (A) any federal, state or local anti-discrimination, anti-harassment or anti-retaliation law, regulation or ordinance, including the Age Discrimination in Employment Act of 1967 (including as amended by the Older Workers Benefit Protection Act), Title VII of the Civil Rights Act of 1964, the Civil Rights Act of 1991, Sections 1981 through 1988 of Title 42 of the United States Code and the Americans with Disabilities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color w:val="auto"/>
        </w:rPr>
        <w:t>Act of 1990, as amended; (B) the Employee Retirement Income Security Act of 1974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(C) the Immigration Reform Control Act;</w:t>
      </w:r>
    </w:p>
    <w:p>
      <w:pPr>
        <w:spacing w:after="0" w:line="22" w:lineRule="exact"/>
        <w:rPr>
          <w:sz w:val="20"/>
          <w:szCs w:val="20"/>
          <w:color w:val="auto"/>
        </w:rPr>
      </w:pPr>
    </w:p>
    <w:p>
      <w:pPr>
        <w:jc w:val="both"/>
        <w:ind w:firstLine="8"/>
        <w:spacing w:after="0" w:line="239" w:lineRule="auto"/>
        <w:tabs>
          <w:tab w:leader="none" w:pos="34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National Labor Relations Act; (E) the Occupational Safety and Health Act; (F) the Family and Medical Leave Act of 1993; (G) California’s Fair Employment and Housing Act, the California Pregnancy Disability Leave law, the California Family Rights Act, the Healthy Workplace Healthy Family Act of 2014, the California Labor Code, the Private Attorneys’ General Act (Labor Code§ 2698 et seq.), any Wage Orders issued by the California Industrial Welfare Commission and the California Business and Professionals Code; (H) any federal, state or local wage and hour law; (I) any other local, state or federal law, regulation or ordinance; or (J) any public policy, contract, tort, or common law claim; (ii) any allegation for costs, fees, or other expenses including attorneys’ fees incurred in or with respect to a Released Claim; (iii) any and all rights, benefits or claims Executive may have under any employment contract, incentive compensation plan or equity-based plan with any Company Party or to any ownership interest in any Company Party (including the Employment Agreement); and (iv) any claim for compensation or benefits of any kind not expressly set forth in this Agreement (collectively, the “</w:t>
      </w:r>
      <w:r>
        <w:rPr>
          <w:rFonts w:ascii="Times New Roman" w:cs="Times New Roman" w:eastAsia="Times New Roman" w:hAnsi="Times New Roman"/>
          <w:sz w:val="20"/>
          <w:szCs w:val="20"/>
          <w:u w:val="single" w:color="auto"/>
          <w:color w:val="auto"/>
        </w:rPr>
        <w:t>Released Claims</w:t>
      </w:r>
      <w:r>
        <w:rPr>
          <w:rFonts w:ascii="Times New Roman" w:cs="Times New Roman" w:eastAsia="Times New Roman" w:hAnsi="Times New Roman"/>
          <w:sz w:val="20"/>
          <w:szCs w:val="20"/>
          <w:color w:val="auto"/>
        </w:rPr>
        <w:t xml:space="preserve">”). This Agreement is not intended to indicate that any such claims exist or that, if they do exist, they are meritorious. Rather, Executive is simply agreeing that, in exchange for any consideration received by Executive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any and all potential claims of this nature that Executive may have against the Company Parties, regardless of whether they actually exist, are expressly settled, compromised and waived. </w:t>
      </w:r>
      <w:r>
        <w:rPr>
          <w:rFonts w:ascii="Times New Roman" w:cs="Times New Roman" w:eastAsia="Times New Roman" w:hAnsi="Times New Roman"/>
          <w:sz w:val="20"/>
          <w:szCs w:val="20"/>
          <w:b w:val="1"/>
          <w:bCs w:val="1"/>
          <w:color w:val="auto"/>
        </w:rPr>
        <w:t>THIS RELEASE INCLUDES MATTERS ATTRIBUTABLE TO THE SOLE OR PARTIAL NEGLIGENCE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(WHETHER GROSS OR SIMPLE) OR OTHER FAULT, INCLUDING STRICT LIABILITY, OF ANY OF THE COMPANY PARTIES.</w:t>
      </w:r>
    </w:p>
    <w:p>
      <w:pPr>
        <w:spacing w:after="0" w:line="201" w:lineRule="exact"/>
        <w:rPr>
          <w:rFonts w:ascii="Times New Roman" w:cs="Times New Roman" w:eastAsia="Times New Roman" w:hAnsi="Times New Roman"/>
          <w:sz w:val="20"/>
          <w:szCs w:val="20"/>
          <w:color w:val="auto"/>
        </w:rPr>
      </w:pPr>
    </w:p>
    <w:p>
      <w:pPr>
        <w:ind w:left="1600" w:hanging="843"/>
        <w:spacing w:after="0"/>
        <w:tabs>
          <w:tab w:leader="none" w:pos="16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1542 of the Civil Code of the State of California (“</w:t>
      </w:r>
      <w:r>
        <w:rPr>
          <w:rFonts w:ascii="Times New Roman" w:cs="Times New Roman" w:eastAsia="Times New Roman" w:hAnsi="Times New Roman"/>
          <w:sz w:val="20"/>
          <w:szCs w:val="20"/>
          <w:u w:val="single" w:color="auto"/>
          <w:color w:val="auto"/>
        </w:rPr>
        <w:t>Section 1542</w:t>
      </w:r>
      <w:r>
        <w:rPr>
          <w:rFonts w:ascii="Times New Roman" w:cs="Times New Roman" w:eastAsia="Times New Roman" w:hAnsi="Times New Roman"/>
          <w:sz w:val="20"/>
          <w:szCs w:val="20"/>
          <w:color w:val="auto"/>
        </w:rPr>
        <w:t>”) provides:</w:t>
      </w:r>
    </w:p>
    <w:p>
      <w:pPr>
        <w:spacing w:after="0" w:line="216" w:lineRule="exact"/>
        <w:rPr>
          <w:sz w:val="20"/>
          <w:szCs w:val="20"/>
          <w:color w:val="auto"/>
        </w:rPr>
      </w:pPr>
    </w:p>
    <w:p>
      <w:pPr>
        <w:jc w:val="both"/>
        <w:ind w:left="760" w:right="74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Executive waives all rights under Section 1542 or any other law or statute of similar effect in any jurisdiction with respect to the Released Claims. Executive acknowledges that Executive understands the significance and specifically assumes the risk regarding the consequences of such release and such specific waiver of Section 1542.</w:t>
      </w:r>
    </w:p>
    <w:p>
      <w:pPr>
        <w:spacing w:after="0" w:line="174" w:lineRule="exact"/>
        <w:rPr>
          <w:sz w:val="20"/>
          <w:szCs w:val="20"/>
          <w:color w:val="auto"/>
        </w:rPr>
      </w:pPr>
    </w:p>
    <w:p>
      <w:pPr>
        <w:jc w:val="both"/>
        <w:ind w:firstLine="757"/>
        <w:spacing w:after="0" w:line="253" w:lineRule="auto"/>
        <w:tabs>
          <w:tab w:leader="none" w:pos="167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the avoidance of doubt, nothing in this Agreement releases Executive’s rights to receive payments or benefits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Further, in no event shall the Released Claims include (i) any claim that arises after the date that Executive signs this Agreement; (ii) any claim to vested benefits under an employee benefit plan that is subject to ERISA; and (iii) any claim for breach of, or otherwise arising out of, this Agreement. Further notwithstanding this release of liability, nothing in this Agreement prevents Executive from filing any non-legally waivable claim (including a challenge to the validity of this Agreement) with the Equal Employment Opportunity Commission (“</w:t>
      </w:r>
      <w:r>
        <w:rPr>
          <w:rFonts w:ascii="Times New Roman" w:cs="Times New Roman" w:eastAsia="Times New Roman" w:hAnsi="Times New Roman"/>
          <w:sz w:val="19"/>
          <w:szCs w:val="19"/>
          <w:u w:val="single" w:color="auto"/>
          <w:color w:val="auto"/>
        </w:rPr>
        <w:t>EEOC</w:t>
      </w:r>
      <w:r>
        <w:rPr>
          <w:rFonts w:ascii="Times New Roman" w:cs="Times New Roman" w:eastAsia="Times New Roman" w:hAnsi="Times New Roman"/>
          <w:sz w:val="19"/>
          <w:szCs w:val="19"/>
          <w:color w:val="auto"/>
        </w:rPr>
        <w:t>”) or comparable state or local agency or participating in (or cooperating with) any investigation or proceeding conducted by the EEOC or comparable state or local agency or cooperating in any such investigation or proceeding; however, Executive understands and agrees that Executive is waiving any and all rights to recover any monetary or personal relief from a Company Party as a result of such EEOC or comparable state or local agency or proceeding or subsequent legal actions. Further, nothing in this Agreement prohibits or restricts Executive from filing a charge or complaint with, or cooperating in any investigation with, the Securities and Exchange Commission, the Financial Industry Regulatory Authority, or any other governmental agency, entity or authority (each, a “</w:t>
      </w:r>
      <w:r>
        <w:rPr>
          <w:rFonts w:ascii="Times New Roman" w:cs="Times New Roman" w:eastAsia="Times New Roman" w:hAnsi="Times New Roman"/>
          <w:sz w:val="19"/>
          <w:szCs w:val="19"/>
          <w:u w:val="single" w:color="auto"/>
          <w:color w:val="auto"/>
        </w:rPr>
        <w:t>Government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Agency</w:t>
      </w:r>
      <w:r>
        <w:rPr>
          <w:rFonts w:ascii="Times New Roman" w:cs="Times New Roman" w:eastAsia="Times New Roman" w:hAnsi="Times New Roman"/>
          <w:sz w:val="19"/>
          <w:szCs w:val="19"/>
          <w:color w:val="auto"/>
        </w:rPr>
        <w:t>”). This Agreement does not limit Executive’s right to receive an award for information provided to a Government Agency.</w:t>
      </w:r>
    </w:p>
    <w:p>
      <w:pPr>
        <w:spacing w:after="0" w:line="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b w:val="1"/>
          <w:bCs w:val="1"/>
          <w:u w:val="single" w:color="auto"/>
          <w:color w:val="auto"/>
        </w:rPr>
        <w:t>Representations and Warranties Regarding Claims</w:t>
      </w:r>
      <w:r>
        <w:rPr>
          <w:rFonts w:ascii="Times New Roman" w:cs="Times New Roman" w:eastAsia="Times New Roman" w:hAnsi="Times New Roman"/>
          <w:sz w:val="20"/>
          <w:szCs w:val="20"/>
          <w:color w:val="auto"/>
        </w:rPr>
        <w:t>. Executive represents and warrants that, as of the time at which Executive signs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Executive has not filed or joined any claims, complaints, charges, or lawsuits against any of the Company Parties with any governmental agency or with any state or federal court or arbitrator for, or with respect to, a matter, claim, or incident that occurred or arose out of one or more occurrences that took place on or prior to the time at which Executive signs this Agreement, and Executive is not aware of any violation of any law, rule or regulation or any other misconduct by the Company or any of its officers or employees. Executive further represents and warrants that Executive has not made any assignment, sale, delivery, transfer or conveyance of any rights Executive has asserted or may have against any of the Company Parties with respect to any Released Claim.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b w:val="1"/>
          <w:bCs w:val="1"/>
          <w:u w:val="single" w:color="auto"/>
          <w:color w:val="auto"/>
        </w:rPr>
        <w:t>Covenants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5" w:lineRule="auto"/>
        <w:tabs>
          <w:tab w:leader="none" w:pos="1608"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and agrees that Executive has continuing obligations to the Company and its affiliates pursuant to that certain Confidentiality and Inventions Agreement, including obligations relating to confidentiality and intellectual property (collectively, the “</w:t>
      </w: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 In entering into this Agreement, Executive acknowledges the continued effectiveness and enforceability of the Covenants, and Executive expressly reaffirms Executive’s commitment to abide by, and agrees that he will abide by, the terms of the Covenants. Nothing herein shall prevent Executive from discussing or disclosing information regarding unlawful acts in the workplace, such as harassment, discrimination or any other conduct that Executive has reason to believe is unlawful.</w:t>
      </w:r>
    </w:p>
    <w:p>
      <w:pPr>
        <w:spacing w:after="0" w:line="184" w:lineRule="exact"/>
        <w:rPr>
          <w:rFonts w:ascii="Times New Roman" w:cs="Times New Roman" w:eastAsia="Times New Roman" w:hAnsi="Times New Roman"/>
          <w:sz w:val="20"/>
          <w:szCs w:val="20"/>
          <w:color w:val="auto"/>
        </w:rPr>
      </w:pPr>
    </w:p>
    <w:p>
      <w:pPr>
        <w:ind w:left="1620" w:hanging="863"/>
        <w:spacing w:after="0"/>
        <w:tabs>
          <w:tab w:leader="none" w:pos="162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shall refrain from publishing any oral or written statements about the Company and any Company Party that</w:t>
      </w:r>
    </w:p>
    <w:p>
      <w:pPr>
        <w:spacing w:after="0" w:line="21" w:lineRule="exact"/>
        <w:rPr>
          <w:rFonts w:ascii="Times New Roman" w:cs="Times New Roman" w:eastAsia="Times New Roman" w:hAnsi="Times New Roman"/>
          <w:sz w:val="20"/>
          <w:szCs w:val="20"/>
          <w:color w:val="auto"/>
        </w:rPr>
      </w:pPr>
    </w:p>
    <w:p>
      <w:pPr>
        <w:jc w:val="both"/>
        <w:ind w:firstLine="8"/>
        <w:spacing w:after="0" w:line="241" w:lineRule="auto"/>
        <w:tabs>
          <w:tab w:leader="none" w:pos="25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slanderous, libelous, disparaging or defamatory, (ii) disclose confidential information of or regarding any Company Party’s business affairs, directors, officers, managers, members, employees, consultants, agents or representatives, or (iii) place the Company, any Company Party or any of their respective directors, officers, managers, members, employees, consultants, agents or representatives in a false light before the public. The Company agrees to direct its current executive officers to refrain from publishing any oral or written statements about Executive that are slanderous, libelous, disparaging or defamatory or that place Executive in a false light before the public.</w:t>
      </w:r>
    </w:p>
    <w:p>
      <w:pPr>
        <w:spacing w:after="0" w:line="186" w:lineRule="exact"/>
        <w:rPr>
          <w:rFonts w:ascii="Times New Roman" w:cs="Times New Roman" w:eastAsia="Times New Roman" w:hAnsi="Times New Roman"/>
          <w:sz w:val="20"/>
          <w:szCs w:val="20"/>
          <w:color w:val="auto"/>
        </w:rPr>
      </w:pPr>
    </w:p>
    <w:p>
      <w:pPr>
        <w:jc w:val="both"/>
        <w:ind w:firstLine="757"/>
        <w:spacing w:after="0" w:line="243" w:lineRule="auto"/>
        <w:tabs>
          <w:tab w:leader="none" w:pos="162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Executive’s employment with the Company created a relationship of confidence and trust between the Company and Executive with respect to Confidential Information (as defined in the Covenants), and Executive had access to such Confidential Information during such employment. Because of the Company’s legitimate business interests with respect to such Confidential Information and the consideration offered to Executive herein, during the one-year period following the Separation Date, Executive shall not, directly or indirectly, solicit or recruit any person who is an employee of the Company or other Petco Affiliated Entity or otherwise induce any such person to terminate their employment with the Company or other Petco Affiliated Entity; provided, however, that the foregoing provision shall not prohibit solicitations made by Executive to the general public, including through a general public posting site or forum.</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6.</w:t>
      </w:r>
      <w:r>
        <w:rPr>
          <w:rFonts w:ascii="Times New Roman" w:cs="Times New Roman" w:eastAsia="Times New Roman" w:hAnsi="Times New Roman"/>
          <w:sz w:val="20"/>
          <w:szCs w:val="20"/>
          <w:b w:val="1"/>
          <w:bCs w:val="1"/>
          <w:u w:val="single" w:color="auto"/>
          <w:color w:val="auto"/>
        </w:rPr>
        <w:t>Covenant to Cooperate in Legal Proceedings</w:t>
      </w:r>
      <w:r>
        <w:rPr>
          <w:rFonts w:ascii="Times New Roman" w:cs="Times New Roman" w:eastAsia="Times New Roman" w:hAnsi="Times New Roman"/>
          <w:sz w:val="20"/>
          <w:szCs w:val="20"/>
          <w:color w:val="auto"/>
        </w:rPr>
        <w:t>. Executive agrees to fully cooperate with the Petco Affiliated Entities and provide truthful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in any internal investigation, any administrative, regulatory, or judicial proceeding or any dispute with a third party. Executive understands and agrees that Executive’s cooperation may include making Executive available to the Petco Affiliated Entities upon reasonable notice for interviews and factual investigations; appearing at the Petco Affiliated Entities’ request to give testimony without requiring service of a subpoena or other legal process; volunteering to the Petco Affiliated Entities pertinent information received by Executive in Executive’s capacity as an employee; and turning over to the Petco Affiliated Entities all relevant documents which are or may come into Executive’s possession in Executive’s capacity an employee or otherwise, all at times and on schedules that are reasonably consistent with Executive’s other permitted activities and commitments. The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will reimburse all reasonable and necessary expenses, including attorneys’ fees, incurred by Executive in providing any such cooperation.</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7.</w:t>
      </w:r>
      <w:r>
        <w:rPr>
          <w:rFonts w:ascii="Times New Roman" w:cs="Times New Roman" w:eastAsia="Times New Roman" w:hAnsi="Times New Roman"/>
          <w:sz w:val="20"/>
          <w:szCs w:val="20"/>
          <w:b w:val="1"/>
          <w:bCs w:val="1"/>
          <w:u w:val="single" w:color="auto"/>
          <w:color w:val="auto"/>
        </w:rPr>
        <w:t>Consequences of Breach; Subsequent Discovery of Cause</w:t>
      </w:r>
      <w:r>
        <w:rPr>
          <w:rFonts w:ascii="Times New Roman" w:cs="Times New Roman" w:eastAsia="Times New Roman" w:hAnsi="Times New Roman"/>
          <w:sz w:val="20"/>
          <w:szCs w:val="20"/>
          <w:color w:val="auto"/>
        </w:rPr>
        <w:t>. Executive acknowledges and agrees that in the event of Executive’s 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breach of this Agreement, including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or a determination by the Board of Directors of the Company that grounds for a for Cause (as defined in the Employment Agreement) termination existed as of the Separation Date, (a) the Company shall not be required to pay the Severance Payment, less $100, (b) Executive shall be required to repay to the Company the Severance Payment, less $100, if previously paid to Executive, and (c) the Units which became vested in accordance with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xml:space="preserve"> shall be forfeited for no consideration.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w:t>
      </w:r>
      <w:r>
        <w:rPr>
          <w:rFonts w:ascii="Times New Roman" w:cs="Times New Roman" w:eastAsia="Times New Roman" w:hAnsi="Times New Roman"/>
          <w:sz w:val="20"/>
          <w:szCs w:val="20"/>
          <w:b w:val="1"/>
          <w:bCs w:val="1"/>
          <w:u w:val="single" w:color="auto"/>
          <w:color w:val="auto"/>
        </w:rPr>
        <w:t>Executive’s Acknowledgements</w:t>
      </w:r>
      <w:r>
        <w:rPr>
          <w:rFonts w:ascii="Times New Roman" w:cs="Times New Roman" w:eastAsia="Times New Roman" w:hAnsi="Times New Roman"/>
          <w:sz w:val="20"/>
          <w:szCs w:val="20"/>
          <w:color w:val="auto"/>
        </w:rPr>
        <w:t>. By executing and delivering this Agreement, Executive expressly acknowledges that:</w:t>
      </w:r>
    </w:p>
    <w:p>
      <w:pPr>
        <w:spacing w:after="0" w:line="220" w:lineRule="exact"/>
        <w:rPr>
          <w:sz w:val="20"/>
          <w:szCs w:val="20"/>
          <w:color w:val="auto"/>
        </w:rPr>
      </w:pPr>
    </w:p>
    <w:p>
      <w:pPr>
        <w:jc w:val="both"/>
        <w:ind w:firstLine="757"/>
        <w:spacing w:after="0" w:line="246" w:lineRule="auto"/>
        <w:tabs>
          <w:tab w:leader="none" w:pos="164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given at least 21 days to review and consider this Agreement. If Executive signs this Agreement before the expiration of 21 days after Executive’s receipt of this Agreement, Executive has knowingly and voluntarily waived any longer consideration period than the one provided to Executive and such earlier signature was not induced by the Company through fraud, misrepresentation or a threat to withdraw or alter this Agreement prior to the expiration of such 21-day period. No changes (whether material or immaterial) to this Agreement shall restart the running of this 21 day period.</w:t>
      </w:r>
    </w:p>
    <w:p>
      <w:pPr>
        <w:spacing w:after="0" w:line="184" w:lineRule="exact"/>
        <w:rPr>
          <w:rFonts w:ascii="Times New Roman" w:cs="Times New Roman" w:eastAsia="Times New Roman" w:hAnsi="Times New Roman"/>
          <w:sz w:val="20"/>
          <w:szCs w:val="20"/>
          <w:color w:val="auto"/>
        </w:rPr>
      </w:pPr>
    </w:p>
    <w:p>
      <w:pPr>
        <w:ind w:left="1620" w:hanging="863"/>
        <w:spacing w:after="0"/>
        <w:tabs>
          <w:tab w:leader="none" w:pos="16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is receiving, pursuant to this Agreement, consideration in addition to anything of value to which Executive is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already entitled;</w:t>
      </w:r>
    </w:p>
    <w:p>
      <w:pPr>
        <w:spacing w:after="0" w:line="193" w:lineRule="exact"/>
        <w:rPr>
          <w:rFonts w:ascii="Times New Roman" w:cs="Times New Roman" w:eastAsia="Times New Roman" w:hAnsi="Times New Roman"/>
          <w:sz w:val="20"/>
          <w:szCs w:val="20"/>
          <w:color w:val="auto"/>
        </w:rPr>
      </w:pPr>
    </w:p>
    <w:p>
      <w:pPr>
        <w:ind w:firstLine="757"/>
        <w:spacing w:after="0" w:line="269" w:lineRule="auto"/>
        <w:tabs>
          <w:tab w:leader="none" w:pos="161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advised, and hereby is advised in writing, to discuss this Agreement with an attorney of Executive’s choice and that Executive has had an adequate opportunity to do so prior to executing this Agreement;</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61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fully understands the final and binding effect of this Agreement; the only promises made to Executive to sign this Agreement are those stated herein; Executive is signing this Agreement knowingly, voluntarily and of Executive’s own free will with the full intent of releasing the Company Parties of all claims; Executive acknowledges and agrees that Executive has carefully read this Agreement; and that Executive understands and agrees to each of the terms of this Agreement;</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63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only matters relied upon by Executive in causing Executive to sign this Agreement are the provisions set forth in writing within the four corners of this Agreement; and</w:t>
      </w:r>
    </w:p>
    <w:p>
      <w:pPr>
        <w:spacing w:after="0" w:line="159"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62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Party has provided any tax or legal advice regarding this Agreement, and Executive has had an adequate opportunity to receive sufficient tax and legal advice from advisors of Executive’s own choosing such that Executive enters into this Agreement with full understanding of the tax and legal implications thereof.</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9.</w:t>
      </w:r>
      <w:r>
        <w:rPr>
          <w:rFonts w:ascii="Times New Roman" w:cs="Times New Roman" w:eastAsia="Times New Roman" w:hAnsi="Times New Roman"/>
          <w:sz w:val="20"/>
          <w:szCs w:val="20"/>
          <w:b w:val="1"/>
          <w:bCs w:val="1"/>
          <w:u w:val="single" w:color="auto"/>
          <w:color w:val="auto"/>
        </w:rPr>
        <w:t>Revocation Right</w:t>
      </w:r>
      <w:r>
        <w:rPr>
          <w:rFonts w:ascii="Times New Roman" w:cs="Times New Roman" w:eastAsia="Times New Roman" w:hAnsi="Times New Roman"/>
          <w:sz w:val="20"/>
          <w:szCs w:val="20"/>
          <w:color w:val="auto"/>
        </w:rPr>
        <w:t>. Notwithstanding the initial effectiveness of this Agreement, Executive may revoke the delivery (and therefore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effectiveness) of this Agreement within the seven-day period beginning on the date Executive executes this Agreement (such seven-day period being referred to herein as the “</w:t>
      </w:r>
      <w:r>
        <w:rPr>
          <w:rFonts w:ascii="Times New Roman" w:cs="Times New Roman" w:eastAsia="Times New Roman" w:hAnsi="Times New Roman"/>
          <w:sz w:val="20"/>
          <w:szCs w:val="20"/>
          <w:u w:val="single" w:color="auto"/>
          <w:color w:val="auto"/>
        </w:rPr>
        <w:t>Release Revocation Period</w:t>
      </w:r>
      <w:r>
        <w:rPr>
          <w:rFonts w:ascii="Times New Roman" w:cs="Times New Roman" w:eastAsia="Times New Roman" w:hAnsi="Times New Roman"/>
          <w:sz w:val="20"/>
          <w:szCs w:val="20"/>
          <w:color w:val="auto"/>
        </w:rPr>
        <w:t xml:space="preserve">”). To be effective, such revocation must be in writing signed by Executive and must be delivered personally or by courier to the Company so that it is received by Ilene Eskenazi, Chief Legal and Human Resources Officer and Corporate Secretary, 10850 Via Frontera, San Diego, California 92127 (email: Ilene.Eskenazi@petco.com) no later than 11:59 pm PT on the last day of the Release Revocation Period. If an effective revocation is delivered in the foregoing manner and timeframe, the release of claims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will be of no force or effect, Executive will not receive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 xml:space="preserve">the payments or benefits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and the remainder of this Agreement will remain in full force and effect.</w:t>
      </w: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10.</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and its performance will be construed and interpreted in accordance with the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California, without regard to principles of conflicts of law that would apply the substantive law of any other jurisdiction.</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11.</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several counterparts, including by .PDF or .GIF attachment to email or by facsimile,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which is deemed to be an original, and all of which taken together constitute one and the same agreement.</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12.</w:t>
      </w:r>
      <w:r>
        <w:rPr>
          <w:rFonts w:ascii="Times New Roman" w:cs="Times New Roman" w:eastAsia="Times New Roman" w:hAnsi="Times New Roman"/>
          <w:sz w:val="20"/>
          <w:szCs w:val="20"/>
          <w:b w:val="1"/>
          <w:bCs w:val="1"/>
          <w:u w:val="single" w:color="auto"/>
          <w:color w:val="auto"/>
        </w:rPr>
        <w:t>Amendment; Entire Agreement</w:t>
      </w:r>
      <w:r>
        <w:rPr>
          <w:rFonts w:ascii="Times New Roman" w:cs="Times New Roman" w:eastAsia="Times New Roman" w:hAnsi="Times New Roman"/>
          <w:sz w:val="20"/>
          <w:szCs w:val="20"/>
          <w:color w:val="auto"/>
        </w:rPr>
        <w:t>. This Agreement may not be changed orally but only by an agreement in writing agreed to and signed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Party to be charged. This Agreement, the Award Agreements and the Covenants constitute the entire agreement of the Parties with regard to the subject matter hereof and supersede all prior and contemporaneous agreements and understandings, oral or written, between Executive and any Company Party with regard to the subject matter hereof.</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13.</w:t>
      </w:r>
      <w:r>
        <w:rPr>
          <w:rFonts w:ascii="Times New Roman" w:cs="Times New Roman" w:eastAsia="Times New Roman" w:hAnsi="Times New Roman"/>
          <w:sz w:val="20"/>
          <w:szCs w:val="20"/>
          <w:b w:val="1"/>
          <w:bCs w:val="1"/>
          <w:u w:val="single" w:color="auto"/>
          <w:color w:val="auto"/>
        </w:rPr>
        <w:t>Third-Party Beneficiaries</w:t>
      </w:r>
      <w:r>
        <w:rPr>
          <w:rFonts w:ascii="Times New Roman" w:cs="Times New Roman" w:eastAsia="Times New Roman" w:hAnsi="Times New Roman"/>
          <w:sz w:val="20"/>
          <w:szCs w:val="20"/>
          <w:color w:val="auto"/>
        </w:rPr>
        <w:t>. Executive expressly acknowledges and agrees that each Petco Affiliated Entity that is not a party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shall be a third-party beneficiary of Sections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15</w:t>
      </w:r>
      <w:r>
        <w:rPr>
          <w:rFonts w:ascii="Times New Roman" w:cs="Times New Roman" w:eastAsia="Times New Roman" w:hAnsi="Times New Roman"/>
          <w:sz w:val="20"/>
          <w:szCs w:val="20"/>
          <w:color w:val="auto"/>
        </w:rPr>
        <w:t xml:space="preserve"> and entitled to enforce such provisions as if it were a party hereto.</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14.</w:t>
      </w:r>
      <w:r>
        <w:rPr>
          <w:rFonts w:ascii="Times New Roman" w:cs="Times New Roman" w:eastAsia="Times New Roman" w:hAnsi="Times New Roman"/>
          <w:sz w:val="20"/>
          <w:szCs w:val="20"/>
          <w:b w:val="1"/>
          <w:bCs w:val="1"/>
          <w:u w:val="single" w:color="auto"/>
          <w:color w:val="auto"/>
        </w:rPr>
        <w:t>Further Assurances</w:t>
      </w:r>
      <w:r>
        <w:rPr>
          <w:rFonts w:ascii="Times New Roman" w:cs="Times New Roman" w:eastAsia="Times New Roman" w:hAnsi="Times New Roman"/>
          <w:sz w:val="20"/>
          <w:szCs w:val="20"/>
          <w:color w:val="auto"/>
        </w:rPr>
        <w:t>. Executive shall, and shall cause Executive’s affiliates, representatives and agents to, from time to time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the Company and without any additional consideration, furnish the Company with such further information or assurances, execute and deliver such additional documents, instruments and conveyances, and take such other actions and do such other things, as may be reasonably necessary or desirable, as determined in the sole discretion of the Company, to carry out the provisions of this Agreement.</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15.</w:t>
      </w:r>
      <w:r>
        <w:rPr>
          <w:rFonts w:ascii="Times New Roman" w:cs="Times New Roman" w:eastAsia="Times New Roman" w:hAnsi="Times New Roman"/>
          <w:sz w:val="20"/>
          <w:szCs w:val="20"/>
          <w:b w:val="1"/>
          <w:bCs w:val="1"/>
          <w:u w:val="single" w:color="auto"/>
          <w:color w:val="auto"/>
        </w:rPr>
        <w:t>Return of Property</w:t>
      </w:r>
      <w:r>
        <w:rPr>
          <w:rFonts w:ascii="Times New Roman" w:cs="Times New Roman" w:eastAsia="Times New Roman" w:hAnsi="Times New Roman"/>
          <w:sz w:val="20"/>
          <w:szCs w:val="20"/>
          <w:color w:val="auto"/>
        </w:rPr>
        <w:t>. Executive represents and warrants that Executive has returned to the Company all property belonging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other Company Party, including all computer files, electronically stored information, computers and other materials and items provided to Executive by the Company or any other Company Party in the course of Executive’s employment and Executive further represents and warrants that Executive has not maintained a copy of any such materials or items in any form.</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16.</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Any term or provision of this Agreement (or part thereof) that renders such term or provision (or part thereof) or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or provision (or part thereof) hereof invalid or unenforceable in any respect shall be severable and shall be modified or severed to the extent necessary to avoid rendering such term or provision (or part thereof) invalid or unenforceable, and such modification or severance shall be accomplished in the manner that most nearly preserves the benefit of the Parties’ bargain hereunder.</w:t>
      </w:r>
    </w:p>
    <w:p>
      <w:pPr>
        <w:spacing w:after="0" w:line="1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17.</w:t>
      </w: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 The Section headings have been inserted for purposes of convenience and shall not be used for interpretive purposes.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words “hereof,” “herein” and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Unless the context requires otherwise, all references herein to a law,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spacing w:after="0" w:line="246" w:lineRule="auto"/>
        <w:rPr>
          <w:sz w:val="20"/>
          <w:szCs w:val="20"/>
          <w:color w:val="auto"/>
        </w:rPr>
      </w:pPr>
      <w:r>
        <w:rPr>
          <w:rFonts w:ascii="Times New Roman" w:cs="Times New Roman" w:eastAsia="Times New Roman" w:hAnsi="Times New Roman"/>
          <w:sz w:val="20"/>
          <w:szCs w:val="20"/>
          <w:color w:val="auto"/>
        </w:rPr>
        <w:t>instrument or other document shall be deemed to refer to such law, agreement, instrument or other document as amended, supplemented, modified and restated from time to time to the extent permitted by the provisions thereof. Neither this Agreement nor any uncertainty or ambiguity herein shall be construed against any Party, whether under any rule of construction or otherwise. This Agreement has been reviewed by each of the Parties and shall be construed and interpreted according to the ordinary meaning of the words used so as to fairly accomplish the purposes and intentions of the Parties.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18.</w:t>
      </w:r>
      <w:r>
        <w:rPr>
          <w:rFonts w:ascii="Times New Roman" w:cs="Times New Roman" w:eastAsia="Times New Roman" w:hAnsi="Times New Roman"/>
          <w:sz w:val="20"/>
          <w:szCs w:val="20"/>
          <w:b w:val="1"/>
          <w:bCs w:val="1"/>
          <w:u w:val="single" w:color="auto"/>
          <w:color w:val="auto"/>
        </w:rPr>
        <w:t>No Assignment</w:t>
      </w:r>
      <w:r>
        <w:rPr>
          <w:rFonts w:ascii="Times New Roman" w:cs="Times New Roman" w:eastAsia="Times New Roman" w:hAnsi="Times New Roman"/>
          <w:sz w:val="20"/>
          <w:szCs w:val="20"/>
          <w:color w:val="auto"/>
        </w:rPr>
        <w:t>. No right to receive payments and benefits under this Agreement shall be subject to set off, offset, anticipation,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commutation, alienation, assignment, encumbrance, charge, pledge or hypothecation or to execution, attachment, levy, or similar process or assignment by operation of law.</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19.</w:t>
      </w:r>
      <w:r>
        <w:rPr>
          <w:rFonts w:ascii="Times New Roman" w:cs="Times New Roman" w:eastAsia="Times New Roman" w:hAnsi="Times New Roman"/>
          <w:sz w:val="20"/>
          <w:szCs w:val="20"/>
          <w:b w:val="1"/>
          <w:bCs w:val="1"/>
          <w:u w:val="single" w:color="auto"/>
          <w:color w:val="auto"/>
        </w:rPr>
        <w:t>Withholdings; Deductions</w:t>
      </w:r>
      <w:r>
        <w:rPr>
          <w:rFonts w:ascii="Times New Roman" w:cs="Times New Roman" w:eastAsia="Times New Roman" w:hAnsi="Times New Roman"/>
          <w:sz w:val="20"/>
          <w:szCs w:val="20"/>
          <w:color w:val="auto"/>
        </w:rPr>
        <w:t>. The Company may withhold and deduct from any payments or benefits made or to be made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 all federal, state, local and other taxes as may be required pursuant to any law or governmental regulation or ruling and (b) any deductions consented to in writing by Executive.</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20.</w:t>
      </w: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This Agreement and the benefits provided hereunder are intended be exempt from, or compliant with, the requirements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409A of the Internal Revenue Code of 1986 and the Treasury regulations and other guidance issued thereunder (collectively,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409A</w:t>
      </w:r>
      <w:r>
        <w:rPr>
          <w:rFonts w:ascii="Times New Roman" w:cs="Times New Roman" w:eastAsia="Times New Roman" w:hAnsi="Times New Roman"/>
          <w:sz w:val="20"/>
          <w:szCs w:val="20"/>
          <w:color w:val="auto"/>
        </w:rPr>
        <w:t>”) and shall be construed and administered in accordance with such intent. Each installment payment under this Agreement shall be deemed and treated as a separate payment for purposes of Section 409A. Notwithstanding the foregoing, the Company makes no representations that the benefits provided under this Agreement are exempt from the requirements of Section 409A and in no event shall the Company or any other Company Party be liable for all or any portion of any taxes, penalties, interest or other expenses that may be incurred by Executive on account of non-compliance with Section 409A.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33"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dates set forth beneath their names below,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all purposes as provided above.</w:t>
      </w:r>
    </w:p>
    <w:p>
      <w:pPr>
        <w:spacing w:after="0" w:line="200" w:lineRule="exact"/>
        <w:rPr>
          <w:sz w:val="20"/>
          <w:szCs w:val="20"/>
          <w:color w:val="auto"/>
        </w:rPr>
      </w:pP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 Michael Nuzzo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-10795</wp:posOffset>
            </wp:positionV>
            <wp:extent cx="15074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Michael Nuzzo</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Date: 8/25/2022</w:t>
      </w:r>
    </w:p>
    <w:p>
      <w:pPr>
        <w:spacing w:after="0" w:line="200" w:lineRule="exact"/>
        <w:rPr>
          <w:sz w:val="20"/>
          <w:szCs w:val="20"/>
          <w:color w:val="auto"/>
        </w:rPr>
      </w:pP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PETCO ANIMAL SUPPLIES STORES, INC.</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-10795</wp:posOffset>
            </wp:positionV>
            <wp:extent cx="15773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Ronald Coughlin, Jr.</w:t>
      </w:r>
    </w:p>
    <w:p>
      <w:pPr>
        <w:ind w:left="45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Date: 8/30/2022</w:t>
      </w:r>
    </w:p>
    <w:p>
      <w:pPr>
        <w:spacing w:after="0" w:line="200" w:lineRule="exact"/>
        <w:rPr>
          <w:sz w:val="20"/>
          <w:szCs w:val="20"/>
          <w:color w:val="auto"/>
        </w:rPr>
      </w:pP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SCOOBY LP</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Cameron Breitner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-10795</wp:posOffset>
            </wp:positionV>
            <wp:extent cx="15773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Cameron Breitner</w:t>
      </w:r>
    </w:p>
    <w:p>
      <w:pPr>
        <w:ind w:left="45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Date: 8/29/2022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AGREEMENT SHALL NOT BE ENTERED UNTIL ON OR AFTER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AUGUST 13, 2022,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87"/>
        </w:trPr>
        <w:tc>
          <w:tcPr>
            <w:tcW w:w="2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EXHIBIT A</w:t>
            </w:r>
          </w:p>
        </w:tc>
        <w:tc>
          <w:tcPr>
            <w:tcW w:w="2240" w:type="dxa"/>
            <w:vAlign w:val="bottom"/>
          </w:tcPr>
          <w:p>
            <w:pPr>
              <w:spacing w:after="0"/>
              <w:rPr>
                <w:sz w:val="24"/>
                <w:szCs w:val="24"/>
                <w:color w:val="auto"/>
              </w:rPr>
            </w:pPr>
          </w:p>
        </w:tc>
        <w:tc>
          <w:tcPr>
            <w:tcW w:w="2780" w:type="dxa"/>
            <w:vAlign w:val="bottom"/>
            <w:gridSpan w:val="2"/>
          </w:tcPr>
          <w:p>
            <w:pPr>
              <w:ind w:left="1660"/>
              <w:spacing w:after="0"/>
              <w:rPr>
                <w:sz w:val="20"/>
                <w:szCs w:val="20"/>
                <w:color w:val="auto"/>
              </w:rPr>
            </w:pPr>
            <w:r>
              <w:rPr>
                <w:rFonts w:ascii="Times New Roman" w:cs="Times New Roman" w:eastAsia="Times New Roman" w:hAnsi="Times New Roman"/>
                <w:sz w:val="22"/>
                <w:szCs w:val="22"/>
                <w:b w:val="1"/>
                <w:bCs w:val="1"/>
                <w:color w:val="auto"/>
                <w:w w:val="96"/>
              </w:rPr>
              <w:t>Exhibit 10.2</w:t>
            </w:r>
          </w:p>
        </w:tc>
        <w:tc>
          <w:tcPr>
            <w:tcW w:w="0" w:type="dxa"/>
            <w:vAlign w:val="bottom"/>
          </w:tcPr>
          <w:p>
            <w:pPr>
              <w:spacing w:after="0"/>
              <w:rPr>
                <w:sz w:val="1"/>
                <w:szCs w:val="1"/>
                <w:color w:val="auto"/>
              </w:rPr>
            </w:pPr>
          </w:p>
        </w:tc>
      </w:tr>
      <w:tr>
        <w:trPr>
          <w:trHeight w:val="177"/>
        </w:trPr>
        <w:tc>
          <w:tcPr>
            <w:tcW w:w="2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2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500" w:type="dxa"/>
            <w:vAlign w:val="bottom"/>
            <w:gridSpan w:val="4"/>
          </w:tcPr>
          <w:p>
            <w:pPr>
              <w:jc w:val="center"/>
              <w:ind w:right="1081"/>
              <w:spacing w:after="0"/>
              <w:rPr>
                <w:sz w:val="20"/>
                <w:szCs w:val="20"/>
                <w:color w:val="auto"/>
              </w:rPr>
            </w:pPr>
            <w:r>
              <w:rPr>
                <w:rFonts w:ascii="Times New Roman" w:cs="Times New Roman" w:eastAsia="Times New Roman" w:hAnsi="Times New Roman"/>
                <w:sz w:val="20"/>
                <w:szCs w:val="20"/>
                <w:b w:val="1"/>
                <w:bCs w:val="1"/>
                <w:color w:val="auto"/>
                <w:w w:val="98"/>
              </w:rPr>
              <w:t>COMMON SERIES C UNITS</w:t>
            </w:r>
          </w:p>
        </w:tc>
        <w:tc>
          <w:tcPr>
            <w:tcW w:w="2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10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w w:val="99"/>
              </w:rPr>
              <w:t>Distribution</w:t>
            </w:r>
          </w:p>
        </w:tc>
        <w:tc>
          <w:tcPr>
            <w:tcW w:w="2260" w:type="dxa"/>
            <w:vAlign w:val="bottom"/>
            <w:tcBorders>
              <w:right w:val="single" w:sz="8" w:color="auto"/>
            </w:tcBorders>
            <w:gridSpan w:val="3"/>
          </w:tcPr>
          <w:p>
            <w:pPr>
              <w:jc w:val="center"/>
              <w:ind w:right="80"/>
              <w:spacing w:after="0" w:line="193" w:lineRule="exact"/>
              <w:rPr>
                <w:sz w:val="20"/>
                <w:szCs w:val="20"/>
                <w:color w:val="auto"/>
              </w:rPr>
            </w:pPr>
            <w:r>
              <w:rPr>
                <w:rFonts w:ascii="Times New Roman" w:cs="Times New Roman" w:eastAsia="Times New Roman" w:hAnsi="Times New Roman"/>
                <w:sz w:val="20"/>
                <w:szCs w:val="20"/>
                <w:b w:val="1"/>
                <w:bCs w:val="1"/>
                <w:color w:val="auto"/>
                <w:w w:val="98"/>
              </w:rPr>
              <w:t>Vested as of Separation</w:t>
            </w:r>
          </w:p>
        </w:tc>
        <w:tc>
          <w:tcPr>
            <w:tcW w:w="2240" w:type="dxa"/>
            <w:vAlign w:val="bottom"/>
            <w:tcBorders>
              <w:right w:val="single" w:sz="8" w:color="auto"/>
            </w:tcBorders>
          </w:tcPr>
          <w:p>
            <w:pPr>
              <w:jc w:val="center"/>
              <w:ind w:right="1"/>
              <w:spacing w:after="0" w:line="193" w:lineRule="exact"/>
              <w:rPr>
                <w:sz w:val="20"/>
                <w:szCs w:val="20"/>
                <w:color w:val="auto"/>
              </w:rPr>
            </w:pPr>
            <w:r>
              <w:rPr>
                <w:rFonts w:ascii="Times New Roman" w:cs="Times New Roman" w:eastAsia="Times New Roman" w:hAnsi="Times New Roman"/>
                <w:sz w:val="20"/>
                <w:szCs w:val="20"/>
                <w:b w:val="1"/>
                <w:bCs w:val="1"/>
                <w:color w:val="auto"/>
                <w:w w:val="98"/>
              </w:rPr>
              <w:t>Unvested as of</w:t>
            </w:r>
          </w:p>
        </w:tc>
        <w:tc>
          <w:tcPr>
            <w:tcW w:w="232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w w:val="99"/>
              </w:rPr>
              <w:t>Accelerated under</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 of Grant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22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Separation Date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Section 2(b)</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1/26/2016</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$0.75</w:t>
            </w:r>
          </w:p>
        </w:tc>
        <w:tc>
          <w:tcPr>
            <w:tcW w:w="2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5,000,000</w:t>
            </w:r>
          </w:p>
        </w:tc>
        <w:tc>
          <w:tcPr>
            <w:tcW w:w="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1/26/2016</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$0.75</w:t>
            </w:r>
          </w:p>
        </w:tc>
        <w:tc>
          <w:tcPr>
            <w:tcW w:w="2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1,161,114</w:t>
            </w:r>
          </w:p>
        </w:tc>
        <w:tc>
          <w:tcPr>
            <w:tcW w:w="8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1/26/2016</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$0.50</w:t>
            </w:r>
          </w:p>
        </w:tc>
        <w:tc>
          <w:tcPr>
            <w:tcW w:w="2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4,000,000</w:t>
            </w:r>
          </w:p>
        </w:tc>
        <w:tc>
          <w:tcPr>
            <w:tcW w:w="8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1,000,000</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1,000,000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1/26/2016</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$0.50</w:t>
            </w:r>
          </w:p>
        </w:tc>
        <w:tc>
          <w:tcPr>
            <w:tcW w:w="2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1,161,114</w:t>
            </w:r>
          </w:p>
        </w:tc>
        <w:tc>
          <w:tcPr>
            <w:tcW w:w="8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9/16/2020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w:t>
            </w:r>
          </w:p>
        </w:tc>
        <w:tc>
          <w:tcPr>
            <w:tcW w:w="2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600,000</w:t>
            </w:r>
          </w:p>
        </w:tc>
        <w:tc>
          <w:tcPr>
            <w:tcW w:w="8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2,400,000</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1,472,055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is fully vested as of Separation Date in 90,000 Common Series “B” Units of Scooby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Coughlin, Jr.,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December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Ronald Coughlin, Jr.</w:t>
      </w:r>
    </w:p>
    <w:p>
      <w:pPr>
        <w:spacing w:after="0" w:line="2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LaRose, certify that:</w:t>
      </w:r>
    </w:p>
    <w:p>
      <w:pPr>
        <w:spacing w:after="0" w:line="225"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By:</w:t>
      </w:r>
    </w:p>
    <w:p>
      <w:pPr>
        <w:spacing w:after="0" w:line="16" w:lineRule="exact"/>
        <w:rPr>
          <w:sz w:val="20"/>
          <w:szCs w:val="20"/>
          <w:color w:val="auto"/>
        </w:rPr>
      </w:pPr>
    </w:p>
    <w:p>
      <w:pPr>
        <w:ind w:left="20"/>
        <w:spacing w:after="0"/>
        <w:tabs>
          <w:tab w:leader="none" w:pos="8020" w:val="left"/>
        </w:tabs>
        <w:rPr>
          <w:sz w:val="20"/>
          <w:szCs w:val="20"/>
          <w:color w:val="auto"/>
        </w:rPr>
      </w:pPr>
      <w:r>
        <w:rPr>
          <w:rFonts w:ascii="Times New Roman" w:cs="Times New Roman" w:eastAsia="Times New Roman" w:hAnsi="Times New Roman"/>
          <w:sz w:val="18"/>
          <w:szCs w:val="18"/>
          <w:color w:val="auto"/>
        </w:rPr>
        <w:t>Date: December 8, 2022</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13335</wp:posOffset>
            </wp:positionV>
            <wp:extent cx="33089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8"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3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October 29, 2022,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December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Ronald Coughlin, Jr.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October 29, 2022,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December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1"/>
    </w:lvl>
    <w:lvl w:ilvl="1">
      <w:lvlJc w:val="left"/>
      <w:lvlText w:val="(%2)"/>
      <w:numFmt w:val="lowerLetter"/>
      <w:start w:val="1"/>
    </w:lvl>
  </w:abstractNum>
  <w:abstractNum w:abstractNumId="8">
    <w:nsid w:val="DED7263"/>
    <w:multiLevelType w:val="hybridMultilevel"/>
    <w:lvl w:ilvl="0">
      <w:lvlJc w:val="left"/>
      <w:lvlText w:val="(%1)"/>
      <w:numFmt w:val="lowerLetter"/>
      <w:start w:val="9"/>
    </w:lvl>
    <w:lvl w:ilvl="1">
      <w:lvlJc w:val="left"/>
      <w:lvlText w:val="(%2)"/>
      <w:numFmt w:val="lowerLetter"/>
      <w:start w:val="2"/>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upperLetter"/>
      <w:start w:val="4"/>
    </w:lvl>
    <w:lvl w:ilvl="1">
      <w:lvlJc w:val="left"/>
      <w:lvlText w:val="(%2)"/>
      <w:numFmt w:val="lowerLetter"/>
      <w:start w:val="2"/>
    </w:lvl>
  </w:abstractNum>
  <w:abstractNum w:abstractNumId="11">
    <w:nsid w:val="41A7C4C9"/>
    <w:multiLevelType w:val="hybridMultilevel"/>
    <w:lvl w:ilvl="0">
      <w:lvlJc w:val="left"/>
      <w:lvlText w:val="(%1)"/>
      <w:numFmt w:val="lowerLetter"/>
      <w:start w:val="3"/>
    </w:lvl>
  </w:abstractNum>
  <w:abstractNum w:abstractNumId="12">
    <w:nsid w:val="6B68079A"/>
    <w:multiLevelType w:val="hybridMultilevel"/>
    <w:lvl w:ilvl="0">
      <w:lvlJc w:val="left"/>
      <w:lvlText w:val="%1"/>
      <w:numFmt w:val="lowerLetter"/>
      <w:start w:val="1"/>
    </w:lvl>
    <w:lvl w:ilvl="1">
      <w:lvlJc w:val="left"/>
      <w:lvlText w:val="(%2)"/>
      <w:numFmt w:val="lowerLetter"/>
      <w:start w:val="1"/>
    </w:lvl>
  </w:abstractNum>
  <w:abstractNum w:abstractNumId="13">
    <w:nsid w:val="4E6AFB66"/>
    <w:multiLevelType w:val="hybridMultilevel"/>
    <w:lvl w:ilvl="0">
      <w:lvlJc w:val="left"/>
      <w:lvlText w:val="(%1)"/>
      <w:numFmt w:val="lowerLetter"/>
      <w:start w:val="9"/>
    </w:lvl>
    <w:lvl w:ilvl="1">
      <w:lvlJc w:val="left"/>
      <w:lvlText w:val="(%2)"/>
      <w:numFmt w:val="lowerLetter"/>
      <w:start w:val="3"/>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12" Type="http://schemas.openxmlformats.org/officeDocument/2006/relationships/hyperlink" Target="https://www.sec.gov/Archives/edgar/data/1826470/000156459022033000/woof-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2022-12-08T07:48:59Z</dcterms:created>
  <dcterms:modified xsi:type="dcterms:W3CDTF">2022-12-08T07:48:59Z</dcterms:modified>
</cp:coreProperties>
</file>