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165100</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181610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60325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74930</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 w:lineRule="exact"/>
        <w:rPr>
          <w:sz w:val="24"/>
          <w:szCs w:val="24"/>
          <w:color w:val="auto"/>
        </w:rPr>
      </w:pPr>
    </w:p>
    <w:p>
      <w:pPr>
        <w:ind w:left="3880" w:right="1760" w:hanging="3874"/>
        <w:spacing w:after="0" w:line="299" w:lineRule="auto"/>
        <w:tabs>
          <w:tab w:leader="none" w:pos="45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April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3"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1" w:lineRule="exact"/>
        <w:rPr>
          <w:sz w:val="24"/>
          <w:szCs w:val="24"/>
          <w:color w:val="auto"/>
        </w:rPr>
      </w:pPr>
    </w:p>
    <w:p>
      <w:pPr>
        <w:ind w:left="38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3900170</wp:posOffset>
            </wp:positionH>
            <wp:positionV relativeFrom="paragraph">
              <wp:posOffset>-8255</wp:posOffset>
            </wp:positionV>
            <wp:extent cx="8261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67310</wp:posOffset>
            </wp:positionV>
            <wp:extent cx="141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Petco Health and Wellness Company,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78740</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p>
      <w:pPr>
        <w:spacing w:after="0" w:line="184"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4"/>
          <w:szCs w:val="14"/>
          <w:b w:val="1"/>
          <w:bCs w:val="1"/>
          <w:color w:val="auto"/>
        </w:rPr>
        <w:t>81-1005932</w:t>
      </w:r>
    </w:p>
    <w:p>
      <w:pPr>
        <w:spacing w:after="0" w:line="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45" w:lineRule="exact"/>
        <w:rPr>
          <w:sz w:val="24"/>
          <w:szCs w:val="24"/>
          <w:color w:val="auto"/>
        </w:rPr>
      </w:pPr>
    </w:p>
    <w:p>
      <w:pPr>
        <w:sectPr>
          <w:pgSz w:w="11900" w:h="16838" w:orient="portrait"/>
          <w:cols w:equalWidth="0" w:num="2">
            <w:col w:w="7220" w:space="720"/>
            <w:col w:w="3300"/>
          </w:cols>
          <w:pgMar w:left="320" w:top="412" w:right="339" w:bottom="1440" w:gutter="0" w:footer="0" w:header="0"/>
          <w:type w:val="continuous"/>
        </w:sectPr>
      </w:pPr>
    </w:p>
    <w:p>
      <w:pPr>
        <w:ind w:left="2080"/>
        <w:spacing w:after="0"/>
        <w:rPr>
          <w:sz w:val="20"/>
          <w:szCs w:val="20"/>
          <w:color w:val="auto"/>
        </w:rPr>
      </w:pPr>
      <w:r>
        <w:rPr>
          <w:rFonts w:ascii="Times New Roman" w:cs="Times New Roman" w:eastAsia="Times New Roman" w:hAnsi="Times New Roman"/>
          <w:sz w:val="18"/>
          <w:szCs w:val="18"/>
          <w:b w:val="1"/>
          <w:bCs w:val="1"/>
          <w:color w:val="auto"/>
        </w:rPr>
        <w:t>10850 Via Frontera</w:t>
      </w:r>
    </w:p>
    <w:p>
      <w:pPr>
        <w:spacing w:after="0" w:line="27" w:lineRule="exact"/>
        <w:rPr>
          <w:sz w:val="24"/>
          <w:szCs w:val="24"/>
          <w:color w:val="auto"/>
        </w:rPr>
      </w:pPr>
    </w:p>
    <w:p>
      <w:pPr>
        <w:ind w:left="2000"/>
        <w:spacing w:after="0"/>
        <w:tabs>
          <w:tab w:leader="none" w:pos="8200" w:val="left"/>
        </w:tabs>
        <w:rPr>
          <w:sz w:val="20"/>
          <w:szCs w:val="20"/>
          <w:color w:val="auto"/>
        </w:rPr>
      </w:pPr>
      <w:r>
        <w:rPr>
          <w:rFonts w:ascii="Times New Roman" w:cs="Times New Roman" w:eastAsia="Times New Roman" w:hAnsi="Times New Roman"/>
          <w:sz w:val="18"/>
          <w:szCs w:val="18"/>
          <w:b w:val="1"/>
          <w:bCs w:val="1"/>
          <w:color w:val="auto"/>
        </w:rPr>
        <w:t>San Diego, California</w:t>
      </w:r>
      <w:r>
        <w:rPr>
          <w:sz w:val="20"/>
          <w:szCs w:val="20"/>
          <w:color w:val="auto"/>
        </w:rPr>
        <w:tab/>
      </w:r>
      <w:r>
        <w:rPr>
          <w:rFonts w:ascii="Times New Roman" w:cs="Times New Roman" w:eastAsia="Times New Roman" w:hAnsi="Times New Roman"/>
          <w:sz w:val="17"/>
          <w:szCs w:val="17"/>
          <w:b w:val="1"/>
          <w:bCs w:val="1"/>
          <w:color w:val="auto"/>
        </w:rPr>
        <w:t>92127</w:t>
      </w:r>
    </w:p>
    <w:p>
      <w:pPr>
        <w:spacing w:after="0" w:line="1"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2"/>
          <w:szCs w:val="12"/>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45"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76200</wp:posOffset>
            </wp:positionV>
            <wp:extent cx="1419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Class A Common Stock, par value $0.001 per share</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WOOF</w:t>
            </w:r>
          </w:p>
        </w:tc>
        <w:tc>
          <w:tcPr>
            <w:tcW w:w="100" w:type="dxa"/>
            <w:vAlign w:val="bottom"/>
          </w:tcPr>
          <w:p>
            <w:pPr>
              <w:spacing w:after="0"/>
              <w:rPr>
                <w:sz w:val="16"/>
                <w:szCs w:val="16"/>
                <w:color w:val="auto"/>
              </w:rPr>
            </w:pPr>
          </w:p>
        </w:tc>
        <w:tc>
          <w:tcPr>
            <w:tcW w:w="4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160"/>
        <w:spacing w:after="0" w:line="28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6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0" w:lineRule="exact"/>
        <w:rPr>
          <w:sz w:val="24"/>
          <w:szCs w:val="24"/>
          <w:color w:val="auto"/>
        </w:rPr>
      </w:pPr>
    </w:p>
    <w:p>
      <w:pPr>
        <w:ind w:right="56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0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1"/>
                <w:szCs w:val="21"/>
                <w:color w:val="auto"/>
              </w:rPr>
            </w:pPr>
          </w:p>
        </w:tc>
        <w:tc>
          <w:tcPr>
            <w:tcW w:w="440" w:type="dxa"/>
            <w:vAlign w:val="bottom"/>
          </w:tcPr>
          <w:p>
            <w:pPr>
              <w:spacing w:after="0"/>
              <w:rPr>
                <w:sz w:val="21"/>
                <w:szCs w:val="21"/>
                <w:color w:val="auto"/>
              </w:rPr>
            </w:pPr>
          </w:p>
        </w:tc>
      </w:tr>
    </w:tbl>
    <w:p>
      <w:pPr>
        <w:spacing w:after="0" w:line="40" w:lineRule="exact"/>
        <w:rPr>
          <w:sz w:val="24"/>
          <w:szCs w:val="24"/>
          <w:color w:val="auto"/>
        </w:rPr>
      </w:pPr>
    </w:p>
    <w:p>
      <w:pPr>
        <w:ind w:right="14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440" w:val="left"/>
          <w:tab w:leader="none" w:pos="80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A Common Stock outstanding as of June 7, 2022 was 227,628,622 .</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B-1 Common Stock outstanding as of June 7, 2022 was 37,790,781.</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the registrant’s Class B-2 Common Stock outstanding as of June 7, 2022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289560</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306070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640080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80" w:type="dxa"/>
            <w:vAlign w:val="bottom"/>
            <w:gridSpan w:val="7"/>
          </w:tcPr>
          <w:p>
            <w:pPr>
              <w:ind w:left="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372"/>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6"/>
              </w:rPr>
              <w:t>FINANCIAL INFORMATION</w:t>
            </w:r>
          </w:p>
        </w:tc>
        <w:tc>
          <w:tcPr>
            <w:tcW w:w="708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Financial Statements (Unaudited)</w:t>
            </w:r>
          </w:p>
        </w:tc>
        <w:tc>
          <w:tcPr>
            <w:tcW w:w="692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Consolidated Balance Sheets</w:t>
            </w:r>
          </w:p>
        </w:tc>
        <w:tc>
          <w:tcPr>
            <w:tcW w:w="7240" w:type="dxa"/>
            <w:vAlign w:val="bottom"/>
            <w:gridSpan w:val="12"/>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7"/>
              </w:rPr>
              <w:t>Consolidated Statements of Comprehensive Income (Loss)</w:t>
            </w:r>
          </w:p>
        </w:tc>
        <w:tc>
          <w:tcPr>
            <w:tcW w:w="5120" w:type="dxa"/>
            <w:vAlign w:val="bottom"/>
            <w:gridSpan w:val="5"/>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Consolidated Statements of Stockholders' / Members' Equity</w:t>
            </w:r>
          </w:p>
        </w:tc>
        <w:tc>
          <w:tcPr>
            <w:tcW w:w="498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Consolidated Statements of Cash Flows</w:t>
            </w:r>
          </w:p>
        </w:tc>
        <w:tc>
          <w:tcPr>
            <w:tcW w:w="6480" w:type="dxa"/>
            <w:vAlign w:val="bottom"/>
            <w:gridSpan w:val="7"/>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Notes to Unaudited Consolidated Financial Statements</w:t>
            </w:r>
          </w:p>
        </w:tc>
        <w:tc>
          <w:tcPr>
            <w:tcW w:w="5420" w:type="dxa"/>
            <w:vAlign w:val="bottom"/>
            <w:gridSpan w:val="6"/>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7"/>
              </w:rPr>
              <w:t>Management’s Discussion and Analysis of Financial Condition and Results of Operations</w:t>
            </w:r>
          </w:p>
        </w:tc>
        <w:tc>
          <w:tcPr>
            <w:tcW w:w="29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5000" w:type="dxa"/>
            <w:vAlign w:val="bottom"/>
            <w:gridSpan w:val="3"/>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7540" w:type="dxa"/>
            <w:vAlign w:val="bottom"/>
            <w:gridSpan w:val="1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3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3"/>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46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000" w:type="dxa"/>
            <w:vAlign w:val="bottom"/>
            <w:gridSpan w:val="16"/>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2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7"/>
              </w:rPr>
              <w:t>Unregistered Sales of Equity Securities and Use of Proceeds</w:t>
            </w:r>
          </w:p>
        </w:tc>
        <w:tc>
          <w:tcPr>
            <w:tcW w:w="502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Mine Safety Disclosures</w:t>
            </w:r>
          </w:p>
        </w:tc>
        <w:tc>
          <w:tcPr>
            <w:tcW w:w="540" w:type="dxa"/>
            <w:vAlign w:val="bottom"/>
            <w:tcBorders>
              <w:top w:val="single" w:sz="8" w:color="0000EE"/>
            </w:tcBorders>
            <w:gridSpan w:val="5"/>
          </w:tcPr>
          <w:p>
            <w:pPr>
              <w:spacing w:after="0"/>
              <w:rPr>
                <w:sz w:val="17"/>
                <w:szCs w:val="17"/>
                <w:color w:val="auto"/>
              </w:rPr>
            </w:pPr>
          </w:p>
        </w:tc>
        <w:tc>
          <w:tcPr>
            <w:tcW w:w="7020" w:type="dxa"/>
            <w:vAlign w:val="bottom"/>
            <w:gridSpan w:val="10"/>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28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20" w:type="dxa"/>
            <w:vAlign w:val="bottom"/>
            <w:gridSpan w:val="17"/>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6"/>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740"/>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360" w:type="dxa"/>
            <w:vAlign w:val="bottom"/>
            <w:gridSpan w:val="19"/>
          </w:tcPr>
          <w:p>
            <w:pPr>
              <w:ind w:left="4420"/>
              <w:spacing w:after="0"/>
              <w:rPr>
                <w:sz w:val="20"/>
                <w:szCs w:val="20"/>
                <w:color w:val="auto"/>
              </w:rPr>
            </w:pPr>
            <w:r>
              <w:rPr>
                <w:rFonts w:ascii="Times New Roman" w:cs="Times New Roman" w:eastAsia="Times New Roman" w:hAnsi="Times New Roman"/>
                <w:sz w:val="18"/>
                <w:szCs w:val="18"/>
                <w:color w:val="auto"/>
              </w:rPr>
              <w:t>1</w:t>
            </w:r>
          </w:p>
        </w:tc>
        <w:tc>
          <w:tcPr>
            <w:tcW w:w="29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2"/>
        </w:trPr>
        <w:tc>
          <w:tcPr>
            <w:tcW w:w="7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9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61" w:lineRule="exact"/>
        <w:rPr>
          <w:sz w:val="20"/>
          <w:szCs w:val="20"/>
          <w:color w:val="auto"/>
        </w:rPr>
      </w:pPr>
    </w:p>
    <w:p>
      <w:pPr>
        <w:ind w:right="60" w:firstLine="864"/>
        <w:spacing w:after="0" w:line="249"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the COVID-19 pandemic on our business. Forward-looking and other statements in this Form 10-Q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(the “SEC”).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87" w:lineRule="exact"/>
        <w:rPr>
          <w:sz w:val="20"/>
          <w:szCs w:val="20"/>
          <w:color w:val="auto"/>
        </w:rPr>
      </w:pPr>
    </w:p>
    <w:p>
      <w:pPr>
        <w:ind w:firstLine="864"/>
        <w:spacing w:after="0" w:line="251" w:lineRule="auto"/>
        <w:rPr>
          <w:sz w:val="20"/>
          <w:szCs w:val="20"/>
          <w:color w:val="auto"/>
        </w:rPr>
      </w:pPr>
      <w:r>
        <w:rPr>
          <w:rFonts w:ascii="Times New Roman" w:cs="Times New Roman" w:eastAsia="Times New Roman" w:hAnsi="Times New Roman"/>
          <w:sz w:val="18"/>
          <w:szCs w:val="18"/>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Form 10-Q is, or should be relied upon as, a promise or representation or warranty as to any future matter, including any matter in respect of our operations or business or financial condition. All forward-looking statements are based on expectations and assumptions about future events that may or may not be correct or necessarily take place and that are by their nature subject to significant uncertainties and contingencies, many of which are outside of our control.</w:t>
      </w:r>
    </w:p>
    <w:p>
      <w:pPr>
        <w:spacing w:after="0" w:line="82" w:lineRule="exact"/>
        <w:rPr>
          <w:sz w:val="20"/>
          <w:szCs w:val="20"/>
          <w:color w:val="auto"/>
        </w:rPr>
      </w:pPr>
    </w:p>
    <w:p>
      <w:pPr>
        <w:ind w:right="60" w:firstLine="864"/>
        <w:spacing w:after="0" w:line="264" w:lineRule="auto"/>
        <w:rPr>
          <w:sz w:val="20"/>
          <w:szCs w:val="20"/>
          <w:color w:val="auto"/>
        </w:rPr>
      </w:pPr>
      <w:r>
        <w:rPr>
          <w:rFonts w:ascii="Times New Roman" w:cs="Times New Roman" w:eastAsia="Times New Roman" w:hAnsi="Times New Roman"/>
          <w:sz w:val="17"/>
          <w:szCs w:val="17"/>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Form 10-Q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(vii) failure to effectively manage our costs; (viii) our reliance on our information technology systems; (ix) our ability to prevent or effectively respond to 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w:t>
      </w:r>
    </w:p>
    <w:p>
      <w:pPr>
        <w:spacing w:after="0" w:line="3" w:lineRule="exact"/>
        <w:rPr>
          <w:sz w:val="20"/>
          <w:szCs w:val="20"/>
          <w:color w:val="auto"/>
        </w:rPr>
      </w:pPr>
    </w:p>
    <w:p>
      <w:pPr>
        <w:ind w:firstLine="6"/>
        <w:spacing w:after="0" w:line="248" w:lineRule="auto"/>
        <w:tabs>
          <w:tab w:leader="none" w:pos="39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political tensions, conflicts and wars (such as the ongoing conflict in Ukraine), health crises, and pandemics, including the potential effects that the ongoing COVID-19 pandemic and/or corresponding macroeconomic uncertainty could have on our financial position, results of operations and cash flows;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and (xx) the other risks, uncertainties and other factors identified under “Risk Factors” and elsewhere in our other filings with the SEC. The occurrence of any such factors could significantly alter the results set forth in these statements.</w:t>
      </w:r>
    </w:p>
    <w:p>
      <w:pPr>
        <w:spacing w:after="0" w:line="135" w:lineRule="exact"/>
        <w:rPr>
          <w:sz w:val="20"/>
          <w:szCs w:val="20"/>
          <w:color w:val="auto"/>
        </w:rPr>
      </w:pPr>
    </w:p>
    <w:p>
      <w:pPr>
        <w:jc w:val="both"/>
        <w:ind w:right="260" w:firstLine="864"/>
        <w:spacing w:after="0" w:line="261" w:lineRule="auto"/>
        <w:rPr>
          <w:sz w:val="20"/>
          <w:szCs w:val="20"/>
          <w:color w:val="auto"/>
        </w:rPr>
      </w:pPr>
      <w:r>
        <w:rPr>
          <w:rFonts w:ascii="Times New Roman" w:cs="Times New Roman" w:eastAsia="Times New Roman" w:hAnsi="Times New Roman"/>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23" w:lineRule="exact"/>
        <w:rPr>
          <w:sz w:val="20"/>
          <w:szCs w:val="20"/>
          <w:color w:val="auto"/>
        </w:rPr>
      </w:pPr>
    </w:p>
    <w:p>
      <w:pPr>
        <w:ind w:firstLine="864"/>
        <w:spacing w:after="0" w:line="256"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545"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April 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January 29,</w:t>
            </w:r>
          </w:p>
        </w:tc>
        <w:tc>
          <w:tcPr>
            <w:tcW w:w="0" w:type="dxa"/>
            <w:vAlign w:val="bottom"/>
          </w:tcPr>
          <w:p>
            <w:pPr>
              <w:spacing w:after="0"/>
              <w:rPr>
                <w:sz w:val="1"/>
                <w:szCs w:val="1"/>
                <w:color w:val="auto"/>
              </w:rPr>
            </w:pPr>
          </w:p>
        </w:tc>
      </w:tr>
      <w:tr>
        <w:trPr>
          <w:trHeight w:val="153"/>
        </w:trPr>
        <w:tc>
          <w:tcPr>
            <w:tcW w:w="6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center"/>
              <w:ind w:right="210"/>
              <w:spacing w:after="0" w:line="153" w:lineRule="exact"/>
              <w:rPr>
                <w:sz w:val="20"/>
                <w:szCs w:val="20"/>
                <w:color w:val="auto"/>
              </w:rPr>
            </w:pPr>
            <w:r>
              <w:rPr>
                <w:rFonts w:ascii="Times New Roman" w:cs="Times New Roman" w:eastAsia="Times New Roman" w:hAnsi="Times New Roman"/>
                <w:sz w:val="14"/>
                <w:szCs w:val="14"/>
                <w:color w:val="auto"/>
              </w:rPr>
              <w:t>(Unaudited)</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Current assets: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Cash and cash equivalents</w:t>
            </w:r>
          </w:p>
        </w:tc>
        <w:tc>
          <w:tcPr>
            <w:tcW w:w="1680" w:type="dxa"/>
            <w:vAlign w:val="bottom"/>
            <w:gridSpan w:val="2"/>
            <w:shd w:val="clear" w:color="auto" w:fill="CFF0FC"/>
          </w:tcPr>
          <w:p>
            <w:pPr>
              <w:jc w:val="right"/>
              <w:ind w:right="109"/>
              <w:spacing w:after="0" w:line="160"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190,893</w:t>
            </w:r>
          </w:p>
        </w:tc>
        <w:tc>
          <w:tcPr>
            <w:tcW w:w="2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4"/>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211,602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Receivables, less allowance for credit losses ($1,114 and $931, respectively)</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42,221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55,618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Merchandise inventories, net</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682,040</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675,111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Prepaid expenses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52,129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42,355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Other current assets</w:t>
            </w:r>
          </w:p>
        </w:tc>
        <w:tc>
          <w:tcPr>
            <w:tcW w:w="14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81,602</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86,091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CFF0FC"/>
            </w:tcBorders>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current assets</w:t>
            </w:r>
          </w:p>
        </w:tc>
        <w:tc>
          <w:tcPr>
            <w:tcW w:w="1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1,048,885</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1,070,777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Fixed assets</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1,792,202</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1,745,691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Less accumulated depreciation</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color w:val="auto"/>
              </w:rPr>
              <w:t>(1,056,858)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4"/>
                <w:szCs w:val="14"/>
                <w:color w:val="auto"/>
              </w:rPr>
              <w:t>(1,018,769)</w:t>
            </w:r>
          </w:p>
        </w:tc>
        <w:tc>
          <w:tcPr>
            <w:tcW w:w="0" w:type="dxa"/>
            <w:vAlign w:val="bottom"/>
          </w:tcPr>
          <w:p>
            <w:pPr>
              <w:spacing w:after="0"/>
              <w:rPr>
                <w:sz w:val="1"/>
                <w:szCs w:val="1"/>
                <w:color w:val="auto"/>
              </w:rPr>
            </w:pPr>
          </w:p>
        </w:tc>
      </w:tr>
      <w:tr>
        <w:trPr>
          <w:trHeight w:val="153"/>
        </w:trPr>
        <w:tc>
          <w:tcPr>
            <w:tcW w:w="6300" w:type="dxa"/>
            <w:vAlign w:val="bottom"/>
            <w:tcBorders>
              <w:top w:val="single" w:sz="8" w:color="CFF0FC"/>
            </w:tcBorders>
            <w:shd w:val="clear" w:color="auto" w:fill="CFF0FC"/>
          </w:tcPr>
          <w:p>
            <w:pPr>
              <w:ind w:left="500"/>
              <w:spacing w:after="0" w:line="153" w:lineRule="exact"/>
              <w:rPr>
                <w:sz w:val="20"/>
                <w:szCs w:val="20"/>
                <w:color w:val="auto"/>
              </w:rPr>
            </w:pPr>
            <w:r>
              <w:rPr>
                <w:rFonts w:ascii="Times New Roman" w:cs="Times New Roman" w:eastAsia="Times New Roman" w:hAnsi="Times New Roman"/>
                <w:sz w:val="14"/>
                <w:szCs w:val="14"/>
                <w:color w:val="auto"/>
              </w:rPr>
              <w:t>Fixed assets, net</w:t>
            </w:r>
          </w:p>
        </w:tc>
        <w:tc>
          <w:tcPr>
            <w:tcW w:w="14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735,344</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726,922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1,356,879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1,338,465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4"/>
                <w:szCs w:val="14"/>
                <w:color w:val="auto"/>
              </w:rPr>
              <w:t>Goodwill</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2,183,991</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2,183,991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Trade name</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1,025,000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1,025,000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4"/>
                <w:szCs w:val="14"/>
                <w:color w:val="auto"/>
              </w:rPr>
              <w:t>Other long-term assets</w:t>
            </w:r>
          </w:p>
        </w:tc>
        <w:tc>
          <w:tcPr>
            <w:tcW w:w="14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155,688</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152,786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6300" w:type="dxa"/>
            <w:vAlign w:val="bottom"/>
            <w:tcBorders>
              <w:bottom w:val="single" w:sz="8" w:color="CFF0FC"/>
            </w:tcBorders>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assets</w:t>
            </w:r>
          </w:p>
        </w:tc>
        <w:tc>
          <w:tcPr>
            <w:tcW w:w="14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jc w:val="right"/>
              <w:ind w:right="1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6,505,787</w:t>
            </w:r>
          </w:p>
        </w:tc>
        <w:tc>
          <w:tcPr>
            <w:tcW w:w="28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6,497,941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630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4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Current liabilities: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Accounts payable and book overdrafts</w:t>
            </w:r>
          </w:p>
        </w:tc>
        <w:tc>
          <w:tcPr>
            <w:tcW w:w="1680" w:type="dxa"/>
            <w:vAlign w:val="bottom"/>
            <w:gridSpan w:val="2"/>
            <w:shd w:val="clear" w:color="auto" w:fill="CFF0FC"/>
          </w:tcPr>
          <w:p>
            <w:pPr>
              <w:jc w:val="right"/>
              <w:ind w:right="109"/>
              <w:spacing w:after="0" w:line="160"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392,662</w:t>
            </w:r>
          </w:p>
        </w:tc>
        <w:tc>
          <w:tcPr>
            <w:tcW w:w="28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124"/>
              <w:spacing w:after="0" w:line="160"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403,976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Accrued salaries and employee benefits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125,616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150,630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Accrued expenses and other liabilities</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213,396</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210,872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258,349</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265,897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Current portion of long-term debt and other lease liabilities</w:t>
            </w:r>
          </w:p>
        </w:tc>
        <w:tc>
          <w:tcPr>
            <w:tcW w:w="14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21,789</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21,764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CFF0FC"/>
            </w:tcBorders>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current liabilities</w:t>
            </w:r>
          </w:p>
        </w:tc>
        <w:tc>
          <w:tcPr>
            <w:tcW w:w="1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1,011,812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1,053,139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Senior secured credit facilities, net, excluding current portion</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1,637,365</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1,640,390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spacing w:after="0" w:line="160" w:lineRule="exact"/>
              <w:rPr>
                <w:sz w:val="20"/>
                <w:szCs w:val="20"/>
                <w:color w:val="auto"/>
              </w:rPr>
            </w:pPr>
            <w:r>
              <w:rPr>
                <w:rFonts w:ascii="Times New Roman" w:cs="Times New Roman" w:eastAsia="Times New Roman" w:hAnsi="Times New Roman"/>
                <w:sz w:val="14"/>
                <w:szCs w:val="14"/>
                <w:color w:val="auto"/>
              </w:rPr>
              <w:t>Operating lease liabilities, excluding current portion</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1,114,268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1,096,133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4"/>
                <w:szCs w:val="14"/>
                <w:color w:val="auto"/>
              </w:rPr>
              <w:t>Deferred taxes, net</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322,626</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318,355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Borders>
              <w:bottom w:val="single" w:sz="8" w:color="CFF0FC"/>
            </w:tcBorders>
          </w:tcPr>
          <w:p>
            <w:pPr>
              <w:spacing w:after="0" w:line="160" w:lineRule="exact"/>
              <w:rPr>
                <w:sz w:val="20"/>
                <w:szCs w:val="20"/>
                <w:color w:val="auto"/>
              </w:rPr>
            </w:pPr>
            <w:r>
              <w:rPr>
                <w:rFonts w:ascii="Times New Roman" w:cs="Times New Roman" w:eastAsia="Times New Roman" w:hAnsi="Times New Roman"/>
                <w:sz w:val="14"/>
                <w:szCs w:val="14"/>
                <w:color w:val="auto"/>
              </w:rPr>
              <w:t>Other long-term liabilities</w:t>
            </w:r>
          </w:p>
        </w:tc>
        <w:tc>
          <w:tcPr>
            <w:tcW w:w="1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132,009</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134,105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FF0FC"/>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liabilities</w:t>
            </w:r>
          </w:p>
        </w:tc>
        <w:tc>
          <w:tcPr>
            <w:tcW w:w="14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4,218,080</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4,242,122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Commitments and contingencies (Notes 3 and 6)</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4"/>
                <w:szCs w:val="14"/>
                <w:color w:val="auto"/>
              </w:rPr>
              <w:t>Stockholders' equity:</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30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Class A common stock, $0.001 par value: Authorized - 1.0 billion shares;</w:t>
            </w: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Issued and outstanding - 227.5 million and 227.2 million shares, respectively</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300" w:type="dxa"/>
            <w:vAlign w:val="bottom"/>
            <w:shd w:val="clear" w:color="auto" w:fill="CFF0FC"/>
          </w:tcPr>
          <w:p>
            <w:pPr>
              <w:ind w:left="240"/>
              <w:spacing w:after="0" w:line="137" w:lineRule="exact"/>
              <w:rPr>
                <w:sz w:val="20"/>
                <w:szCs w:val="20"/>
                <w:color w:val="auto"/>
              </w:rPr>
            </w:pPr>
            <w:r>
              <w:rPr>
                <w:rFonts w:ascii="Times New Roman" w:cs="Times New Roman" w:eastAsia="Times New Roman" w:hAnsi="Times New Roman"/>
                <w:sz w:val="14"/>
                <w:szCs w:val="14"/>
                <w:color w:val="auto"/>
              </w:rPr>
              <w:t>Class B-1 common stock, $0.001 par value: Authorized - 75.0 million shares;</w:t>
            </w:r>
          </w:p>
        </w:tc>
        <w:tc>
          <w:tcPr>
            <w:tcW w:w="1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30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Class B-2 common stock, $0.000001 par value: Authorized - 75.0 million shares;</w:t>
            </w:r>
          </w:p>
        </w:tc>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3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Issued and outstanding - 37.8 million shares</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300" w:type="dxa"/>
            <w:vAlign w:val="bottom"/>
            <w:shd w:val="clear" w:color="auto" w:fill="CFF0FC"/>
          </w:tcPr>
          <w:p>
            <w:pPr>
              <w:ind w:left="240"/>
              <w:spacing w:after="0" w:line="137" w:lineRule="exact"/>
              <w:rPr>
                <w:sz w:val="20"/>
                <w:szCs w:val="20"/>
                <w:color w:val="auto"/>
              </w:rPr>
            </w:pPr>
            <w:r>
              <w:rPr>
                <w:rFonts w:ascii="Times New Roman" w:cs="Times New Roman" w:eastAsia="Times New Roman" w:hAnsi="Times New Roman"/>
                <w:sz w:val="14"/>
                <w:szCs w:val="14"/>
                <w:color w:val="auto"/>
              </w:rPr>
              <w:t>Preferred stock, $0.001 par value: Authorized - 25.0 million shares;</w:t>
            </w:r>
          </w:p>
        </w:tc>
        <w:tc>
          <w:tcPr>
            <w:tcW w:w="14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5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63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Issued and outstanding - none</w:t>
            </w:r>
          </w:p>
        </w:tc>
        <w:tc>
          <w:tcPr>
            <w:tcW w:w="14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30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Additional paid-in-capital</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2,143,505</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color w:val="auto"/>
              </w:rPr>
              <w:t>2,133,821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shd w:val="clear" w:color="auto" w:fill="CFF0FC"/>
          </w:tcPr>
          <w:p>
            <w:pPr>
              <w:ind w:left="240"/>
              <w:spacing w:after="0" w:line="160" w:lineRule="exact"/>
              <w:rPr>
                <w:sz w:val="20"/>
                <w:szCs w:val="20"/>
                <w:color w:val="auto"/>
              </w:rPr>
            </w:pPr>
            <w:r>
              <w:rPr>
                <w:rFonts w:ascii="Times New Roman" w:cs="Times New Roman" w:eastAsia="Times New Roman" w:hAnsi="Times New Roman"/>
                <w:sz w:val="14"/>
                <w:szCs w:val="14"/>
                <w:color w:val="auto"/>
              </w:rPr>
              <w:t>Retained earnings</w:t>
            </w:r>
          </w:p>
        </w:tc>
        <w:tc>
          <w:tcPr>
            <w:tcW w:w="1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166,859</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4"/>
                <w:szCs w:val="14"/>
                <w:color w:val="auto"/>
              </w:rPr>
              <w:t>142,166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tcPr>
          <w:p>
            <w:pPr>
              <w:ind w:left="240"/>
              <w:spacing w:after="0" w:line="160"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color w:val="auto"/>
              </w:rPr>
              <w:t>(3,836)</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80"/>
              <w:spacing w:after="0" w:line="160" w:lineRule="exact"/>
              <w:rPr>
                <w:sz w:val="20"/>
                <w:szCs w:val="20"/>
                <w:color w:val="auto"/>
              </w:rPr>
            </w:pPr>
            <w:r>
              <w:rPr>
                <w:rFonts w:ascii="Times New Roman" w:cs="Times New Roman" w:eastAsia="Times New Roman" w:hAnsi="Times New Roman"/>
                <w:sz w:val="14"/>
                <w:szCs w:val="14"/>
                <w:color w:val="auto"/>
              </w:rPr>
              <w:t>(2,238)</w:t>
            </w:r>
          </w:p>
        </w:tc>
        <w:tc>
          <w:tcPr>
            <w:tcW w:w="0" w:type="dxa"/>
            <w:vAlign w:val="bottom"/>
          </w:tcPr>
          <w:p>
            <w:pPr>
              <w:spacing w:after="0"/>
              <w:rPr>
                <w:sz w:val="1"/>
                <w:szCs w:val="1"/>
                <w:color w:val="auto"/>
              </w:rPr>
            </w:pPr>
          </w:p>
        </w:tc>
      </w:tr>
      <w:tr>
        <w:trPr>
          <w:trHeight w:val="153"/>
        </w:trPr>
        <w:tc>
          <w:tcPr>
            <w:tcW w:w="6300" w:type="dxa"/>
            <w:vAlign w:val="bottom"/>
            <w:tcBorders>
              <w:top w:val="single" w:sz="8" w:color="CFF0FC"/>
            </w:tcBorders>
            <w:shd w:val="clear" w:color="auto" w:fill="CFF0FC"/>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stockholders’ equity</w:t>
            </w:r>
          </w:p>
        </w:tc>
        <w:tc>
          <w:tcPr>
            <w:tcW w:w="142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2,306,793</w:t>
            </w:r>
          </w:p>
        </w:tc>
        <w:tc>
          <w:tcPr>
            <w:tcW w:w="28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300" w:type="dxa"/>
            <w:vAlign w:val="bottom"/>
            <w:tcBorders>
              <w:top w:val="single" w:sz="8" w:color="auto"/>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2,274,014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Borders>
              <w:bottom w:val="single" w:sz="8" w:color="CFF0FC"/>
            </w:tcBorders>
          </w:tcPr>
          <w:p>
            <w:pPr>
              <w:spacing w:after="0" w:line="153" w:lineRule="exact"/>
              <w:rPr>
                <w:sz w:val="20"/>
                <w:szCs w:val="20"/>
                <w:color w:val="auto"/>
              </w:rPr>
            </w:pPr>
            <w:r>
              <w:rPr>
                <w:rFonts w:ascii="Times New Roman" w:cs="Times New Roman" w:eastAsia="Times New Roman" w:hAnsi="Times New Roman"/>
                <w:sz w:val="14"/>
                <w:szCs w:val="14"/>
                <w:color w:val="auto"/>
              </w:rPr>
              <w:t>Noncontrolling interest</w:t>
            </w:r>
          </w:p>
        </w:tc>
        <w:tc>
          <w:tcPr>
            <w:tcW w:w="14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(19,086)</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(18,195)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shd w:val="clear" w:color="auto" w:fill="CFF0FC"/>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equity</w:t>
            </w:r>
          </w:p>
        </w:tc>
        <w:tc>
          <w:tcPr>
            <w:tcW w:w="142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2,287,707</w:t>
            </w: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2,255,819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300" w:type="dxa"/>
            <w:vAlign w:val="bottom"/>
          </w:tcPr>
          <w:p>
            <w:pPr>
              <w:ind w:left="500"/>
              <w:spacing w:after="0" w:line="153" w:lineRule="exact"/>
              <w:rPr>
                <w:sz w:val="20"/>
                <w:szCs w:val="20"/>
                <w:color w:val="auto"/>
              </w:rPr>
            </w:pPr>
            <w:r>
              <w:rPr>
                <w:rFonts w:ascii="Times New Roman" w:cs="Times New Roman" w:eastAsia="Times New Roman" w:hAnsi="Times New Roman"/>
                <w:sz w:val="14"/>
                <w:szCs w:val="14"/>
                <w:color w:val="auto"/>
              </w:rPr>
              <w:t>Total liabilities and equity</w:t>
            </w:r>
          </w:p>
        </w:tc>
        <w:tc>
          <w:tcPr>
            <w:tcW w:w="1420" w:type="dxa"/>
            <w:vAlign w:val="bottom"/>
          </w:tcPr>
          <w:p>
            <w:pPr>
              <w:spacing w:after="0"/>
              <w:rPr>
                <w:sz w:val="13"/>
                <w:szCs w:val="13"/>
                <w:color w:val="auto"/>
              </w:rPr>
            </w:pPr>
          </w:p>
        </w:tc>
        <w:tc>
          <w:tcPr>
            <w:tcW w:w="260" w:type="dxa"/>
            <w:vAlign w:val="bottom"/>
            <w:tcBorders>
              <w:bottom w:val="single" w:sz="8" w:color="auto"/>
            </w:tcBorders>
          </w:tcPr>
          <w:p>
            <w:pPr>
              <w:jc w:val="right"/>
              <w:ind w:right="109"/>
              <w:spacing w:after="0" w:line="153"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6,505,787</w:t>
            </w:r>
          </w:p>
        </w:tc>
        <w:tc>
          <w:tcPr>
            <w:tcW w:w="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color w:val="auto"/>
              </w:rPr>
              <w:t>6,497,941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jc w:val="right"/>
              <w:ind w:right="80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11"/>
                <w:szCs w:val="11"/>
                <w:color w:val="auto"/>
              </w:rPr>
            </w:pPr>
          </w:p>
        </w:tc>
        <w:tc>
          <w:tcPr>
            <w:tcW w:w="1020" w:type="dxa"/>
            <w:vAlign w:val="bottom"/>
          </w:tcPr>
          <w:p>
            <w:pPr>
              <w:jc w:val="right"/>
              <w:ind w:right="493"/>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1,475,991</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868,317</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607,674</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557,735</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549,236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49,939</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19,634</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tcPr>
          <w:p>
            <w:pPr>
              <w:ind w:left="480"/>
              <w:spacing w:after="0" w:line="201" w:lineRule="exact"/>
              <w:rPr>
                <w:sz w:val="20"/>
                <w:szCs w:val="20"/>
                <w:color w:val="auto"/>
              </w:rPr>
            </w:pPr>
            <w:r>
              <w:rPr>
                <w:rFonts w:ascii="Times New Roman" w:cs="Times New Roman" w:eastAsia="Times New Roman" w:hAnsi="Times New Roman"/>
                <w:sz w:val="18"/>
                <w:szCs w:val="18"/>
                <w:color w:val="auto"/>
              </w:rPr>
              <w:t>Income before income taxes and income</w:t>
            </w: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(3,163)</w:t>
            </w: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(891)</w:t>
            </w: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20" w:type="dxa"/>
            <w:vAlign w:val="bottom"/>
            <w:tcBorders>
              <w:top w:val="single" w:sz="8" w:color="CFF0FC"/>
            </w:tcBorders>
            <w:shd w:val="clear" w:color="auto" w:fill="CFF0FC"/>
          </w:tcPr>
          <w:p>
            <w:pPr>
              <w:ind w:left="480"/>
              <w:spacing w:after="0" w:line="201" w:lineRule="exact"/>
              <w:rPr>
                <w:sz w:val="20"/>
                <w:szCs w:val="20"/>
                <w:color w:val="auto"/>
              </w:rPr>
            </w:pPr>
            <w:r>
              <w:rPr>
                <w:rFonts w:ascii="Times New Roman" w:cs="Times New Roman" w:eastAsia="Times New Roman" w:hAnsi="Times New Roman"/>
                <w:sz w:val="18"/>
                <w:szCs w:val="18"/>
                <w:color w:val="auto"/>
              </w:rPr>
              <w:t>Net income attributable to Class A and B-1</w:t>
            </w:r>
          </w:p>
        </w:tc>
        <w:tc>
          <w:tcPr>
            <w:tcW w:w="3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72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common stockholders</w:t>
            </w: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per Class A and B-1 common share: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tcPr>
          <w:p>
            <w:pPr>
              <w:spacing w:after="0"/>
              <w:rPr>
                <w:sz w:val="19"/>
                <w:szCs w:val="19"/>
                <w:color w:val="auto"/>
              </w:rPr>
            </w:pPr>
          </w:p>
        </w:tc>
        <w:tc>
          <w:tcPr>
            <w:tcW w:w="5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2" w:right="339" w:bottom="1440" w:gutter="0" w:footer="0" w:header="0"/>
        </w:sectPr>
      </w:pPr>
    </w:p>
    <w:p>
      <w:pPr>
        <w:spacing w:after="0" w:line="21" w:lineRule="exact"/>
        <w:rPr>
          <w:sz w:val="20"/>
          <w:szCs w:val="20"/>
          <w:color w:val="auto"/>
        </w:rPr>
      </w:pPr>
    </w:p>
    <w:p>
      <w:pPr>
        <w:jc w:val="right"/>
        <w:ind w:right="4600"/>
        <w:spacing w:after="0"/>
        <w:rPr>
          <w:sz w:val="20"/>
          <w:szCs w:val="20"/>
          <w:color w:val="auto"/>
        </w:rPr>
      </w:pPr>
      <w:r>
        <w:rPr>
          <w:rFonts w:ascii="Times New Roman" w:cs="Times New Roman" w:eastAsia="Times New Roman" w:hAnsi="Times New Roman"/>
          <w:sz w:val="17"/>
          <w:szCs w:val="17"/>
          <w:color w:val="auto"/>
        </w:rPr>
        <w:t>Weighted average shares used in computing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134225" cy="278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278765"/>
                    </a:xfrm>
                    <a:prstGeom prst="rect">
                      <a:avLst/>
                    </a:prstGeom>
                    <a:noFill/>
                  </pic:spPr>
                </pic:pic>
              </a:graphicData>
            </a:graphic>
          </wp:anchor>
        </w:drawing>
      </w:r>
    </w:p>
    <w:p>
      <w:pPr>
        <w:spacing w:after="0" w:line="17" w:lineRule="exact"/>
        <w:rPr>
          <w:sz w:val="20"/>
          <w:szCs w:val="20"/>
          <w:color w:val="auto"/>
        </w:rPr>
      </w:pPr>
    </w:p>
    <w:p>
      <w:pPr>
        <w:jc w:val="right"/>
        <w:ind w:right="4660"/>
        <w:spacing w:after="0"/>
        <w:rPr>
          <w:sz w:val="20"/>
          <w:szCs w:val="20"/>
          <w:color w:val="auto"/>
        </w:rPr>
      </w:pPr>
      <w:r>
        <w:rPr>
          <w:rFonts w:ascii="Times New Roman" w:cs="Times New Roman" w:eastAsia="Times New Roman" w:hAnsi="Times New Roman"/>
          <w:sz w:val="18"/>
          <w:szCs w:val="18"/>
          <w:color w:val="auto"/>
        </w:rPr>
        <w:t>income per Class A and B-1 common share:</w:t>
      </w:r>
    </w:p>
    <w:p>
      <w:pPr>
        <w:spacing w:after="0" w:line="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7134225" cy="1606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7"/>
          <w:szCs w:val="17"/>
          <w:color w:val="auto"/>
        </w:rPr>
        <w:t>265,050</w:t>
      </w:r>
      <w:r>
        <w:rPr>
          <w:sz w:val="20"/>
          <w:szCs w:val="20"/>
          <w:color w:val="auto"/>
        </w:rPr>
        <w:tab/>
      </w:r>
      <w:r>
        <w:rPr>
          <w:rFonts w:ascii="Times New Roman" w:cs="Times New Roman" w:eastAsia="Times New Roman" w:hAnsi="Times New Roman"/>
          <w:sz w:val="17"/>
          <w:szCs w:val="17"/>
          <w:color w:val="auto"/>
        </w:rPr>
        <w:t>264,215</w:t>
      </w:r>
    </w:p>
    <w:p>
      <w:pPr>
        <w:spacing w:after="0" w:line="57"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7"/>
          <w:szCs w:val="17"/>
          <w:color w:val="auto"/>
        </w:rPr>
        <w:t>265,701</w:t>
      </w:r>
      <w:r>
        <w:rPr>
          <w:sz w:val="20"/>
          <w:szCs w:val="20"/>
          <w:color w:val="auto"/>
        </w:rPr>
        <w:tab/>
      </w:r>
      <w:r>
        <w:rPr>
          <w:rFonts w:ascii="Times New Roman" w:cs="Times New Roman" w:eastAsia="Times New Roman" w:hAnsi="Times New Roman"/>
          <w:sz w:val="17"/>
          <w:szCs w:val="17"/>
          <w:color w:val="auto"/>
        </w:rPr>
        <w:t>265,028</w:t>
      </w:r>
    </w:p>
    <w:p>
      <w:pPr>
        <w:spacing w:after="0" w:line="200" w:lineRule="exact"/>
        <w:rPr>
          <w:sz w:val="20"/>
          <w:szCs w:val="20"/>
          <w:color w:val="auto"/>
        </w:rPr>
      </w:pPr>
    </w:p>
    <w:p>
      <w:pPr>
        <w:sectPr>
          <w:pgSz w:w="11900" w:h="16838" w:orient="portrait"/>
          <w:cols w:equalWidth="0" w:num="2">
            <w:col w:w="7980" w:space="720"/>
            <w:col w:w="2540"/>
          </w:cols>
          <w:pgMar w:left="320" w:top="332" w:right="339" w:bottom="1440" w:gutter="0" w:footer="0" w:header="0"/>
          <w:type w:val="continuous"/>
        </w:sect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5" w:name="page6"/>
    <w:bookmarkEnd w:id="5"/>
    <w:p>
      <w:pPr>
        <w:ind w:left="35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495"/>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Borders>
              <w:bottom w:val="single" w:sz="8" w:color="CFF0FC"/>
            </w:tcBorders>
          </w:tcPr>
          <w:p>
            <w:pPr>
              <w:spacing w:after="0"/>
              <w:rPr>
                <w:sz w:val="14"/>
                <w:szCs w:val="14"/>
                <w:color w:val="auto"/>
              </w:rPr>
            </w:pPr>
          </w:p>
        </w:tc>
        <w:tc>
          <w:tcPr>
            <w:tcW w:w="19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color w:val="auto"/>
              </w:rPr>
              <w:t>Net income attributable to Class A and B-1</w:t>
            </w:r>
          </w:p>
        </w:tc>
        <w:tc>
          <w:tcPr>
            <w:tcW w:w="19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stockholders</w:t>
            </w:r>
          </w:p>
        </w:tc>
        <w:tc>
          <w:tcPr>
            <w:tcW w:w="19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9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57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loss attributable to noncontrolling</w:t>
            </w: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w:t>
            </w: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40" w:type="dxa"/>
            <w:vAlign w:val="bottom"/>
            <w:tcBorders>
              <w:top w:val="single" w:sz="8" w:color="CFF0FC"/>
            </w:tcBorders>
            <w:shd w:val="clear" w:color="auto" w:fill="CFF0FC"/>
          </w:tcPr>
          <w:p>
            <w:pPr>
              <w:spacing w:after="0" w:line="201" w:lineRule="exact"/>
              <w:rPr>
                <w:sz w:val="20"/>
                <w:szCs w:val="20"/>
                <w:color w:val="auto"/>
              </w:rPr>
            </w:pPr>
            <w:r>
              <w:rPr>
                <w:rFonts w:ascii="Times New Roman" w:cs="Times New Roman" w:eastAsia="Times New Roman" w:hAnsi="Times New Roman"/>
                <w:sz w:val="18"/>
                <w:szCs w:val="18"/>
                <w:color w:val="auto"/>
              </w:rPr>
              <w:t>Comprehensive income attributable to Class A and</w:t>
            </w:r>
          </w:p>
        </w:tc>
        <w:tc>
          <w:tcPr>
            <w:tcW w:w="19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B-1 common stockholders</w:t>
            </w:r>
          </w:p>
        </w:tc>
        <w:tc>
          <w:tcPr>
            <w:tcW w:w="226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23,095</w:t>
            </w:r>
          </w:p>
        </w:tc>
        <w:tc>
          <w:tcPr>
            <w:tcW w:w="16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 w:name="page7"/>
    <w:bookmarkEnd w:id="6"/>
    <w:p>
      <w:pPr>
        <w:ind w:left="35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0" w:type="dxa"/>
            <w:vAlign w:val="bottom"/>
          </w:tcPr>
          <w:p>
            <w:pPr>
              <w:spacing w:after="0"/>
              <w:rPr>
                <w:sz w:val="10"/>
                <w:szCs w:val="10"/>
                <w:color w:val="auto"/>
              </w:rPr>
            </w:pPr>
          </w:p>
        </w:tc>
        <w:tc>
          <w:tcPr>
            <w:tcW w:w="660" w:type="dxa"/>
            <w:vAlign w:val="bottom"/>
            <w:gridSpan w:val="4"/>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46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0"/>
                <w:szCs w:val="10"/>
                <w:color w:val="auto"/>
              </w:rPr>
            </w:pPr>
          </w:p>
        </w:tc>
        <w:tc>
          <w:tcPr>
            <w:tcW w:w="720" w:type="dxa"/>
            <w:vAlign w:val="bottom"/>
            <w:gridSpan w:val="3"/>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rPr>
              <w:t>A</w:t>
            </w:r>
          </w:p>
        </w:tc>
        <w:tc>
          <w:tcPr>
            <w:tcW w:w="20" w:type="dxa"/>
            <w:vAlign w:val="bottom"/>
          </w:tcPr>
          <w:p>
            <w:pPr>
              <w:spacing w:after="0"/>
              <w:rPr>
                <w:sz w:val="10"/>
                <w:szCs w:val="10"/>
                <w:color w:val="auto"/>
              </w:rPr>
            </w:pPr>
          </w:p>
        </w:tc>
        <w:tc>
          <w:tcPr>
            <w:tcW w:w="660" w:type="dxa"/>
            <w:vAlign w:val="bottom"/>
            <w:gridSpan w:val="4"/>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46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30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Retained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jc w:val="center"/>
              <w:ind w:right="240"/>
              <w:spacing w:after="0" w:line="120"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840" w:type="dxa"/>
            <w:vAlign w:val="bottom"/>
            <w:gridSpan w:val="4"/>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0"/>
                <w:szCs w:val="10"/>
                <w:color w:val="auto"/>
              </w:rPr>
            </w:pPr>
          </w:p>
        </w:tc>
        <w:tc>
          <w:tcPr>
            <w:tcW w:w="740" w:type="dxa"/>
            <w:vAlign w:val="bottom"/>
            <w:gridSpan w:val="3"/>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0" w:type="dxa"/>
            <w:vAlign w:val="bottom"/>
          </w:tcPr>
          <w:p>
            <w:pPr>
              <w:spacing w:after="0"/>
              <w:rPr>
                <w:sz w:val="11"/>
                <w:szCs w:val="11"/>
                <w:color w:val="auto"/>
              </w:rPr>
            </w:pPr>
          </w:p>
        </w:tc>
        <w:tc>
          <w:tcPr>
            <w:tcW w:w="6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earnings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1"/>
                <w:szCs w:val="11"/>
                <w:color w:val="auto"/>
              </w:rPr>
            </w:pPr>
          </w:p>
        </w:tc>
        <w:tc>
          <w:tcPr>
            <w:tcW w:w="72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Pr>
          <w:p>
            <w:pPr>
              <w:spacing w:after="0"/>
              <w:rPr>
                <w:sz w:val="11"/>
                <w:szCs w:val="11"/>
                <w:color w:val="auto"/>
              </w:rPr>
            </w:pPr>
          </w:p>
        </w:tc>
        <w:tc>
          <w:tcPr>
            <w:tcW w:w="7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26"/>
        </w:trPr>
        <w:tc>
          <w:tcPr>
            <w:tcW w:w="2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at January 29, 2022</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227,187</w:t>
            </w:r>
          </w:p>
        </w:tc>
        <w:tc>
          <w:tcPr>
            <w:tcW w:w="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0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180" w:type="dxa"/>
            <w:vAlign w:val="bottom"/>
            <w:tcBorders>
              <w:top w:val="single" w:sz="8" w:color="CFF0FC"/>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2,133,821</w:t>
            </w:r>
          </w:p>
        </w:tc>
        <w:tc>
          <w:tcPr>
            <w:tcW w:w="20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142,166</w:t>
            </w: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(2,238)</w:t>
            </w: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2,274,014</w:t>
            </w: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(18,195)</w:t>
            </w:r>
          </w:p>
        </w:tc>
        <w:tc>
          <w:tcPr>
            <w:tcW w:w="2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2,255,819</w:t>
            </w:r>
          </w:p>
        </w:tc>
        <w:tc>
          <w:tcPr>
            <w:tcW w:w="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5)</w:t>
            </w:r>
          </w:p>
        </w:tc>
        <w:tc>
          <w:tcPr>
            <w:tcW w:w="20" w:type="dxa"/>
            <w:vAlign w:val="bottom"/>
          </w:tcPr>
          <w:p>
            <w:pPr>
              <w:spacing w:after="0"/>
              <w:rPr>
                <w:sz w:val="11"/>
                <w:szCs w:val="11"/>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12,055</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FF0FC"/>
          </w:tcPr>
          <w:p>
            <w:pPr>
              <w:spacing w:after="0"/>
              <w:rPr>
                <w:sz w:val="11"/>
                <w:szCs w:val="11"/>
                <w:color w:val="auto"/>
              </w:rPr>
            </w:pPr>
          </w:p>
        </w:tc>
        <w:tc>
          <w:tcPr>
            <w:tcW w:w="6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24,693</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24,693</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(891)</w:t>
            </w: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23,802</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20" w:type="dxa"/>
            <w:vAlign w:val="bottom"/>
          </w:tcPr>
          <w:p>
            <w:pPr>
              <w:spacing w:after="0"/>
              <w:rPr>
                <w:sz w:val="11"/>
                <w:szCs w:val="11"/>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(1,598)</w:t>
            </w:r>
          </w:p>
        </w:tc>
        <w:tc>
          <w:tcPr>
            <w:tcW w:w="120" w:type="dxa"/>
            <w:vAlign w:val="bottom"/>
          </w:tcPr>
          <w:p>
            <w:pPr>
              <w:spacing w:after="0"/>
              <w:rPr>
                <w:sz w:val="11"/>
                <w:szCs w:val="11"/>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(1,598)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(1,598)</w:t>
            </w:r>
          </w:p>
        </w:tc>
        <w:tc>
          <w:tcPr>
            <w:tcW w:w="0" w:type="dxa"/>
            <w:vAlign w:val="bottom"/>
          </w:tcPr>
          <w:p>
            <w:pPr>
              <w:spacing w:after="0"/>
              <w:rPr>
                <w:sz w:val="1"/>
                <w:szCs w:val="1"/>
                <w:color w:val="auto"/>
              </w:rPr>
            </w:pPr>
          </w:p>
        </w:tc>
      </w:tr>
      <w:tr>
        <w:trPr>
          <w:trHeight w:val="119"/>
        </w:trPr>
        <w:tc>
          <w:tcPr>
            <w:tcW w:w="2820" w:type="dxa"/>
            <w:vAlign w:val="bottom"/>
            <w:shd w:val="clear" w:color="auto" w:fill="CFF0FC"/>
          </w:tcPr>
          <w:p>
            <w:pPr>
              <w:spacing w:after="0" w:line="120" w:lineRule="exact"/>
              <w:rPr>
                <w:sz w:val="20"/>
                <w:szCs w:val="20"/>
                <w:color w:val="auto"/>
              </w:rPr>
            </w:pPr>
            <w:r>
              <w:rPr>
                <w:rFonts w:ascii="Times New Roman" w:cs="Times New Roman" w:eastAsia="Times New Roman" w:hAnsi="Times New Roman"/>
                <w:sz w:val="11"/>
                <w:szCs w:val="11"/>
                <w:color w:val="auto"/>
              </w:rPr>
              <w:t>Issuance of common stock,</w:t>
            </w:r>
          </w:p>
        </w:tc>
        <w:tc>
          <w:tcPr>
            <w:tcW w:w="2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color w:val="auto"/>
              </w:rPr>
              <w:t>net of tax withholdings</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(2,371)</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(2,371)</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(2,371)</w:t>
            </w:r>
          </w:p>
        </w:tc>
        <w:tc>
          <w:tcPr>
            <w:tcW w:w="0" w:type="dxa"/>
            <w:vAlign w:val="bottom"/>
          </w:tcPr>
          <w:p>
            <w:pPr>
              <w:spacing w:after="0"/>
              <w:rPr>
                <w:sz w:val="1"/>
                <w:szCs w:val="1"/>
                <w:color w:val="auto"/>
              </w:rPr>
            </w:pPr>
          </w:p>
        </w:tc>
      </w:tr>
      <w:tr>
        <w:trPr>
          <w:trHeight w:val="126"/>
        </w:trPr>
        <w:tc>
          <w:tcPr>
            <w:tcW w:w="2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April 30, 2022</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227,478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37,791</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2,143,505</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166,859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(3,836)</w:t>
            </w: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2,306,793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(19,086)</w:t>
            </w:r>
          </w:p>
        </w:tc>
        <w:tc>
          <w:tcPr>
            <w:tcW w:w="2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2,287,707</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20" w:type="dxa"/>
            <w:vAlign w:val="bottom"/>
          </w:tcPr>
          <w:p>
            <w:pPr>
              <w:spacing w:after="0"/>
              <w:rPr>
                <w:sz w:val="10"/>
                <w:szCs w:val="10"/>
                <w:color w:val="auto"/>
              </w:rPr>
            </w:pPr>
          </w:p>
        </w:tc>
        <w:tc>
          <w:tcPr>
            <w:tcW w:w="660" w:type="dxa"/>
            <w:vAlign w:val="bottom"/>
            <w:gridSpan w:val="4"/>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46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Class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380"/>
              <w:spacing w:after="0" w:line="120" w:lineRule="exact"/>
              <w:rPr>
                <w:sz w:val="20"/>
                <w:szCs w:val="20"/>
                <w:color w:val="auto"/>
              </w:rPr>
            </w:pPr>
            <w:r>
              <w:rPr>
                <w:rFonts w:ascii="Times New Roman" w:cs="Times New Roman" w:eastAsia="Times New Roman" w:hAnsi="Times New Roman"/>
                <w:sz w:val="11"/>
                <w:szCs w:val="11"/>
                <w:b w:val="1"/>
                <w:bCs w:val="1"/>
                <w:color w:val="auto"/>
                <w:w w:val="95"/>
              </w:rPr>
              <w:t>other</w:t>
            </w:r>
          </w:p>
        </w:tc>
        <w:tc>
          <w:tcPr>
            <w:tcW w:w="120" w:type="dxa"/>
            <w:vAlign w:val="bottom"/>
          </w:tcPr>
          <w:p>
            <w:pPr>
              <w:spacing w:after="0"/>
              <w:rPr>
                <w:sz w:val="10"/>
                <w:szCs w:val="10"/>
                <w:color w:val="auto"/>
              </w:rPr>
            </w:pPr>
          </w:p>
        </w:tc>
        <w:tc>
          <w:tcPr>
            <w:tcW w:w="720" w:type="dxa"/>
            <w:vAlign w:val="bottom"/>
            <w:gridSpan w:val="3"/>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3"/>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A</w:t>
            </w:r>
          </w:p>
        </w:tc>
        <w:tc>
          <w:tcPr>
            <w:tcW w:w="20" w:type="dxa"/>
            <w:vAlign w:val="bottom"/>
          </w:tcPr>
          <w:p>
            <w:pPr>
              <w:spacing w:after="0"/>
              <w:rPr>
                <w:sz w:val="10"/>
                <w:szCs w:val="10"/>
                <w:color w:val="auto"/>
              </w:rPr>
            </w:pPr>
          </w:p>
        </w:tc>
        <w:tc>
          <w:tcPr>
            <w:tcW w:w="660" w:type="dxa"/>
            <w:vAlign w:val="bottom"/>
            <w:gridSpan w:val="4"/>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6"/>
              </w:rPr>
              <w:t>B-1</w:t>
            </w:r>
          </w:p>
        </w:tc>
        <w:tc>
          <w:tcPr>
            <w:tcW w:w="46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1"/>
                <w:szCs w:val="11"/>
                <w:b w:val="1"/>
                <w:bCs w:val="1"/>
                <w:color w:val="auto"/>
                <w:w w:val="96"/>
              </w:rPr>
              <w:t>B-2</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ind w:right="320"/>
              <w:spacing w:after="0" w:line="120"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20" w:type="dxa"/>
            <w:vAlign w:val="bottom"/>
          </w:tcPr>
          <w:p>
            <w:pPr>
              <w:spacing w:after="0"/>
              <w:rPr>
                <w:sz w:val="10"/>
                <w:szCs w:val="10"/>
                <w:color w:val="auto"/>
              </w:rPr>
            </w:pPr>
          </w:p>
        </w:tc>
        <w:tc>
          <w:tcPr>
            <w:tcW w:w="820" w:type="dxa"/>
            <w:vAlign w:val="bottom"/>
            <w:gridSpan w:val="4"/>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jc w:val="center"/>
              <w:ind w:right="240"/>
              <w:spacing w:after="0" w:line="120"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840" w:type="dxa"/>
            <w:vAlign w:val="bottom"/>
            <w:gridSpan w:val="4"/>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3"/>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40" w:type="dxa"/>
            <w:vAlign w:val="bottom"/>
          </w:tcPr>
          <w:p>
            <w:pPr>
              <w:spacing w:after="0"/>
              <w:rPr>
                <w:sz w:val="10"/>
                <w:szCs w:val="10"/>
                <w:color w:val="auto"/>
              </w:rPr>
            </w:pPr>
          </w:p>
        </w:tc>
        <w:tc>
          <w:tcPr>
            <w:tcW w:w="740" w:type="dxa"/>
            <w:vAlign w:val="bottom"/>
            <w:gridSpan w:val="3"/>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20" w:type="dxa"/>
            <w:vAlign w:val="bottom"/>
          </w:tcPr>
          <w:p>
            <w:pPr>
              <w:spacing w:after="0"/>
              <w:rPr>
                <w:sz w:val="11"/>
                <w:szCs w:val="11"/>
                <w:color w:val="auto"/>
              </w:rPr>
            </w:pPr>
          </w:p>
        </w:tc>
        <w:tc>
          <w:tcPr>
            <w:tcW w:w="66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(shares)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200" w:type="dxa"/>
            <w:vAlign w:val="bottom"/>
          </w:tcPr>
          <w:p>
            <w:pPr>
              <w:spacing w:after="0"/>
              <w:rPr>
                <w:sz w:val="11"/>
                <w:szCs w:val="1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1"/>
                <w:szCs w:val="11"/>
                <w:color w:val="auto"/>
              </w:rPr>
            </w:pPr>
          </w:p>
        </w:tc>
        <w:tc>
          <w:tcPr>
            <w:tcW w:w="72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40" w:type="dxa"/>
            <w:vAlign w:val="bottom"/>
          </w:tcPr>
          <w:p>
            <w:pPr>
              <w:spacing w:after="0"/>
              <w:rPr>
                <w:sz w:val="11"/>
                <w:szCs w:val="11"/>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26"/>
        </w:trPr>
        <w:tc>
          <w:tcPr>
            <w:tcW w:w="2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 at January 30, 2021</w:t>
            </w:r>
          </w:p>
        </w:tc>
        <w:tc>
          <w:tcPr>
            <w:tcW w:w="20" w:type="dxa"/>
            <w:vAlign w:val="bottom"/>
            <w:tcBorders>
              <w:top w:val="single" w:sz="8" w:color="CFF0FC"/>
            </w:tcBorders>
            <w:shd w:val="clear" w:color="auto" w:fill="CFF0FC"/>
          </w:tcPr>
          <w:p>
            <w:pPr>
              <w:spacing w:after="0"/>
              <w:rPr>
                <w:sz w:val="10"/>
                <w:szCs w:val="10"/>
                <w:color w:val="auto"/>
              </w:rPr>
            </w:pPr>
          </w:p>
        </w:tc>
        <w:tc>
          <w:tcPr>
            <w:tcW w:w="4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226,424</w:t>
            </w:r>
          </w:p>
        </w:tc>
        <w:tc>
          <w:tcPr>
            <w:tcW w:w="20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CFF0FC"/>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20" w:type="dxa"/>
            <w:vAlign w:val="bottom"/>
            <w:tcBorders>
              <w:top w:val="single" w:sz="8" w:color="auto"/>
            </w:tcBorders>
            <w:shd w:val="clear" w:color="auto" w:fill="CFF0FC"/>
          </w:tcPr>
          <w:p>
            <w:pPr>
              <w:spacing w:after="0"/>
              <w:rPr>
                <w:sz w:val="10"/>
                <w:szCs w:val="1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gridSpan w:val="2"/>
            <w:shd w:val="clear" w:color="auto" w:fill="CFF0FC"/>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2,092,110</w:t>
            </w: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(22,251)</w:t>
            </w:r>
          </w:p>
        </w:tc>
        <w:tc>
          <w:tcPr>
            <w:tcW w:w="120" w:type="dxa"/>
            <w:vAlign w:val="bottom"/>
            <w:tcBorders>
              <w:top w:val="single" w:sz="8" w:color="CFF0FC"/>
            </w:tcBorders>
            <w:gridSpan w:val="2"/>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gridSpan w:val="2"/>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(1,275)</w:t>
            </w:r>
          </w:p>
        </w:tc>
        <w:tc>
          <w:tcPr>
            <w:tcW w:w="22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2,068,848</w:t>
            </w:r>
          </w:p>
        </w:tc>
        <w:tc>
          <w:tcPr>
            <w:tcW w:w="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gridSpan w:val="2"/>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(13,583)</w:t>
            </w:r>
          </w:p>
        </w:tc>
        <w:tc>
          <w:tcPr>
            <w:tcW w:w="220" w:type="dxa"/>
            <w:vAlign w:val="bottom"/>
            <w:tcBorders>
              <w:top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2,055,265</w:t>
            </w: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Equity-based compensation expense</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(Note 5)</w:t>
            </w:r>
          </w:p>
        </w:tc>
        <w:tc>
          <w:tcPr>
            <w:tcW w:w="20" w:type="dxa"/>
            <w:vAlign w:val="bottom"/>
          </w:tcPr>
          <w:p>
            <w:pPr>
              <w:spacing w:after="0"/>
              <w:rPr>
                <w:sz w:val="11"/>
                <w:szCs w:val="11"/>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11,604</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11,604</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11,604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 w:type="dxa"/>
            <w:vAlign w:val="bottom"/>
            <w:shd w:val="clear" w:color="auto" w:fill="CFF0FC"/>
          </w:tcPr>
          <w:p>
            <w:pPr>
              <w:spacing w:after="0"/>
              <w:rPr>
                <w:sz w:val="11"/>
                <w:szCs w:val="11"/>
                <w:color w:val="auto"/>
              </w:rPr>
            </w:pPr>
          </w:p>
        </w:tc>
        <w:tc>
          <w:tcPr>
            <w:tcW w:w="6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6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7,560</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7,560</w:t>
            </w:r>
          </w:p>
        </w:tc>
        <w:tc>
          <w:tcPr>
            <w:tcW w:w="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(1,411)</w:t>
            </w:r>
          </w:p>
        </w:tc>
        <w:tc>
          <w:tcPr>
            <w:tcW w:w="14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6,149</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820" w:type="dxa"/>
            <w:vAlign w:val="bottom"/>
          </w:tcPr>
          <w:p>
            <w:pPr>
              <w:spacing w:after="0" w:line="120"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adjustment, net of tax</w:t>
            </w:r>
          </w:p>
        </w:tc>
        <w:tc>
          <w:tcPr>
            <w:tcW w:w="20" w:type="dxa"/>
            <w:vAlign w:val="bottom"/>
          </w:tcPr>
          <w:p>
            <w:pPr>
              <w:spacing w:after="0"/>
              <w:rPr>
                <w:sz w:val="11"/>
                <w:szCs w:val="11"/>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(786)</w:t>
            </w:r>
          </w:p>
        </w:tc>
        <w:tc>
          <w:tcPr>
            <w:tcW w:w="120" w:type="dxa"/>
            <w:vAlign w:val="bottom"/>
          </w:tcPr>
          <w:p>
            <w:pPr>
              <w:spacing w:after="0"/>
              <w:rPr>
                <w:sz w:val="11"/>
                <w:szCs w:val="11"/>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(786)</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(786)</w:t>
            </w:r>
          </w:p>
        </w:tc>
        <w:tc>
          <w:tcPr>
            <w:tcW w:w="0" w:type="dxa"/>
            <w:vAlign w:val="bottom"/>
          </w:tcPr>
          <w:p>
            <w:pPr>
              <w:spacing w:after="0"/>
              <w:rPr>
                <w:sz w:val="1"/>
                <w:szCs w:val="1"/>
                <w:color w:val="auto"/>
              </w:rPr>
            </w:pPr>
          </w:p>
        </w:tc>
      </w:tr>
      <w:tr>
        <w:trPr>
          <w:trHeight w:val="13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Issuance of restricted stock awards</w:t>
            </w:r>
          </w:p>
        </w:tc>
        <w:tc>
          <w:tcPr>
            <w:tcW w:w="4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55</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6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28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Balance at May 1, 2021</w:t>
            </w:r>
          </w:p>
        </w:tc>
        <w:tc>
          <w:tcPr>
            <w:tcW w:w="20" w:type="dxa"/>
            <w:vAlign w:val="bottom"/>
          </w:tcPr>
          <w:p>
            <w:pPr>
              <w:spacing w:after="0"/>
              <w:rPr>
                <w:sz w:val="10"/>
                <w:szCs w:val="10"/>
                <w:color w:val="auto"/>
              </w:rPr>
            </w:pP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226,479</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37,791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2,103,714</w:t>
            </w:r>
          </w:p>
        </w:tc>
        <w:tc>
          <w:tcPr>
            <w:tcW w:w="200" w:type="dxa"/>
            <w:vAlign w:val="bottom"/>
          </w:tcPr>
          <w:p>
            <w:pPr>
              <w:spacing w:after="0"/>
              <w:rPr>
                <w:sz w:val="10"/>
                <w:szCs w:val="10"/>
                <w:color w:val="auto"/>
              </w:rPr>
            </w:pPr>
          </w:p>
        </w:tc>
        <w:tc>
          <w:tcPr>
            <w:tcW w:w="12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(14,691)</w:t>
            </w:r>
          </w:p>
        </w:tc>
        <w:tc>
          <w:tcPr>
            <w:tcW w:w="1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gridSpan w:val="2"/>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(2,061)</w:t>
            </w:r>
          </w:p>
        </w:tc>
        <w:tc>
          <w:tcPr>
            <w:tcW w:w="22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2,087,226</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(14,994)</w:t>
            </w:r>
          </w:p>
        </w:tc>
        <w:tc>
          <w:tcPr>
            <w:tcW w:w="22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2,072,232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 w:name="page8"/>
    <w:bookmarkEnd w:id="7"/>
    <w:p>
      <w:pPr>
        <w:ind w:left="350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Thirteen weeks ended</w:t>
            </w: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5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40" w:type="dxa"/>
            <w:vAlign w:val="bottom"/>
          </w:tcPr>
          <w:p>
            <w:pPr>
              <w:jc w:val="right"/>
              <w:spacing w:after="0" w:line="120" w:lineRule="exact"/>
              <w:rPr>
                <w:sz w:val="20"/>
                <w:szCs w:val="20"/>
                <w:color w:val="auto"/>
              </w:rPr>
            </w:pPr>
            <w:r>
              <w:rPr>
                <w:rFonts w:ascii="Times New Roman" w:cs="Times New Roman" w:eastAsia="Times New Roman" w:hAnsi="Times New Roman"/>
                <w:sz w:val="12"/>
                <w:szCs w:val="12"/>
                <w:b w:val="1"/>
                <w:bCs w:val="1"/>
                <w:color w:val="auto"/>
              </w:rPr>
              <w:t>April 30,</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jc w:val="right"/>
              <w:ind w:right="534"/>
              <w:spacing w:after="0" w:line="120" w:lineRule="exact"/>
              <w:rPr>
                <w:sz w:val="20"/>
                <w:szCs w:val="20"/>
                <w:color w:val="auto"/>
              </w:rPr>
            </w:pPr>
            <w:r>
              <w:rPr>
                <w:rFonts w:ascii="Times New Roman" w:cs="Times New Roman" w:eastAsia="Times New Roman" w:hAnsi="Times New Roman"/>
                <w:sz w:val="12"/>
                <w:szCs w:val="12"/>
                <w:b w:val="1"/>
                <w:bCs w:val="1"/>
                <w:color w:val="auto"/>
              </w:rPr>
              <w:t>May 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900" w:type="dxa"/>
            <w:vAlign w:val="bottom"/>
          </w:tcPr>
          <w:p>
            <w:pPr>
              <w:spacing w:after="0"/>
              <w:rPr>
                <w:sz w:val="13"/>
                <w:szCs w:val="13"/>
                <w:color w:val="auto"/>
              </w:rPr>
            </w:pPr>
          </w:p>
        </w:tc>
        <w:tc>
          <w:tcPr>
            <w:tcW w:w="28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2022</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ind w:right="594"/>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182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income</w:t>
            </w:r>
          </w:p>
        </w:tc>
        <w:tc>
          <w:tcPr>
            <w:tcW w:w="2860" w:type="dxa"/>
            <w:vAlign w:val="bottom"/>
            <w:gridSpan w:val="2"/>
          </w:tcPr>
          <w:p>
            <w:pPr>
              <w:jc w:val="right"/>
              <w:ind w:right="89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23,802</w:t>
            </w:r>
          </w:p>
        </w:tc>
        <w:tc>
          <w:tcPr>
            <w:tcW w:w="160" w:type="dxa"/>
            <w:vAlign w:val="bottom"/>
          </w:tcPr>
          <w:p>
            <w:pPr>
              <w:spacing w:after="0"/>
              <w:rPr>
                <w:sz w:val="13"/>
                <w:szCs w:val="13"/>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5900" w:type="dxa"/>
            <w:vAlign w:val="bottom"/>
            <w:shd w:val="clear" w:color="auto" w:fill="CFF0FC"/>
          </w:tcPr>
          <w:p>
            <w:pPr>
              <w:ind w:left="240"/>
              <w:spacing w:after="0" w:line="147"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operating</w:t>
            </w:r>
          </w:p>
        </w:tc>
        <w:tc>
          <w:tcPr>
            <w:tcW w:w="18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9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activities: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46,967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Amortization of debt discounts and issuance costs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1,224</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Provision for deferred taxes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Equity-based compensation</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12,222</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11,604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Impairments, write-offs and losses on sale of fixed and other assets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Loss on extinguishment and modification of debt</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20,838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Income from equity method investees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(3,163)</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(2,425)</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Non-cash operating lease costs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105,249</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105,188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Other non-operating income</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(314)</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Receivables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Merchandise inventories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(6,930)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(36,008)</w:t>
            </w:r>
          </w:p>
        </w:tc>
        <w:tc>
          <w:tcPr>
            <w:tcW w:w="0" w:type="dxa"/>
            <w:vAlign w:val="bottom"/>
          </w:tcPr>
          <w:p>
            <w:pPr>
              <w:spacing w:after="0"/>
              <w:rPr>
                <w:sz w:val="1"/>
                <w:szCs w:val="1"/>
                <w:color w:val="auto"/>
              </w:rPr>
            </w:pPr>
          </w:p>
        </w:tc>
      </w:tr>
      <w:tr>
        <w:trPr>
          <w:trHeight w:val="160"/>
        </w:trPr>
        <w:tc>
          <w:tcPr>
            <w:tcW w:w="5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(9,896)</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(9,140)</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Accounts payable and book overdrafts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(11,314)</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20,119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Accrued salaries and employee benefits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(16,478)</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(2,483)</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11,290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66,120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(112,272)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(116,994)</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(1,259)</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tcBorders>
              <w:bottom w:val="single" w:sz="8" w:color="CFF0FC"/>
            </w:tcBorders>
          </w:tcPr>
          <w:p>
            <w:pPr>
              <w:ind w:left="98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82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115,002</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Cash paid for fixed assets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(65,910)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(47,351)</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8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900" w:type="dxa"/>
            <w:vAlign w:val="bottom"/>
            <w:vMerge w:val="continue"/>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(65,910)</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(47,351)</w:t>
            </w:r>
          </w:p>
        </w:tc>
        <w:tc>
          <w:tcPr>
            <w:tcW w:w="0" w:type="dxa"/>
            <w:vAlign w:val="bottom"/>
          </w:tcPr>
          <w:p>
            <w:pPr>
              <w:spacing w:after="0"/>
              <w:rPr>
                <w:sz w:val="1"/>
                <w:szCs w:val="1"/>
                <w:color w:val="auto"/>
              </w:rPr>
            </w:pPr>
          </w:p>
        </w:tc>
      </w:tr>
      <w:tr>
        <w:trPr>
          <w:trHeight w:val="153"/>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18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Borrowings under long-term debt agreements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Repayments of long-term debt</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(4,250)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(1,678,111)</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Debt refinancing costs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(24,665)</w:t>
            </w:r>
          </w:p>
        </w:tc>
        <w:tc>
          <w:tcPr>
            <w:tcW w:w="0" w:type="dxa"/>
            <w:vAlign w:val="bottom"/>
          </w:tcPr>
          <w:p>
            <w:pPr>
              <w:spacing w:after="0"/>
              <w:rPr>
                <w:sz w:val="1"/>
                <w:szCs w:val="1"/>
                <w:color w:val="auto"/>
              </w:rPr>
            </w:pPr>
          </w:p>
        </w:tc>
      </w:tr>
      <w:tr>
        <w:trPr>
          <w:trHeight w:val="160"/>
        </w:trPr>
        <w:tc>
          <w:tcPr>
            <w:tcW w:w="5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Payments for finance lease liabilities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(1,022)</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(593)</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Proceeds from employee stock purchase plan and stock option exercises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Tax withholdings on stock-based awards</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(11,441)</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Payment of offering costs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20"/>
        </w:trPr>
        <w:tc>
          <w:tcPr>
            <w:tcW w:w="5900" w:type="dxa"/>
            <w:vAlign w:val="bottom"/>
            <w:vMerge w:val="restart"/>
          </w:tcPr>
          <w:p>
            <w:pPr>
              <w:ind w:left="98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90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(15,260)</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(7,213)</w:t>
            </w:r>
          </w:p>
        </w:tc>
        <w:tc>
          <w:tcPr>
            <w:tcW w:w="0" w:type="dxa"/>
            <w:vAlign w:val="bottom"/>
          </w:tcPr>
          <w:p>
            <w:pPr>
              <w:spacing w:after="0"/>
              <w:rPr>
                <w:sz w:val="1"/>
                <w:szCs w:val="1"/>
                <w:color w:val="auto"/>
              </w:rPr>
            </w:pPr>
          </w:p>
        </w:tc>
      </w:tr>
      <w:tr>
        <w:trPr>
          <w:trHeight w:val="20"/>
        </w:trPr>
        <w:tc>
          <w:tcPr>
            <w:tcW w:w="59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18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900" w:type="dxa"/>
            <w:vAlign w:val="bottom"/>
            <w:vMerge w:val="continue"/>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(23,651)</w:t>
            </w:r>
          </w:p>
        </w:tc>
        <w:tc>
          <w:tcPr>
            <w:tcW w:w="1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60,438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18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221,890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119,540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2860" w:type="dxa"/>
            <w:vAlign w:val="bottom"/>
            <w:gridSpan w:val="2"/>
            <w:shd w:val="clear" w:color="auto" w:fill="CFF0FC"/>
          </w:tcPr>
          <w:p>
            <w:pPr>
              <w:jc w:val="right"/>
              <w:ind w:right="89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198,239</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179,978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3"/>
                <w:szCs w:val="13"/>
                <w:color w:val="auto"/>
              </w:rPr>
              <w:t>Supplemental cash flow disclosures:</w:t>
            </w:r>
          </w:p>
        </w:tc>
        <w:tc>
          <w:tcPr>
            <w:tcW w:w="18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900" w:type="dxa"/>
            <w:vAlign w:val="bottom"/>
            <w:vMerge w:val="continue"/>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Interest paid, net</w:t>
            </w:r>
          </w:p>
        </w:tc>
        <w:tc>
          <w:tcPr>
            <w:tcW w:w="2860" w:type="dxa"/>
            <w:vAlign w:val="bottom"/>
            <w:gridSpan w:val="2"/>
            <w:shd w:val="clear" w:color="auto" w:fill="CFF0FC"/>
          </w:tcPr>
          <w:p>
            <w:pPr>
              <w:jc w:val="right"/>
              <w:ind w:right="89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17,203</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6,958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Capitalized interest</w:t>
            </w:r>
          </w:p>
        </w:tc>
        <w:tc>
          <w:tcPr>
            <w:tcW w:w="2860" w:type="dxa"/>
            <w:vAlign w:val="bottom"/>
            <w:gridSpan w:val="2"/>
          </w:tcPr>
          <w:p>
            <w:pPr>
              <w:jc w:val="right"/>
              <w:ind w:right="89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60" w:type="dxa"/>
            <w:vAlign w:val="bottom"/>
          </w:tcPr>
          <w:p>
            <w:pPr>
              <w:spacing w:after="0"/>
              <w:rPr>
                <w:sz w:val="13"/>
                <w:szCs w:val="13"/>
                <w:color w:val="auto"/>
              </w:rPr>
            </w:pP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Income taxes paid</w:t>
            </w:r>
          </w:p>
        </w:tc>
        <w:tc>
          <w:tcPr>
            <w:tcW w:w="2860" w:type="dxa"/>
            <w:vAlign w:val="bottom"/>
            <w:gridSpan w:val="2"/>
            <w:shd w:val="clear" w:color="auto" w:fill="CFF0FC"/>
          </w:tcPr>
          <w:p>
            <w:pPr>
              <w:jc w:val="right"/>
              <w:ind w:right="89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669</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tcPr>
          <w:p>
            <w:pPr>
              <w:spacing w:after="0"/>
              <w:rPr>
                <w:sz w:val="20"/>
                <w:szCs w:val="20"/>
                <w:color w:val="auto"/>
              </w:rPr>
            </w:pPr>
            <w:r>
              <w:rPr>
                <w:rFonts w:ascii="Times New Roman" w:cs="Times New Roman" w:eastAsia="Times New Roman" w:hAnsi="Times New Roman"/>
                <w:sz w:val="13"/>
                <w:szCs w:val="13"/>
                <w:color w:val="auto"/>
              </w:rPr>
              <w:t>Supplemental non-cash investing and financing activities disclosure:</w:t>
            </w: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9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Accounts payable and accrued expenses for capital expenditures</w:t>
            </w:r>
          </w:p>
        </w:tc>
        <w:tc>
          <w:tcPr>
            <w:tcW w:w="2860" w:type="dxa"/>
            <w:vAlign w:val="bottom"/>
            <w:gridSpan w:val="2"/>
            <w:shd w:val="clear" w:color="auto" w:fill="CFF0FC"/>
          </w:tcPr>
          <w:p>
            <w:pPr>
              <w:jc w:val="right"/>
              <w:ind w:right="898"/>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27,083</w:t>
            </w:r>
          </w:p>
        </w:tc>
        <w:tc>
          <w:tcPr>
            <w:tcW w:w="16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23,386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8" w:name="page9"/>
    <w:bookmarkEnd w:id="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3" w:lineRule="exact"/>
        <w:rPr>
          <w:sz w:val="20"/>
          <w:szCs w:val="20"/>
          <w:color w:val="auto"/>
        </w:rPr>
      </w:pPr>
    </w:p>
    <w:p>
      <w:pPr>
        <w:ind w:right="20" w:firstLine="589"/>
        <w:spacing w:after="0" w:line="306" w:lineRule="auto"/>
        <w:rPr>
          <w:sz w:val="20"/>
          <w:szCs w:val="20"/>
          <w:color w:val="auto"/>
        </w:rPr>
      </w:pPr>
      <w:r>
        <w:rPr>
          <w:rFonts w:ascii="Times New Roman" w:cs="Times New Roman" w:eastAsia="Times New Roman" w:hAnsi="Times New Roman"/>
          <w:sz w:val="17"/>
          <w:szCs w:val="17"/>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40" w:lineRule="exact"/>
        <w:rPr>
          <w:sz w:val="20"/>
          <w:szCs w:val="20"/>
          <w:color w:val="auto"/>
        </w:rPr>
      </w:pPr>
    </w:p>
    <w:p>
      <w:pPr>
        <w:ind w:right="200" w:firstLine="589"/>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77" w:lineRule="exact"/>
        <w:rPr>
          <w:sz w:val="20"/>
          <w:szCs w:val="20"/>
          <w:color w:val="auto"/>
        </w:rPr>
      </w:pPr>
    </w:p>
    <w:p>
      <w:pPr>
        <w:ind w:right="660" w:firstLine="589"/>
        <w:spacing w:after="0" w:line="276"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disclosed in Note 1 of the Notes to Consolidated Financial Statements included in the Company’s Annual Report on Form 10-K for the fiscal year ended January 29, 2022.</w:t>
      </w:r>
    </w:p>
    <w:p>
      <w:pPr>
        <w:spacing w:after="0" w:line="163" w:lineRule="exact"/>
        <w:rPr>
          <w:sz w:val="20"/>
          <w:szCs w:val="20"/>
          <w:color w:val="auto"/>
        </w:rPr>
      </w:pPr>
    </w:p>
    <w:p>
      <w:pPr>
        <w:ind w:right="40" w:firstLine="589"/>
        <w:spacing w:after="0" w:line="25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29, 2022, from which the prior year balance sheet information herein was derived.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Veterinary Joint Venture</w:t>
      </w:r>
    </w:p>
    <w:p>
      <w:pPr>
        <w:spacing w:after="0" w:line="329" w:lineRule="exact"/>
        <w:rPr>
          <w:sz w:val="20"/>
          <w:szCs w:val="20"/>
          <w:color w:val="auto"/>
        </w:rPr>
      </w:pPr>
    </w:p>
    <w:p>
      <w:pPr>
        <w:ind w:left="20" w:firstLine="588"/>
        <w:spacing w:after="0" w:line="254" w:lineRule="auto"/>
        <w:rPr>
          <w:sz w:val="20"/>
          <w:szCs w:val="20"/>
          <w:color w:val="auto"/>
        </w:rPr>
      </w:pPr>
      <w:r>
        <w:rPr>
          <w:rFonts w:ascii="Times New Roman" w:cs="Times New Roman" w:eastAsia="Times New Roman" w:hAnsi="Times New Roman"/>
          <w:sz w:val="18"/>
          <w:szCs w:val="18"/>
          <w:color w:val="auto"/>
        </w:rPr>
        <w:t>As of April 30, 2022, the Company held a 50% investment in a joint venture with a domestic partner to build and operate veterinary clinics in Petco locations. The joint venture was a variable interest entity for which the Company was the primary beneficiary, and accordingly, the joint venture’s results of operations and statements of financial position are included in the Company’s consolidated financial statements.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6" w:lineRule="exact"/>
        <w:rPr>
          <w:sz w:val="20"/>
          <w:szCs w:val="20"/>
          <w:color w:val="auto"/>
        </w:rPr>
      </w:pPr>
    </w:p>
    <w:p>
      <w:pPr>
        <w:jc w:val="both"/>
        <w:ind w:right="20" w:firstLine="589"/>
        <w:spacing w:after="0" w:line="254"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320" w:top="332"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6" w:lineRule="exact"/>
        <w:rPr>
          <w:sz w:val="20"/>
          <w:szCs w:val="20"/>
          <w:color w:val="auto"/>
        </w:rPr>
      </w:pPr>
    </w:p>
    <w:p>
      <w:pPr>
        <w:ind w:right="380" w:firstLine="589"/>
        <w:spacing w:after="0" w:line="27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29,</w:t>
            </w:r>
          </w:p>
        </w:tc>
      </w:tr>
      <w:tr>
        <w:trPr>
          <w:trHeight w:val="171"/>
        </w:trPr>
        <w:tc>
          <w:tcPr>
            <w:tcW w:w="4840" w:type="dxa"/>
            <w:vAlign w:val="bottom"/>
            <w:tcBorders>
              <w:bottom w:val="single" w:sz="8" w:color="CFF0FC"/>
            </w:tcBorders>
          </w:tcPr>
          <w:p>
            <w:pPr>
              <w:spacing w:after="0"/>
              <w:rPr>
                <w:sz w:val="14"/>
                <w:szCs w:val="14"/>
                <w:color w:val="auto"/>
              </w:rPr>
            </w:pPr>
          </w:p>
        </w:tc>
        <w:tc>
          <w:tcPr>
            <w:tcW w:w="1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FF0FC"/>
            </w:tcBorders>
          </w:tcPr>
          <w:p>
            <w:pPr>
              <w:spacing w:after="0"/>
              <w:rPr>
                <w:sz w:val="14"/>
                <w:szCs w:val="14"/>
                <w:color w:val="auto"/>
              </w:rPr>
            </w:pPr>
          </w:p>
        </w:tc>
      </w:tr>
      <w:tr>
        <w:trPr>
          <w:trHeight w:val="22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190,893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211,602</w:t>
            </w:r>
          </w:p>
        </w:tc>
        <w:tc>
          <w:tcPr>
            <w:tcW w:w="80" w:type="dxa"/>
            <w:vAlign w:val="bottom"/>
            <w:shd w:val="clear" w:color="auto" w:fill="CFF0FC"/>
          </w:tcPr>
          <w:p>
            <w:pPr>
              <w:spacing w:after="0"/>
              <w:rPr>
                <w:sz w:val="19"/>
                <w:szCs w:val="19"/>
                <w:color w:val="auto"/>
              </w:rPr>
            </w:pPr>
          </w:p>
        </w:tc>
      </w:tr>
      <w:tr>
        <w:trPr>
          <w:trHeight w:val="226"/>
        </w:trPr>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7,346</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80" w:type="dxa"/>
            <w:vAlign w:val="bottom"/>
            <w:tcBorders>
              <w:bottom w:val="single" w:sz="8" w:color="CFF0FC"/>
            </w:tcBorders>
          </w:tcPr>
          <w:p>
            <w:pPr>
              <w:spacing w:after="0"/>
              <w:rPr>
                <w:sz w:val="19"/>
                <w:szCs w:val="19"/>
                <w:color w:val="auto"/>
              </w:rPr>
            </w:pPr>
          </w:p>
        </w:tc>
      </w:tr>
      <w:tr>
        <w:trPr>
          <w:trHeight w:val="201"/>
        </w:trPr>
        <w:tc>
          <w:tcPr>
            <w:tcW w:w="4840" w:type="dxa"/>
            <w:vAlign w:val="bottom"/>
            <w:shd w:val="clear" w:color="auto" w:fill="CFF0FC"/>
          </w:tcPr>
          <w:p>
            <w:pPr>
              <w:spacing w:after="0" w:line="201" w:lineRule="exact"/>
              <w:rPr>
                <w:sz w:val="20"/>
                <w:szCs w:val="20"/>
                <w:color w:val="auto"/>
              </w:rPr>
            </w:pPr>
            <w:r>
              <w:rPr>
                <w:rFonts w:ascii="Times New Roman" w:cs="Times New Roman" w:eastAsia="Times New Roman" w:hAnsi="Times New Roman"/>
                <w:sz w:val="18"/>
                <w:szCs w:val="18"/>
                <w:color w:val="auto"/>
              </w:rPr>
              <w:t>Total cash, cash equivalents and restricted cash in</w:t>
            </w:r>
          </w:p>
        </w:tc>
        <w:tc>
          <w:tcPr>
            <w:tcW w:w="1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1"/>
        </w:trPr>
        <w:tc>
          <w:tcPr>
            <w:tcW w:w="48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 statement of cash flows</w:t>
            </w:r>
          </w:p>
        </w:tc>
        <w:tc>
          <w:tcPr>
            <w:tcW w:w="15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198,239</w:t>
            </w:r>
          </w:p>
        </w:tc>
        <w:tc>
          <w:tcPr>
            <w:tcW w:w="3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221,890</w:t>
            </w:r>
          </w:p>
        </w:tc>
        <w:tc>
          <w:tcPr>
            <w:tcW w:w="80" w:type="dxa"/>
            <w:vAlign w:val="bottom"/>
            <w:shd w:val="clear" w:color="auto" w:fill="CFF0FC"/>
          </w:tcPr>
          <w:p>
            <w:pPr>
              <w:spacing w:after="0"/>
              <w:rPr>
                <w:sz w:val="20"/>
                <w:szCs w:val="20"/>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3" w:lineRule="exact"/>
        <w:rPr>
          <w:sz w:val="20"/>
          <w:szCs w:val="20"/>
          <w:color w:val="auto"/>
        </w:rPr>
      </w:pPr>
    </w:p>
    <w:p>
      <w:pPr>
        <w:ind w:right="80" w:firstLine="589"/>
        <w:spacing w:after="0" w:line="268" w:lineRule="auto"/>
        <w:rPr>
          <w:sz w:val="20"/>
          <w:szCs w:val="20"/>
          <w:color w:val="auto"/>
        </w:rPr>
      </w:pPr>
      <w:r>
        <w:rPr>
          <w:rFonts w:ascii="Times New Roman" w:cs="Times New Roman" w:eastAsia="Times New Roman" w:hAnsi="Times New Roman"/>
          <w:sz w:val="17"/>
          <w:szCs w:val="17"/>
          <w:color w:val="auto"/>
        </w:rPr>
        <w:t>In March 2020, the Financial Accounting Standards Board (“FASB”) issued Accounting Standards Update No. 2020-04 – Reference Rate Reform (Topic 848): Facilitation of the Effects of Reference Rate Reform on Financial Reporting, which provides optional expedients and exceptions for applying GAAP to contract modifications, hedging relationships, and other transactions 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guidance is effective upon issuance and may be applied through December 31, 2022. The Company is currently evaluating the impact of this accounting standard, but does not expect it to have a material impact on the consolidated financial statements and related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Net sales by product type and services were as follows (in thousands):</w:t>
      </w:r>
    </w:p>
    <w:p>
      <w:pPr>
        <w:spacing w:after="0" w:line="29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28"/>
        </w:trPr>
        <w:tc>
          <w:tcPr>
            <w:tcW w:w="68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7"/>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00" w:type="dxa"/>
            <w:vAlign w:val="bottom"/>
          </w:tcPr>
          <w:p>
            <w:pPr>
              <w:spacing w:after="0"/>
              <w:rPr>
                <w:sz w:val="11"/>
                <w:szCs w:val="11"/>
                <w:color w:val="auto"/>
              </w:rPr>
            </w:pPr>
          </w:p>
        </w:tc>
      </w:tr>
      <w:tr>
        <w:trPr>
          <w:trHeight w:val="171"/>
        </w:trPr>
        <w:tc>
          <w:tcPr>
            <w:tcW w:w="68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2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685,930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595,132</w:t>
            </w:r>
          </w:p>
        </w:tc>
        <w:tc>
          <w:tcPr>
            <w:tcW w:w="100" w:type="dxa"/>
            <w:vAlign w:val="bottom"/>
            <w:shd w:val="clear" w:color="auto" w:fill="CFF0FC"/>
          </w:tcPr>
          <w:p>
            <w:pPr>
              <w:spacing w:after="0"/>
              <w:rPr>
                <w:sz w:val="19"/>
                <w:szCs w:val="19"/>
                <w:color w:val="auto"/>
              </w:rPr>
            </w:pPr>
          </w:p>
        </w:tc>
      </w:tr>
      <w:tr>
        <w:trPr>
          <w:trHeight w:val="22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26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599,179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658,172</w:t>
            </w:r>
          </w:p>
        </w:tc>
        <w:tc>
          <w:tcPr>
            <w:tcW w:w="100" w:type="dxa"/>
            <w:vAlign w:val="bottom"/>
          </w:tcPr>
          <w:p>
            <w:pPr>
              <w:spacing w:after="0"/>
              <w:rPr>
                <w:sz w:val="19"/>
                <w:szCs w:val="19"/>
                <w:color w:val="auto"/>
              </w:rPr>
            </w:pPr>
          </w:p>
        </w:tc>
      </w:tr>
      <w:tr>
        <w:trPr>
          <w:trHeight w:val="226"/>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190,882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161,690</w:t>
            </w:r>
          </w:p>
        </w:tc>
        <w:tc>
          <w:tcPr>
            <w:tcW w:w="100" w:type="dxa"/>
            <w:vAlign w:val="bottom"/>
            <w:shd w:val="clear" w:color="auto" w:fill="CFF0FC"/>
          </w:tcPr>
          <w:p>
            <w:pPr>
              <w:spacing w:after="0"/>
              <w:rPr>
                <w:sz w:val="19"/>
                <w:szCs w:val="19"/>
                <w:color w:val="auto"/>
              </w:rPr>
            </w:pPr>
          </w:p>
        </w:tc>
      </w:tr>
      <w:tr>
        <w:trPr>
          <w:trHeight w:val="22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1,475,991</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1,414,994</w:t>
            </w:r>
          </w:p>
        </w:tc>
        <w:tc>
          <w:tcPr>
            <w:tcW w:w="10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Senior Secured Credit Facilities</w:t>
      </w:r>
    </w:p>
    <w:p>
      <w:pPr>
        <w:spacing w:after="0" w:line="114" w:lineRule="exact"/>
        <w:rPr>
          <w:sz w:val="20"/>
          <w:szCs w:val="20"/>
          <w:color w:val="auto"/>
        </w:rPr>
      </w:pPr>
    </w:p>
    <w:p>
      <w:pPr>
        <w:ind w:firstLine="594"/>
        <w:spacing w:after="0" w:line="254" w:lineRule="auto"/>
        <w:rPr>
          <w:sz w:val="20"/>
          <w:szCs w:val="20"/>
          <w:color w:val="auto"/>
        </w:rPr>
      </w:pPr>
      <w:r>
        <w:rPr>
          <w:rFonts w:ascii="Times New Roman" w:cs="Times New Roman" w:eastAsia="Times New Roman" w:hAnsi="Times New Roman"/>
          <w:sz w:val="18"/>
          <w:szCs w:val="18"/>
          <w:color w:val="auto"/>
        </w:rPr>
        <w:t>The Company previously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April 30, 2022, the Company was in compliance with its covenants under the First Lien Term Loan and the ABL Revolving Credit Facility.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Facilities</w:t>
      </w:r>
    </w:p>
    <w:p>
      <w:pPr>
        <w:spacing w:after="0" w:line="25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March 4, 2021, the Company entered into the First Lien Term Loan and repaid all outstanding principal and interest on the Amended Term Loan Facility. Interest on the First Lien Term Loan is based on, at the Company’s option, either a base rate or Adjusted LIBOR, subject to a 0.75% floor, payable upon maturity of the LIBOR contract, in either case, plus the applicable rate. The base rate is the greater of the bank prime rate, federal</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10" w:name="page11"/>
    <w:bookmarkEnd w:id="10"/>
    <w:p>
      <w:pPr>
        <w:ind w:right="620"/>
        <w:spacing w:after="0" w:line="276" w:lineRule="auto"/>
        <w:rPr>
          <w:sz w:val="20"/>
          <w:szCs w:val="20"/>
          <w:color w:val="auto"/>
        </w:rPr>
      </w:pPr>
      <w:r>
        <w:rPr>
          <w:rFonts w:ascii="Times New Roman" w:cs="Times New Roman" w:eastAsia="Times New Roman" w:hAnsi="Times New Roman"/>
          <w:sz w:val="18"/>
          <w:szCs w:val="18"/>
          <w:color w:val="auto"/>
        </w:rPr>
        <w:t>funds effective rate plus 0.5% or Adjusted LIBOR plus 1.0%. The applicable rate is 2.25% per annum for a base rate loan or 3.25% per annum for an Adjusted LIBOR loan. Principal and interest payments commenced on June 30, 2021. Principal payments are $4.25 million quarterly.</w:t>
      </w:r>
    </w:p>
    <w:p>
      <w:pPr>
        <w:spacing w:after="0" w:line="163" w:lineRule="exact"/>
        <w:rPr>
          <w:sz w:val="20"/>
          <w:szCs w:val="20"/>
          <w:color w:val="auto"/>
        </w:rPr>
      </w:pPr>
    </w:p>
    <w:p>
      <w:pPr>
        <w:ind w:right="40" w:firstLine="589"/>
        <w:spacing w:after="0" w:line="261" w:lineRule="auto"/>
        <w:rPr>
          <w:sz w:val="20"/>
          <w:szCs w:val="20"/>
          <w:color w:val="auto"/>
        </w:rPr>
      </w:pPr>
      <w:r>
        <w:rPr>
          <w:rFonts w:ascii="Times New Roman" w:cs="Times New Roman" w:eastAsia="Times New Roman" w:hAnsi="Times New Roman"/>
          <w:sz w:val="18"/>
          <w:szCs w:val="18"/>
          <w:color w:val="auto"/>
        </w:rPr>
        <w:t>In connection with the March 4, 2021 transaction described above, the Company recognized a loss on debt extinguishment and modification of $19.6 million on the term loan facilities, which consisted of a $6.5 million write-off of unamortized debt discount and issuance costs on the Amended Term Loan Facility and $13.1 million of third-party expenses.</w:t>
      </w:r>
    </w:p>
    <w:p>
      <w:pPr>
        <w:spacing w:after="0" w:line="177" w:lineRule="exact"/>
        <w:rPr>
          <w:sz w:val="20"/>
          <w:szCs w:val="20"/>
          <w:color w:val="auto"/>
        </w:rPr>
      </w:pPr>
    </w:p>
    <w:p>
      <w:pPr>
        <w:ind w:right="60" w:firstLine="589"/>
        <w:spacing w:after="0" w:line="276" w:lineRule="auto"/>
        <w:rPr>
          <w:sz w:val="20"/>
          <w:szCs w:val="20"/>
          <w:color w:val="auto"/>
        </w:rPr>
      </w:pPr>
      <w:r>
        <w:rPr>
          <w:rFonts w:ascii="Times New Roman" w:cs="Times New Roman" w:eastAsia="Times New Roman" w:hAnsi="Times New Roman"/>
          <w:sz w:val="17"/>
          <w:szCs w:val="17"/>
          <w:color w:val="auto"/>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spacing w:after="0" w:line="166" w:lineRule="exact"/>
        <w:rPr>
          <w:sz w:val="20"/>
          <w:szCs w:val="20"/>
          <w:color w:val="auto"/>
        </w:rPr>
      </w:pPr>
    </w:p>
    <w:p>
      <w:pPr>
        <w:ind w:firstLine="594"/>
        <w:spacing w:after="0" w:line="252" w:lineRule="auto"/>
        <w:rPr>
          <w:sz w:val="20"/>
          <w:szCs w:val="20"/>
          <w:color w:val="auto"/>
        </w:rPr>
      </w:pPr>
      <w:r>
        <w:rPr>
          <w:rFonts w:ascii="Times New Roman" w:cs="Times New Roman" w:eastAsia="Times New Roman" w:hAnsi="Times New Roman"/>
          <w:sz w:val="18"/>
          <w:szCs w:val="18"/>
          <w:color w:val="auto"/>
        </w:rPr>
        <w:t>As of April 30, 2022, the outstanding principal balance of the First Lien Term Loan was $1,683.0 million ($1,658.8 million, net of the unamortized discount and debt issuance costs). As of January 29, 2022, the outstanding principal balance of the First Lien Term Loan was $1,687.3 million ($1,662.1 million, net of the unamortized discount and debt issuance costs). The weighted average interest rate on the borrowings outstanding was 4.3% and 4.1% as of April 30, 2022 and January 29, 2022, respectively. Debt issuance costs are being amortized over the contractual term to interest expense using the effective interest rate in effect at issuance. As of April 30, 2022 and January 29, 2022, the estimated fair value of the First Lien Term Loan was approximately $1,662.0 million and $1,687.3 million, respectively, based upon Level 2 fair value hierarchy inputs.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Facilities</w:t>
      </w:r>
    </w:p>
    <w:p>
      <w:pPr>
        <w:spacing w:after="0" w:line="223" w:lineRule="exact"/>
        <w:rPr>
          <w:sz w:val="20"/>
          <w:szCs w:val="20"/>
          <w:color w:val="auto"/>
        </w:rPr>
      </w:pPr>
    </w:p>
    <w:p>
      <w:pPr>
        <w:ind w:right="180" w:firstLine="589"/>
        <w:spacing w:after="0" w:line="276" w:lineRule="auto"/>
        <w:rPr>
          <w:sz w:val="20"/>
          <w:szCs w:val="20"/>
          <w:color w:val="auto"/>
        </w:rPr>
      </w:pPr>
      <w:r>
        <w:rPr>
          <w:rFonts w:ascii="Times New Roman" w:cs="Times New Roman" w:eastAsia="Times New Roman" w:hAnsi="Times New Roman"/>
          <w:sz w:val="18"/>
          <w:szCs w:val="18"/>
          <w:color w:val="auto"/>
        </w:rPr>
        <w:t>On March 4, 2021, the Company entered into the ABL Revolving Credit Facility and terminated the Amended Revolving Credit Facility. The ABL Revolving Credit Facility has availability up to $500.0 million, subject to a borrowing base.</w:t>
      </w:r>
    </w:p>
    <w:p>
      <w:pPr>
        <w:spacing w:after="0" w:line="163" w:lineRule="exact"/>
        <w:rPr>
          <w:sz w:val="20"/>
          <w:szCs w:val="20"/>
          <w:color w:val="auto"/>
        </w:rPr>
      </w:pPr>
    </w:p>
    <w:p>
      <w:pPr>
        <w:ind w:right="40" w:firstLine="589"/>
        <w:spacing w:after="0" w:line="254" w:lineRule="auto"/>
        <w:rPr>
          <w:sz w:val="20"/>
          <w:szCs w:val="20"/>
          <w:color w:val="auto"/>
        </w:rPr>
      </w:pPr>
      <w:r>
        <w:rPr>
          <w:rFonts w:ascii="Times New Roman" w:cs="Times New Roman" w:eastAsia="Times New Roman" w:hAnsi="Times New Roman"/>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83" w:lineRule="exact"/>
        <w:rPr>
          <w:sz w:val="20"/>
          <w:szCs w:val="20"/>
          <w:color w:val="auto"/>
        </w:rPr>
      </w:pPr>
    </w:p>
    <w:p>
      <w:pPr>
        <w:ind w:right="40" w:firstLine="594"/>
        <w:spacing w:after="0" w:line="252" w:lineRule="auto"/>
        <w:rPr>
          <w:sz w:val="20"/>
          <w:szCs w:val="20"/>
          <w:color w:val="auto"/>
        </w:rPr>
      </w:pPr>
      <w:r>
        <w:rPr>
          <w:rFonts w:ascii="Times New Roman" w:cs="Times New Roman" w:eastAsia="Times New Roman" w:hAnsi="Times New Roman"/>
          <w:sz w:val="18"/>
          <w:szCs w:val="18"/>
          <w:color w:val="auto"/>
        </w:rPr>
        <w:t>As of April 30, 2022 and January 29, 2022, no amounts were outstanding under the ABL Revolving Credit Facility. At April 30, 2022, $438.8 million was available under the ABL Revolving Credit Facility, which is net of $61.2 million of outstanding letters of credit issued in the normal course of business and no borrowing base reduction for a shortfall in qualifying assets. Unamortized debt issuance costs of $4.5 million relating to the ABL Revolving Credit Facility were outstanding and were being amortized using the straight-line method over the remaining term of the agreement as of April 30, 2022. Unamortized debt issuance costs of $4.7 million relating to the ABL Revolving Credit Facility were outstanding and were being amortized using the straight-line method over the remaining term of the agreement as of January 29, 2022.</w:t>
      </w:r>
    </w:p>
    <w:p>
      <w:pPr>
        <w:spacing w:after="0" w:line="187"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82" w:lineRule="exact"/>
        <w:rPr>
          <w:sz w:val="20"/>
          <w:szCs w:val="20"/>
          <w:color w:val="auto"/>
        </w:rPr>
      </w:pPr>
    </w:p>
    <w:p>
      <w:pPr>
        <w:jc w:val="both"/>
        <w:ind w:right="60" w:firstLine="589"/>
        <w:spacing w:after="0" w:line="261" w:lineRule="auto"/>
        <w:rPr>
          <w:sz w:val="20"/>
          <w:szCs w:val="20"/>
          <w:color w:val="auto"/>
        </w:rPr>
      </w:pPr>
      <w:r>
        <w:rPr>
          <w:rFonts w:ascii="Times New Roman" w:cs="Times New Roman" w:eastAsia="Times New Roman" w:hAnsi="Times New Roman"/>
          <w:sz w:val="18"/>
          <w:szCs w:val="18"/>
          <w:color w:val="auto"/>
        </w:rPr>
        <w:t>Interest on the ABL Revolving Credit Facility is based on, at the Company’s option, either the base rate or Adjusted LIBOR subject to a floor of 0%, in either case, plus an applicable margin. The applicable margin is currently equal to 25 basis points in the case of base rate loans and 125 basis points in the case of Adjusted LIBOR loans.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11" w:name="page12"/>
    <w:bookmarkEnd w:id="11"/>
    <w:p>
      <w:pPr>
        <w:ind w:right="160" w:firstLine="589"/>
        <w:spacing w:after="0" w:line="276" w:lineRule="auto"/>
        <w:rPr>
          <w:sz w:val="20"/>
          <w:szCs w:val="20"/>
          <w:color w:val="auto"/>
        </w:rPr>
      </w:pPr>
      <w:r>
        <w:rPr>
          <w:rFonts w:ascii="Times New Roman" w:cs="Times New Roman" w:eastAsia="Times New Roman" w:hAnsi="Times New Roman"/>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Margin for</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Adjusted</w:t>
            </w:r>
          </w:p>
        </w:tc>
        <w:tc>
          <w:tcPr>
            <w:tcW w:w="14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146"/>
        </w:trPr>
        <w:tc>
          <w:tcPr>
            <w:tcW w:w="5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Historical Excess Availability</w:t>
            </w:r>
          </w:p>
        </w:tc>
        <w:tc>
          <w:tcPr>
            <w:tcW w:w="140" w:type="dxa"/>
            <w:vAlign w:val="bottom"/>
            <w:vMerge w:val="restart"/>
          </w:tcPr>
          <w:p>
            <w:pPr>
              <w:spacing w:after="0"/>
              <w:rPr>
                <w:sz w:val="12"/>
                <w:szCs w:val="12"/>
                <w:color w:val="auto"/>
              </w:rPr>
            </w:pPr>
          </w:p>
        </w:tc>
        <w:tc>
          <w:tcPr>
            <w:tcW w:w="152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rPr>
              <w:t>LIBOR</w:t>
            </w:r>
          </w:p>
        </w:tc>
        <w:tc>
          <w:tcPr>
            <w:tcW w:w="140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for Base Rate</w:t>
            </w:r>
          </w:p>
        </w:tc>
        <w:tc>
          <w:tcPr>
            <w:tcW w:w="0" w:type="dxa"/>
            <w:vAlign w:val="bottom"/>
          </w:tcPr>
          <w:p>
            <w:pPr>
              <w:spacing w:after="0"/>
              <w:rPr>
                <w:sz w:val="1"/>
                <w:szCs w:val="1"/>
                <w:color w:val="auto"/>
              </w:rPr>
            </w:pPr>
          </w:p>
        </w:tc>
      </w:tr>
      <w:tr>
        <w:trPr>
          <w:trHeight w:val="171"/>
        </w:trPr>
        <w:tc>
          <w:tcPr>
            <w:tcW w:w="5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than 33.3% of the Line Cap</w:t>
            </w: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8"/>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66.7% but greater than or equal to 33.3% of</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Line Cap</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6"/>
        </w:trPr>
        <w:tc>
          <w:tcPr>
            <w:tcW w:w="6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Greater than or equal to 66.7% of the Line Cap</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firstLine="589"/>
        <w:spacing w:after="0" w:line="276" w:lineRule="auto"/>
        <w:rPr>
          <w:sz w:val="20"/>
          <w:szCs w:val="20"/>
          <w:color w:val="auto"/>
        </w:rPr>
      </w:pPr>
      <w:r>
        <w:rPr>
          <w:rFonts w:ascii="Times New Roman" w:cs="Times New Roman" w:eastAsia="Times New Roman" w:hAnsi="Times New Roman"/>
          <w:sz w:val="18"/>
          <w:szCs w:val="18"/>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on a Recurring Basis</w:t>
      </w:r>
    </w:p>
    <w:p>
      <w:pPr>
        <w:spacing w:after="0" w:line="116" w:lineRule="exact"/>
        <w:rPr>
          <w:sz w:val="20"/>
          <w:szCs w:val="20"/>
          <w:color w:val="auto"/>
        </w:rPr>
      </w:pPr>
    </w:p>
    <w:p>
      <w:pPr>
        <w:ind w:right="320" w:firstLine="589"/>
        <w:spacing w:after="0" w:line="276" w:lineRule="auto"/>
        <w:rPr>
          <w:sz w:val="20"/>
          <w:szCs w:val="20"/>
          <w:color w:val="auto"/>
        </w:rPr>
      </w:pPr>
      <w:r>
        <w:rPr>
          <w:rFonts w:ascii="Times New Roman" w:cs="Times New Roman" w:eastAsia="Times New Roman" w:hAnsi="Times New Roman"/>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53"/>
        </w:trPr>
        <w:tc>
          <w:tcPr>
            <w:tcW w:w="4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Level 3</w:t>
            </w:r>
          </w:p>
        </w:tc>
      </w:tr>
      <w:tr>
        <w:trPr>
          <w:trHeight w:val="220"/>
        </w:trPr>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r>
      <w:tr>
        <w:trPr>
          <w:trHeight w:val="226"/>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(18,151)</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Investment in Rover Group, Inc.</w:t>
            </w: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466"/>
        </w:trPr>
        <w:tc>
          <w:tcPr>
            <w:tcW w:w="4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January 29, 2022</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3"/>
        </w:trPr>
        <w:tc>
          <w:tcPr>
            <w:tcW w:w="4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3"/>
          </w:tcPr>
          <w:p>
            <w:pPr>
              <w:ind w:left="160"/>
              <w:spacing w:after="0" w:line="153"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ind w:left="180"/>
              <w:spacing w:after="0" w:line="153"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r>
      <w:tr>
        <w:trPr>
          <w:trHeight w:val="220"/>
        </w:trPr>
        <w:tc>
          <w:tcPr>
            <w:tcW w:w="49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 (liabilities):</w:t>
            </w:r>
          </w:p>
        </w:tc>
        <w:tc>
          <w:tcPr>
            <w:tcW w:w="17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Investments of officers' life insurance</w:t>
            </w: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1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Non-qualified deferred compensation plan</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(17,453)</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Investment in Rover Group, Inc.</w:t>
            </w:r>
          </w:p>
        </w:tc>
        <w:tc>
          <w:tcPr>
            <w:tcW w:w="19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Times New Roman" w:cs="Times New Roman" w:eastAsia="Times New Roman" w:hAnsi="Times New Roman"/>
                <w:sz w:val="18"/>
                <w:szCs w:val="18"/>
                <w:color w:val="auto"/>
              </w:rPr>
              <w:t>—</w:t>
            </w:r>
          </w:p>
        </w:tc>
      </w:tr>
    </w:tbl>
    <w:p>
      <w:pPr>
        <w:spacing w:after="0" w:line="221" w:lineRule="exact"/>
        <w:rPr>
          <w:sz w:val="20"/>
          <w:szCs w:val="20"/>
          <w:color w:val="auto"/>
        </w:rPr>
      </w:pPr>
    </w:p>
    <w:p>
      <w:pPr>
        <w:ind w:right="60" w:firstLine="589"/>
        <w:spacing w:after="0" w:line="254" w:lineRule="auto"/>
        <w:rPr>
          <w:sz w:val="20"/>
          <w:szCs w:val="20"/>
          <w:color w:val="auto"/>
        </w:rPr>
      </w:pPr>
      <w:r>
        <w:rPr>
          <w:rFonts w:ascii="Times New Roman" w:cs="Times New Roman" w:eastAsia="Times New Roman" w:hAnsi="Times New Roman"/>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$137.7 million and $158.0 million as of April 30, 2022 and January 29, 2022, respectively. Also included in the Company’s money market mutual funds balances were $6.0 million and $9.3 million as of April 30, 2022 and January 29, 2022, respectively, which relate to the Company’s restricted cash, and are included in other current assets in the consolidated balance sheets.</w:t>
      </w:r>
    </w:p>
    <w:p>
      <w:pPr>
        <w:spacing w:after="0" w:line="183" w:lineRule="exact"/>
        <w:rPr>
          <w:sz w:val="20"/>
          <w:szCs w:val="20"/>
          <w:color w:val="auto"/>
        </w:rPr>
      </w:pPr>
    </w:p>
    <w:p>
      <w:pPr>
        <w:ind w:right="20" w:firstLine="589"/>
        <w:spacing w:after="0" w:line="306" w:lineRule="auto"/>
        <w:rPr>
          <w:sz w:val="20"/>
          <w:szCs w:val="20"/>
          <w:color w:val="auto"/>
        </w:rPr>
      </w:pPr>
      <w:r>
        <w:rPr>
          <w:rFonts w:ascii="Times New Roman" w:cs="Times New Roman" w:eastAsia="Times New Roman" w:hAnsi="Times New Roman"/>
          <w:sz w:val="17"/>
          <w:szCs w:val="17"/>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40" w:lineRule="exact"/>
        <w:rPr>
          <w:sz w:val="20"/>
          <w:szCs w:val="20"/>
          <w:color w:val="auto"/>
        </w:rPr>
      </w:pPr>
    </w:p>
    <w:p>
      <w:pPr>
        <w:ind w:right="80" w:firstLine="589"/>
        <w:spacing w:after="0" w:line="254" w:lineRule="auto"/>
        <w:rPr>
          <w:sz w:val="20"/>
          <w:szCs w:val="20"/>
          <w:color w:val="auto"/>
        </w:rPr>
      </w:pPr>
      <w:r>
        <w:rPr>
          <w:rFonts w:ascii="Times New Roman" w:cs="Times New Roman" w:eastAsia="Times New Roman" w:hAnsi="Times New Roman"/>
          <w:sz w:val="18"/>
          <w:szCs w:val="18"/>
          <w:color w:val="auto"/>
        </w:rPr>
        <w:t>The Company previously held an equity investment, in the form of multiple series of preferred stock, in A Place for Rover, Inc., an online marketplace for pet care, which was historically accounted for as an equity security without a readily determinable fair value. In July 2021, A Place for Rover, Inc. completed a business combination with Nebula Caravel Acquisition Corp., a publicly-traded special purpose acquisition company. The combined entity was renamed to Rover Group, Inc. (“Rover”), and the Company’s equity investment was converted into shares of Rover Class A common stock. In September 2021, the Company received additional shares of Rover Class 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2" w:name="page13"/>
    <w:bookmarkEnd w:id="12"/>
    <w:p>
      <w:pPr>
        <w:ind w:right="100"/>
        <w:spacing w:after="0" w:line="256" w:lineRule="auto"/>
        <w:rPr>
          <w:sz w:val="20"/>
          <w:szCs w:val="20"/>
          <w:color w:val="auto"/>
        </w:rPr>
      </w:pPr>
      <w:r>
        <w:rPr>
          <w:rFonts w:ascii="Times New Roman" w:cs="Times New Roman" w:eastAsia="Times New Roman" w:hAnsi="Times New Roman"/>
          <w:sz w:val="18"/>
          <w:szCs w:val="18"/>
          <w:color w:val="auto"/>
        </w:rPr>
        <w:t>common stock in accordance with certain earnout provisions from the July 2021 business combination. The Company now remeasures the fair value of its investment on a quarterly basis, and the resulting gains or losses are included in other non-operating income in the consolidated statements of operations. On November 23, 2021, the Company completed the sale of approximately 11% of its Rover Class A common stock for net proceeds of $6.1 million in cash as part of its participation in an underwritten secondary offering by certain Rover shareholders.</w:t>
      </w:r>
    </w:p>
    <w:p>
      <w:pPr>
        <w:spacing w:after="0" w:line="182"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During the thirteen week period ended April 30, 2022, the Company amended a collaboration agreement with a vendor, and as part of the amendment the Company was granted a right to receive equity and warrants for common shares of the vendor that is subject to certain performance conditions and other contingencies. The Company evaluated the agreement under FASB Accounting Standards Codification 705-20, Consideration Received from a Vendor, and no consideration was recognized during the thirteen week period ended April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on a Non-Recurring Basis</w:t>
      </w:r>
    </w:p>
    <w:p>
      <w:pPr>
        <w:spacing w:after="0" w:line="116" w:lineRule="exact"/>
        <w:rPr>
          <w:sz w:val="20"/>
          <w:szCs w:val="20"/>
          <w:color w:val="auto"/>
        </w:rPr>
      </w:pPr>
    </w:p>
    <w:p>
      <w:pPr>
        <w:ind w:right="100" w:firstLine="589"/>
        <w:spacing w:after="0" w:line="254" w:lineRule="auto"/>
        <w:rPr>
          <w:sz w:val="20"/>
          <w:szCs w:val="20"/>
          <w:color w:val="auto"/>
        </w:rPr>
      </w:pPr>
      <w:r>
        <w:rPr>
          <w:rFonts w:ascii="Times New Roman" w:cs="Times New Roman" w:eastAsia="Times New Roman" w:hAnsi="Times New Roman"/>
          <w:sz w:val="18"/>
          <w:szCs w:val="18"/>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83" w:lineRule="exact"/>
        <w:rPr>
          <w:sz w:val="20"/>
          <w:szCs w:val="20"/>
          <w:color w:val="auto"/>
        </w:rPr>
      </w:pPr>
    </w:p>
    <w:p>
      <w:pPr>
        <w:jc w:val="both"/>
        <w:ind w:right="80" w:firstLine="589"/>
        <w:spacing w:after="0" w:line="283" w:lineRule="auto"/>
        <w:rPr>
          <w:sz w:val="20"/>
          <w:szCs w:val="20"/>
          <w:color w:val="auto"/>
        </w:rPr>
      </w:pPr>
      <w:r>
        <w:rPr>
          <w:rFonts w:ascii="Times New Roman" w:cs="Times New Roman" w:eastAsia="Times New Roman" w:hAnsi="Times New Roman"/>
          <w:sz w:val="17"/>
          <w:szCs w:val="17"/>
          <w:color w:val="auto"/>
        </w:rPr>
        <w:t>There were no triggering events identified and no indication of impairment of the Company’s goodwill, indefinite-lived trade name, other intangible assets or equity and other investments during the thirteen week periods ended April 30, 2022 and May 1, 2021. During the thirteen week periods ended April 30, 2022 and May 1, 2021, the Company recorded fixed asset and right-of-use asset impairment charges of $0.9 million and $1.1 million, respectively.</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3" w:lineRule="exact"/>
        <w:rPr>
          <w:sz w:val="20"/>
          <w:szCs w:val="20"/>
          <w:color w:val="auto"/>
        </w:rPr>
      </w:pPr>
    </w:p>
    <w:p>
      <w:pPr>
        <w:ind w:right="380" w:firstLine="589"/>
        <w:spacing w:after="0" w:line="261" w:lineRule="auto"/>
        <w:rPr>
          <w:sz w:val="20"/>
          <w:szCs w:val="20"/>
          <w:color w:val="auto"/>
        </w:rPr>
      </w:pPr>
      <w:r>
        <w:rPr>
          <w:rFonts w:ascii="Times New Roman" w:cs="Times New Roman" w:eastAsia="Times New Roman" w:hAnsi="Times New Roman"/>
          <w:sz w:val="18"/>
          <w:szCs w:val="18"/>
          <w:color w:val="auto"/>
        </w:rPr>
        <w:t>Equity-based compensation awards under the Company’s current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77" w:lineRule="exact"/>
        <w:rPr>
          <w:sz w:val="20"/>
          <w:szCs w:val="20"/>
          <w:color w:val="auto"/>
        </w:rPr>
      </w:pPr>
    </w:p>
    <w:p>
      <w:pPr>
        <w:jc w:val="both"/>
        <w:ind w:right="160" w:firstLine="589"/>
        <w:spacing w:after="0" w:line="261" w:lineRule="auto"/>
        <w:rPr>
          <w:sz w:val="20"/>
          <w:szCs w:val="20"/>
          <w:color w:val="auto"/>
        </w:rPr>
      </w:pPr>
      <w:r>
        <w:rPr>
          <w:rFonts w:ascii="Times New Roman" w:cs="Times New Roman" w:eastAsia="Times New Roman" w:hAnsi="Times New Roman"/>
          <w:sz w:val="18"/>
          <w:szCs w:val="18"/>
          <w:color w:val="auto"/>
        </w:rPr>
        <w:t>The Company’s controlling parent, Scooby LP, also maintains an incentive plan (the “2016 Incentive Plan”) under which it has awarded partnership unit awards to employees, consultants, and non-employee directors of the Company that are restricted profit interests in Scooby LP subject to a distribution threshold (“Series C Units”).</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Company’s equity-based compensation expense by award type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3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40" w:type="dxa"/>
            <w:vAlign w:val="bottom"/>
          </w:tcPr>
          <w:p>
            <w:pPr>
              <w:jc w:val="right"/>
              <w:ind w:right="776"/>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366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RSAs</w:t>
            </w:r>
          </w:p>
        </w:tc>
        <w:tc>
          <w:tcPr>
            <w:tcW w:w="220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ind w:right="12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3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2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2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awards</w:t>
            </w:r>
          </w:p>
        </w:tc>
        <w:tc>
          <w:tcPr>
            <w:tcW w:w="220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3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200" w:type="dxa"/>
            <w:vAlign w:val="bottom"/>
            <w:tcBorders>
              <w:bottom w:val="single" w:sz="8" w:color="CFF0FC"/>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127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3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00" w:type="dxa"/>
            <w:vAlign w:val="bottom"/>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12</w:t>
            </w:r>
          </w:p>
        </w:tc>
        <w:tc>
          <w:tcPr>
            <w:tcW w:w="1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438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38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8"/>
          <w:szCs w:val="18"/>
          <w:color w:val="auto"/>
        </w:rPr>
        <w:t>Activity under the 2021 Equity Incentive Plan was as follows (shares and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RSUs and RSAs</w:t>
            </w:r>
          </w:p>
        </w:tc>
        <w:tc>
          <w:tcPr>
            <w:tcW w:w="32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20"/>
        </w:trPr>
        <w:tc>
          <w:tcPr>
            <w:tcW w:w="61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January 29, 2022</w:t>
            </w:r>
          </w:p>
        </w:tc>
        <w:tc>
          <w:tcPr>
            <w:tcW w:w="15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delivered/exercised</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0"/>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Nonvested/outstanding, April 30, 2022</w:t>
            </w:r>
          </w:p>
        </w:tc>
        <w:tc>
          <w:tcPr>
            <w:tcW w:w="15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Unrecognized compensation expense as of April 30, 2022</w:t>
            </w:r>
          </w:p>
        </w:tc>
        <w:tc>
          <w:tcPr>
            <w:tcW w:w="1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8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83,537</w:t>
            </w:r>
          </w:p>
        </w:tc>
        <w:tc>
          <w:tcPr>
            <w:tcW w:w="280" w:type="dxa"/>
            <w:vAlign w:val="bottom"/>
          </w:tcPr>
          <w:p>
            <w:pPr>
              <w:spacing w:after="0"/>
              <w:rPr>
                <w:sz w:val="17"/>
                <w:szCs w:val="17"/>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expense period as of April 30, 2022</w:t>
            </w:r>
          </w:p>
        </w:tc>
        <w:tc>
          <w:tcPr>
            <w:tcW w:w="1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 years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years</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firstLine="589"/>
        <w:spacing w:after="0" w:line="261" w:lineRule="auto"/>
        <w:rPr>
          <w:sz w:val="20"/>
          <w:szCs w:val="20"/>
          <w:color w:val="auto"/>
        </w:rPr>
      </w:pPr>
      <w:r>
        <w:rPr>
          <w:rFonts w:ascii="Times New Roman" w:cs="Times New Roman" w:eastAsia="Times New Roman" w:hAnsi="Times New Roman"/>
          <w:sz w:val="18"/>
          <w:szCs w:val="18"/>
          <w:color w:val="auto"/>
        </w:rPr>
        <w:t>RSA activity has not been material and relates to an RSA of Class A common stock granted to an executive in March 2021. For this grant, 50% of the RSA becomes vested on each of the first two anniversaries of the grant date. Unvested RSAs are not considered participating securities for earnings per share purposes, as any related dividends are forfeitable.</w:t>
      </w:r>
    </w:p>
    <w:p>
      <w:pPr>
        <w:spacing w:after="0" w:line="177"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Series C Unit activity under the 2016 Incentive Plan was as follows (in thousands):</w:t>
      </w:r>
    </w:p>
    <w:p>
      <w:pPr>
        <w:spacing w:after="0" w:line="29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Units</w:t>
            </w:r>
          </w:p>
        </w:tc>
      </w:tr>
      <w:tr>
        <w:trPr>
          <w:trHeight w:val="220"/>
        </w:trPr>
        <w:tc>
          <w:tcPr>
            <w:tcW w:w="55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29, 2022</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207,178</w:t>
            </w:r>
          </w:p>
        </w:tc>
        <w:tc>
          <w:tcPr>
            <w:tcW w:w="80" w:type="dxa"/>
            <w:vAlign w:val="bottom"/>
            <w:tcBorders>
              <w:top w:val="single" w:sz="8" w:color="CFF0FC"/>
            </w:tcBorders>
            <w:shd w:val="clear" w:color="auto" w:fill="CFF0FC"/>
          </w:tcPr>
          <w:p>
            <w:pPr>
              <w:spacing w:after="0"/>
              <w:rPr>
                <w:sz w:val="19"/>
                <w:szCs w:val="19"/>
                <w:color w:val="auto"/>
              </w:rPr>
            </w:pPr>
          </w:p>
        </w:tc>
      </w:tr>
      <w:tr>
        <w:trPr>
          <w:trHeight w:val="22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(2,855)</w:t>
            </w:r>
          </w:p>
        </w:tc>
      </w:tr>
      <w:tr>
        <w:trPr>
          <w:trHeight w:val="26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April 30,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204,323</w:t>
            </w:r>
          </w:p>
        </w:tc>
        <w:tc>
          <w:tcPr>
            <w:tcW w:w="80" w:type="dxa"/>
            <w:vAlign w:val="bottom"/>
            <w:tcBorders>
              <w:bottom w:val="single" w:sz="8" w:color="CFF0FC"/>
            </w:tcBorders>
          </w:tcPr>
          <w:p>
            <w:pPr>
              <w:spacing w:after="0"/>
              <w:rPr>
                <w:sz w:val="22"/>
                <w:szCs w:val="22"/>
                <w:color w:val="auto"/>
              </w:rPr>
            </w:pPr>
          </w:p>
        </w:tc>
      </w:tr>
      <w:tr>
        <w:trPr>
          <w:trHeight w:val="20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April 30, 2022</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128,837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No additional Series C Units have been or will be awarded following the Company’s initial public offering. As of April 30, 2022, unrecognized compensation expense related to the unvested portion of Scooby LP’s Series C Units was $15.2 million, which is expected to be recognized over a weighted average period of 2.0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3"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82" w:lineRule="exact"/>
        <w:rPr>
          <w:sz w:val="20"/>
          <w:szCs w:val="20"/>
          <w:color w:val="auto"/>
        </w:rPr>
      </w:pPr>
    </w:p>
    <w:p>
      <w:pPr>
        <w:ind w:right="860"/>
        <w:spacing w:after="0" w:line="306" w:lineRule="auto"/>
        <w:rPr>
          <w:sz w:val="20"/>
          <w:szCs w:val="20"/>
          <w:color w:val="auto"/>
        </w:rPr>
      </w:pPr>
      <w:r>
        <w:rPr>
          <w:rFonts w:ascii="Times New Roman" w:cs="Times New Roman" w:eastAsia="Times New Roman" w:hAnsi="Times New Roman"/>
          <w:sz w:val="18"/>
          <w:szCs w:val="18"/>
          <w:color w:val="auto"/>
        </w:rPr>
        <w:t>There were approximately 3.3 million and 3.6 million potential shares that were anti-dilutive and excluded from the computation of diluted shares outstanding during the thirteen weeks ended April 30, 2022 and May 1, 2021,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21" w:lineRule="exact"/>
        <w:rPr>
          <w:sz w:val="20"/>
          <w:szCs w:val="20"/>
          <w:color w:val="auto"/>
        </w:rPr>
      </w:pPr>
    </w:p>
    <w:p>
      <w:pPr>
        <w:ind w:right="360" w:firstLine="707"/>
        <w:spacing w:after="0" w:line="283" w:lineRule="auto"/>
        <w:rPr>
          <w:sz w:val="20"/>
          <w:szCs w:val="20"/>
          <w:color w:val="auto"/>
        </w:rPr>
      </w:pPr>
      <w:r>
        <w:rPr>
          <w:rFonts w:ascii="Times New Roman" w:cs="Times New Roman" w:eastAsia="Times New Roman" w:hAnsi="Times New Roman"/>
          <w:sz w:val="17"/>
          <w:szCs w:val="17"/>
          <w:color w:val="auto"/>
        </w:rPr>
        <w:t>The Company is involved in legal proceedings and is subject to other claims and litigation, in each case,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4" w:lineRule="exact"/>
        <w:rPr>
          <w:sz w:val="20"/>
          <w:szCs w:val="20"/>
          <w:color w:val="auto"/>
        </w:rPr>
      </w:pPr>
    </w:p>
    <w:p>
      <w:pPr>
        <w:ind w:firstLine="589"/>
        <w:spacing w:after="0" w:line="267" w:lineRule="auto"/>
        <w:rPr>
          <w:sz w:val="20"/>
          <w:szCs w:val="20"/>
          <w:color w:val="auto"/>
        </w:rPr>
      </w:pPr>
      <w:r>
        <w:rPr>
          <w:rFonts w:ascii="Times New Roman" w:cs="Times New Roman" w:eastAsia="Times New Roman" w:hAnsi="Times New Roman"/>
          <w:sz w:val="17"/>
          <w:szCs w:val="17"/>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29, 2022 (the “2021 Form 10-K”). The discussion and analysis below contains certain forward-looking statements about our business and operations that are subject to the risks, uncertainties, and other factors referred to in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right="40" w:firstLine="589"/>
        <w:spacing w:after="0" w:line="251" w:lineRule="auto"/>
        <w:rPr>
          <w:sz w:val="20"/>
          <w:szCs w:val="20"/>
          <w:color w:val="auto"/>
        </w:rPr>
      </w:pPr>
      <w:r>
        <w:rPr>
          <w:rFonts w:ascii="Times New Roman" w:cs="Times New Roman" w:eastAsia="Times New Roman" w:hAnsi="Times New Roman"/>
          <w:sz w:val="18"/>
          <w:szCs w:val="18"/>
          <w:color w:val="auto"/>
        </w:rPr>
        <w:t>Founded in 1965, Petco Health and Wellness Company, Inc. (“Petco”, the “Company”, “we”, “our” and “us”) is a category-defining health and wellness company focused on improving the lives of pets, pet parents, and our own partners. We have consistently set new standards in pet care while delivering comprehensive pet wellness products, services and solutions, and creating communities that deepen the pet-pet parent bond. In recent years, we have transformed our business from a successful yet traditional retailer to a disruptive, fully integrated, omnichannel provider of holistic pet health and wellness offerings, including premium products, services and veterinary care. Through our integrated ecosystem, we provide our over 24 million total active customers with a comprehensive offering of differentiated products and services to fulfill their pets’ health and wellness needs through our more than 1,500 pet care centers in the U.S., Mexico, and Puerto Rico including a growing network of more than 200 in-store veterinary hospitals, our digital channel and our flexible fulfillment options.</w:t>
      </w:r>
    </w:p>
    <w:p>
      <w:pPr>
        <w:spacing w:after="0" w:line="79" w:lineRule="exact"/>
        <w:rPr>
          <w:sz w:val="20"/>
          <w:szCs w:val="20"/>
          <w:color w:val="auto"/>
        </w:rPr>
      </w:pPr>
    </w:p>
    <w:p>
      <w:pPr>
        <w:ind w:right="80" w:firstLine="589"/>
        <w:spacing w:after="0" w:line="251" w:lineRule="auto"/>
        <w:rPr>
          <w:sz w:val="20"/>
          <w:szCs w:val="20"/>
          <w:color w:val="auto"/>
        </w:rPr>
      </w:pPr>
      <w:r>
        <w:rPr>
          <w:rFonts w:ascii="Times New Roman" w:cs="Times New Roman" w:eastAsia="Times New Roman" w:hAnsi="Times New Roman"/>
          <w:sz w:val="18"/>
          <w:szCs w:val="18"/>
          <w:color w:val="auto"/>
        </w:rPr>
        <w:t>Our multichannel,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pet care centers, we are able to offer our comprehensive product and service offering in a localized manner with a meaningful last-mile advantage over much of our competition. The full value of our health and wellness ecosystem is realized for customers through our Vital Care membership program. From the nutrition and supplies pets need each day, to the services that keep them at optimal health, Vital Care makes it easier and more affordable for pet parents to care for their pet’s whole health all in one place.</w:t>
      </w:r>
    </w:p>
    <w:p>
      <w:pPr>
        <w:spacing w:after="0" w:line="82"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more than 6.5 million animals.</w:t>
      </w:r>
    </w:p>
    <w:p>
      <w:pPr>
        <w:spacing w:after="0" w:line="182" w:lineRule="exact"/>
        <w:rPr>
          <w:sz w:val="20"/>
          <w:szCs w:val="20"/>
          <w:color w:val="auto"/>
        </w:rPr>
      </w:pPr>
    </w:p>
    <w:p>
      <w:pPr>
        <w:ind w:right="140" w:firstLine="589"/>
        <w:spacing w:after="0" w:line="256" w:lineRule="auto"/>
        <w:rPr>
          <w:sz w:val="20"/>
          <w:szCs w:val="20"/>
          <w:color w:val="auto"/>
        </w:rPr>
      </w:pPr>
      <w:r>
        <w:rPr>
          <w:rFonts w:ascii="Times New Roman" w:cs="Times New Roman" w:eastAsia="Times New Roman" w:hAnsi="Times New Roman"/>
          <w:sz w:val="18"/>
          <w:szCs w:val="18"/>
          <w:color w:val="auto"/>
        </w:rPr>
        <w:t>Macroeconomic factors, including the prolonged COVID-19 pandemic, inflationary pressures, global supply chain constraints and global economic and geopolitical developments, have varying impacts on our results of operations that are difficult to isolate and quantify. We cannot predict the duration or ultimate severity of these macroeconomic factors or the ultimate impact on the broader economy or our operations and liquidity. Please refer to the risk factors referred to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Form 10-Q.</w:t>
      </w:r>
    </w:p>
    <w:p>
      <w:pPr>
        <w:spacing w:after="0" w:line="75" w:lineRule="exact"/>
        <w:rPr>
          <w:sz w:val="20"/>
          <w:szCs w:val="20"/>
          <w:color w:val="auto"/>
        </w:rPr>
      </w:pPr>
    </w:p>
    <w:p>
      <w:pPr>
        <w:ind w:right="180" w:firstLine="677"/>
        <w:spacing w:after="0" w:line="254" w:lineRule="auto"/>
        <w:rPr>
          <w:sz w:val="20"/>
          <w:szCs w:val="20"/>
          <w:color w:val="auto"/>
        </w:rPr>
      </w:pPr>
      <w:r>
        <w:rPr>
          <w:rFonts w:ascii="Times New Roman" w:cs="Times New Roman" w:eastAsia="Times New Roman" w:hAnsi="Times New Roman"/>
          <w:sz w:val="18"/>
          <w:szCs w:val="18"/>
          <w:color w:val="auto"/>
        </w:rPr>
        <w:t>In regard to the COVID-19 pandemic, as an essential retailer, all of our pet care centers have remained open, some with limited or suspended services, as we are the grocery store, pharmacy, and doctor’s office for many of our nation’s pets. The pandemic has influenced certain trends that have favorably impacted our business results to date, with millions of additional new pets welcomed into homes that need to be fed, groomed and vaccinated for years to come, but the possible continued proliferation of COVID-19, and any government response thereto, increases the uncertainty regarding potential economic conditions that could impact our business in the future.</w:t>
      </w:r>
    </w:p>
    <w:p>
      <w:pPr>
        <w:spacing w:after="0" w:line="28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the following:</w:t>
      </w: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545"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Sales</w:t>
      </w:r>
    </w:p>
    <w:p>
      <w:pPr>
        <w:spacing w:after="0" w:line="116" w:lineRule="exact"/>
        <w:rPr>
          <w:sz w:val="20"/>
          <w:szCs w:val="20"/>
          <w:color w:val="auto"/>
        </w:rPr>
      </w:pPr>
    </w:p>
    <w:p>
      <w:pPr>
        <w:ind w:right="200" w:firstLine="589"/>
        <w:spacing w:after="0" w:line="251" w:lineRule="auto"/>
        <w:rPr>
          <w:sz w:val="20"/>
          <w:szCs w:val="20"/>
          <w:color w:val="auto"/>
        </w:rPr>
      </w:pPr>
      <w:r>
        <w:rPr>
          <w:rFonts w:ascii="Times New Roman" w:cs="Times New Roman" w:eastAsia="Times New Roman" w:hAnsi="Times New Roman"/>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89" w:lineRule="exact"/>
        <w:rPr>
          <w:sz w:val="20"/>
          <w:szCs w:val="20"/>
          <w:color w:val="auto"/>
        </w:rPr>
      </w:pPr>
    </w:p>
    <w:p>
      <w:pPr>
        <w:ind w:right="240" w:firstLine="589"/>
        <w:spacing w:after="0" w:line="256" w:lineRule="auto"/>
        <w:rPr>
          <w:sz w:val="20"/>
          <w:szCs w:val="20"/>
          <w:color w:val="auto"/>
        </w:rPr>
      </w:pPr>
      <w:r>
        <w:rPr>
          <w:rFonts w:ascii="Times New Roman" w:cs="Times New Roman" w:eastAsia="Times New Roman" w:hAnsi="Times New Roman"/>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16"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4"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Our business transformation initiatives, accelerated by an increase in pet ownership and a shift in customer preferences towards products and services focused on health and wellness, have driven strong top and bottom-line growth in our business. Comparing the thirteen weeks ended April 30, 2022 with the thirteen weeks ended May 1, 2021 (unless otherwise noted), we achieved the following results:</w:t>
      </w:r>
    </w:p>
    <w:p>
      <w:pPr>
        <w:spacing w:after="0" w:line="70" w:lineRule="exact"/>
        <w:rPr>
          <w:sz w:val="20"/>
          <w:szCs w:val="20"/>
          <w:color w:val="auto"/>
        </w:rPr>
      </w:pPr>
    </w:p>
    <w:p>
      <w:pPr>
        <w:ind w:left="1180" w:hanging="588"/>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sales from $1.41 billion to $1.48 billion, representing period-over-period growth of 4.3%;</w:t>
      </w:r>
    </w:p>
    <w:p>
      <w:pPr>
        <w:spacing w:after="0" w:line="139" w:lineRule="exact"/>
        <w:rPr>
          <w:rFonts w:ascii="Times New Roman" w:cs="Times New Roman" w:eastAsia="Times New Roman" w:hAnsi="Times New Roman"/>
          <w:sz w:val="18"/>
          <w:szCs w:val="18"/>
          <w:color w:val="auto"/>
        </w:rPr>
      </w:pPr>
    </w:p>
    <w:p>
      <w:pPr>
        <w:ind w:left="1180" w:hanging="588"/>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growth of 5.1%;</w:t>
      </w:r>
    </w:p>
    <w:p>
      <w:pPr>
        <w:spacing w:after="0" w:line="139" w:lineRule="exact"/>
        <w:rPr>
          <w:rFonts w:ascii="Times New Roman" w:cs="Times New Roman" w:eastAsia="Times New Roman" w:hAnsi="Times New Roman"/>
          <w:sz w:val="18"/>
          <w:szCs w:val="18"/>
          <w:color w:val="auto"/>
        </w:rPr>
      </w:pPr>
    </w:p>
    <w:p>
      <w:pPr>
        <w:ind w:left="1180" w:hanging="588"/>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income from $47.7 million to $49.9 million, representing period-over-period growth of 4.6%;</w:t>
      </w:r>
    </w:p>
    <w:p>
      <w:pPr>
        <w:spacing w:after="0" w:line="139" w:lineRule="exact"/>
        <w:rPr>
          <w:rFonts w:ascii="Times New Roman" w:cs="Times New Roman" w:eastAsia="Times New Roman" w:hAnsi="Times New Roman"/>
          <w:sz w:val="18"/>
          <w:szCs w:val="18"/>
          <w:color w:val="auto"/>
        </w:rPr>
      </w:pPr>
    </w:p>
    <w:p>
      <w:pPr>
        <w:ind w:left="1180" w:right="260" w:hanging="588"/>
        <w:spacing w:after="0" w:line="276" w:lineRule="auto"/>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net income attributable to Class A and B-1 common stockholders from $7.6 million to $24.7 million, representing a period-over-period improvement of 226.6%; and</w:t>
      </w:r>
    </w:p>
    <w:p>
      <w:pPr>
        <w:spacing w:after="0" w:line="56" w:lineRule="exact"/>
        <w:rPr>
          <w:rFonts w:ascii="Times New Roman" w:cs="Times New Roman" w:eastAsia="Times New Roman" w:hAnsi="Times New Roman"/>
          <w:sz w:val="18"/>
          <w:szCs w:val="18"/>
          <w:color w:val="auto"/>
        </w:rPr>
      </w:pPr>
    </w:p>
    <w:p>
      <w:pPr>
        <w:ind w:left="1180" w:hanging="588"/>
        <w:spacing w:after="0"/>
        <w:tabs>
          <w:tab w:leader="none" w:pos="1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Adjusted EBITDA from $125.7 million to $132.6 million, representing period-over-period growth of 5.4%.</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65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4" w:lineRule="exact"/>
        <w:rPr>
          <w:sz w:val="20"/>
          <w:szCs w:val="20"/>
          <w:color w:val="auto"/>
        </w:rPr>
      </w:pPr>
    </w:p>
    <w:p>
      <w:pPr>
        <w:ind w:right="640" w:firstLine="589"/>
        <w:spacing w:after="0" w:line="276" w:lineRule="auto"/>
        <w:rPr>
          <w:sz w:val="20"/>
          <w:szCs w:val="20"/>
          <w:color w:val="auto"/>
        </w:rPr>
      </w:pPr>
      <w:r>
        <w:rPr>
          <w:rFonts w:ascii="Times New Roman" w:cs="Times New Roman" w:eastAsia="Times New Roman" w:hAnsi="Times New Roman"/>
          <w:sz w:val="18"/>
          <w:szCs w:val="18"/>
          <w:color w:val="auto"/>
        </w:rPr>
        <w:t>The following tables summarize our results of operations and the percent of net sales of line items included in our consolidated statements of operations (dollars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8"/>
        </w:trPr>
        <w:tc>
          <w:tcPr>
            <w:tcW w:w="4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3"/>
          </w:tcPr>
          <w:p>
            <w:pPr>
              <w:jc w:val="right"/>
              <w:ind w:right="76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2"/>
          </w:tcPr>
          <w:p>
            <w:pPr>
              <w:jc w:val="right"/>
              <w:ind w:right="580"/>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20" w:type="dxa"/>
            <w:vAlign w:val="bottom"/>
          </w:tcPr>
          <w:p>
            <w:pPr>
              <w:spacing w:after="0"/>
              <w:rPr>
                <w:sz w:val="11"/>
                <w:szCs w:val="11"/>
                <w:color w:val="auto"/>
              </w:rPr>
            </w:pPr>
          </w:p>
        </w:tc>
      </w:tr>
      <w:tr>
        <w:trPr>
          <w:trHeight w:val="171"/>
        </w:trPr>
        <w:tc>
          <w:tcPr>
            <w:tcW w:w="46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1,475,991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1,414,994</w:t>
            </w: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868,317</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818,009</w:t>
            </w:r>
          </w:p>
        </w:tc>
        <w:tc>
          <w:tcPr>
            <w:tcW w:w="120" w:type="dxa"/>
            <w:vAlign w:val="bottom"/>
            <w:tcBorders>
              <w:bottom w:val="single" w:sz="8" w:color="CFF0FC"/>
            </w:tcBorders>
          </w:tcPr>
          <w:p>
            <w:pPr>
              <w:spacing w:after="0"/>
              <w:rPr>
                <w:sz w:val="19"/>
                <w:szCs w:val="19"/>
                <w:color w:val="auto"/>
              </w:rPr>
            </w:pPr>
          </w:p>
        </w:tc>
      </w:tr>
      <w:tr>
        <w:trPr>
          <w:trHeight w:val="22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607,674</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596,985</w:t>
            </w: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557,735</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549,236</w:t>
            </w:r>
          </w:p>
        </w:tc>
        <w:tc>
          <w:tcPr>
            <w:tcW w:w="120" w:type="dxa"/>
            <w:vAlign w:val="bottom"/>
            <w:tcBorders>
              <w:bottom w:val="single" w:sz="8" w:color="CFF0FC"/>
            </w:tcBorders>
          </w:tcPr>
          <w:p>
            <w:pPr>
              <w:spacing w:after="0"/>
              <w:rPr>
                <w:sz w:val="19"/>
                <w:szCs w:val="19"/>
                <w:color w:val="auto"/>
              </w:rPr>
            </w:pPr>
          </w:p>
        </w:tc>
      </w:tr>
      <w:tr>
        <w:trPr>
          <w:trHeight w:val="22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income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49,939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47,749</w:t>
            </w: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19,634</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20,529</w:t>
            </w: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20,838</w:t>
            </w:r>
          </w:p>
        </w:tc>
        <w:tc>
          <w:tcPr>
            <w:tcW w:w="12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(314)</w:t>
            </w: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4640" w:type="dxa"/>
            <w:vAlign w:val="bottom"/>
          </w:tcPr>
          <w:p>
            <w:pPr>
              <w:ind w:left="500"/>
              <w:spacing w:after="0" w:line="201" w:lineRule="exact"/>
              <w:rPr>
                <w:sz w:val="20"/>
                <w:szCs w:val="20"/>
                <w:color w:val="auto"/>
              </w:rPr>
            </w:pPr>
            <w:r>
              <w:rPr>
                <w:rFonts w:ascii="Times New Roman" w:cs="Times New Roman" w:eastAsia="Times New Roman" w:hAnsi="Times New Roman"/>
                <w:sz w:val="18"/>
                <w:szCs w:val="18"/>
                <w:color w:val="auto"/>
              </w:rPr>
              <w:t>Income before income taxes and income</w:t>
            </w:r>
          </w:p>
        </w:tc>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4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6,403</w:t>
            </w:r>
          </w:p>
        </w:tc>
        <w:tc>
          <w:tcPr>
            <w:tcW w:w="120" w:type="dxa"/>
            <w:vAlign w:val="bottom"/>
          </w:tcPr>
          <w:p>
            <w:pPr>
              <w:spacing w:after="0"/>
              <w:rPr>
                <w:sz w:val="20"/>
                <w:szCs w:val="20"/>
                <w:color w:val="auto"/>
              </w:rPr>
            </w:pP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2,679</w:t>
            </w: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(3,163)</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(2,425)</w:t>
            </w:r>
          </w:p>
        </w:tc>
      </w:tr>
      <w:tr>
        <w:trPr>
          <w:trHeight w:val="220"/>
        </w:trPr>
        <w:tc>
          <w:tcPr>
            <w:tcW w:w="46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9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23,802</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(891)</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(1,411)</w:t>
            </w:r>
          </w:p>
        </w:tc>
      </w:tr>
      <w:tr>
        <w:trPr>
          <w:trHeight w:val="201"/>
        </w:trPr>
        <w:tc>
          <w:tcPr>
            <w:tcW w:w="4640" w:type="dxa"/>
            <w:vAlign w:val="bottom"/>
            <w:tcBorders>
              <w:top w:val="single" w:sz="8" w:color="CFF0FC"/>
            </w:tcBorders>
            <w:shd w:val="clear" w:color="auto" w:fill="CFF0FC"/>
          </w:tcPr>
          <w:p>
            <w:pPr>
              <w:ind w:left="500"/>
              <w:spacing w:after="0" w:line="201" w:lineRule="exact"/>
              <w:rPr>
                <w:sz w:val="20"/>
                <w:szCs w:val="20"/>
                <w:color w:val="auto"/>
              </w:rPr>
            </w:pPr>
            <w:r>
              <w:rPr>
                <w:rFonts w:ascii="Times New Roman" w:cs="Times New Roman" w:eastAsia="Times New Roman" w:hAnsi="Times New Roman"/>
                <w:sz w:val="18"/>
                <w:szCs w:val="18"/>
                <w:color w:val="auto"/>
              </w:rPr>
              <w:t>Net income attributable to Class A and B-1</w:t>
            </w:r>
          </w:p>
        </w:tc>
        <w:tc>
          <w:tcPr>
            <w:tcW w:w="29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1"/>
        </w:trPr>
        <w:tc>
          <w:tcPr>
            <w:tcW w:w="46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common stockholders</w:t>
            </w:r>
          </w:p>
        </w:tc>
        <w:tc>
          <w:tcPr>
            <w:tcW w:w="3320" w:type="dxa"/>
            <w:vAlign w:val="bottom"/>
            <w:gridSpan w:val="3"/>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24,693</w:t>
            </w:r>
          </w:p>
        </w:tc>
        <w:tc>
          <w:tcPr>
            <w:tcW w:w="24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7,560</w:t>
            </w:r>
          </w:p>
        </w:tc>
        <w:tc>
          <w:tcPr>
            <w:tcW w:w="120" w:type="dxa"/>
            <w:vAlign w:val="bottom"/>
            <w:shd w:val="clear" w:color="auto" w:fill="CFF0FC"/>
          </w:tcPr>
          <w:p>
            <w:pPr>
              <w:spacing w:after="0"/>
              <w:rPr>
                <w:sz w:val="20"/>
                <w:szCs w:val="20"/>
                <w:color w:val="auto"/>
              </w:rPr>
            </w:pPr>
          </w:p>
        </w:tc>
      </w:tr>
      <w:tr>
        <w:trPr>
          <w:trHeight w:val="706"/>
        </w:trPr>
        <w:tc>
          <w:tcPr>
            <w:tcW w:w="4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4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3"/>
          </w:tcPr>
          <w:p>
            <w:pPr>
              <w:jc w:val="center"/>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ind w:right="474"/>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80" w:type="dxa"/>
            <w:vAlign w:val="bottom"/>
            <w:gridSpan w:val="2"/>
          </w:tcPr>
          <w:p>
            <w:pPr>
              <w:spacing w:after="0"/>
              <w:rPr>
                <w:sz w:val="11"/>
                <w:szCs w:val="11"/>
                <w:color w:val="auto"/>
              </w:rPr>
            </w:pPr>
          </w:p>
        </w:tc>
      </w:tr>
      <w:tr>
        <w:trPr>
          <w:trHeight w:val="171"/>
        </w:trPr>
        <w:tc>
          <w:tcPr>
            <w:tcW w:w="46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9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9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0"/>
        </w:trPr>
        <w:tc>
          <w:tcPr>
            <w:tcW w:w="46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income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and modification of debt</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1"/>
        </w:trPr>
        <w:tc>
          <w:tcPr>
            <w:tcW w:w="4640" w:type="dxa"/>
            <w:vAlign w:val="bottom"/>
          </w:tcPr>
          <w:p>
            <w:pPr>
              <w:ind w:left="500"/>
              <w:spacing w:after="0" w:line="201" w:lineRule="exact"/>
              <w:rPr>
                <w:sz w:val="20"/>
                <w:szCs w:val="20"/>
                <w:color w:val="auto"/>
              </w:rPr>
            </w:pPr>
            <w:r>
              <w:rPr>
                <w:rFonts w:ascii="Times New Roman" w:cs="Times New Roman" w:eastAsia="Times New Roman" w:hAnsi="Times New Roman"/>
                <w:sz w:val="18"/>
                <w:szCs w:val="18"/>
                <w:color w:val="auto"/>
              </w:rPr>
              <w:t>Income before income taxes and income</w:t>
            </w:r>
          </w:p>
        </w:tc>
        <w:tc>
          <w:tcPr>
            <w:tcW w:w="29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1"/>
        </w:trPr>
        <w:tc>
          <w:tcPr>
            <w:tcW w:w="4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from equity method investees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r>
      <w:tr>
        <w:trPr>
          <w:trHeight w:val="220"/>
        </w:trPr>
        <w:tc>
          <w:tcPr>
            <w:tcW w:w="46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9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6"/>
        </w:trPr>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r>
      <w:tr>
        <w:trPr>
          <w:trHeight w:val="201"/>
        </w:trPr>
        <w:tc>
          <w:tcPr>
            <w:tcW w:w="4640" w:type="dxa"/>
            <w:vAlign w:val="bottom"/>
            <w:tcBorders>
              <w:top w:val="single" w:sz="8" w:color="CFF0FC"/>
            </w:tcBorders>
            <w:shd w:val="clear" w:color="auto" w:fill="CFF0FC"/>
          </w:tcPr>
          <w:p>
            <w:pPr>
              <w:ind w:left="500"/>
              <w:spacing w:after="0" w:line="201" w:lineRule="exact"/>
              <w:rPr>
                <w:sz w:val="20"/>
                <w:szCs w:val="20"/>
                <w:color w:val="auto"/>
              </w:rPr>
            </w:pPr>
            <w:r>
              <w:rPr>
                <w:rFonts w:ascii="Times New Roman" w:cs="Times New Roman" w:eastAsia="Times New Roman" w:hAnsi="Times New Roman"/>
                <w:sz w:val="18"/>
                <w:szCs w:val="18"/>
                <w:color w:val="auto"/>
              </w:rPr>
              <w:t>Net income attributable to Class A and B-1</w:t>
            </w:r>
          </w:p>
        </w:tc>
        <w:tc>
          <w:tcPr>
            <w:tcW w:w="29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1"/>
        </w:trPr>
        <w:tc>
          <w:tcPr>
            <w:tcW w:w="464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common stockholders</w:t>
            </w:r>
          </w:p>
        </w:tc>
        <w:tc>
          <w:tcPr>
            <w:tcW w:w="2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r>
      <w:tr>
        <w:trPr>
          <w:trHeight w:val="466"/>
        </w:trPr>
        <w:tc>
          <w:tcPr>
            <w:tcW w:w="4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9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8"/>
        </w:trPr>
        <w:tc>
          <w:tcPr>
            <w:tcW w:w="4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60" w:type="dxa"/>
            <w:vAlign w:val="bottom"/>
            <w:gridSpan w:val="3"/>
          </w:tcPr>
          <w:p>
            <w:pPr>
              <w:jc w:val="center"/>
              <w:ind w:right="70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jc w:val="center"/>
              <w:ind w:right="474"/>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80" w:type="dxa"/>
            <w:vAlign w:val="bottom"/>
            <w:gridSpan w:val="2"/>
          </w:tcPr>
          <w:p>
            <w:pPr>
              <w:spacing w:after="0"/>
              <w:rPr>
                <w:sz w:val="11"/>
                <w:szCs w:val="11"/>
                <w:color w:val="auto"/>
              </w:rPr>
            </w:pPr>
          </w:p>
        </w:tc>
      </w:tr>
      <w:tr>
        <w:trPr>
          <w:trHeight w:val="171"/>
        </w:trPr>
        <w:tc>
          <w:tcPr>
            <w:tcW w:w="46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r>
      <w:tr>
        <w:trPr>
          <w:trHeight w:val="22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Operational Data:</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Comparable sales increase</w:t>
            </w: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28.4%</w:t>
            </w:r>
          </w:p>
        </w:tc>
      </w:tr>
      <w:tr>
        <w:trPr>
          <w:trHeight w:val="226"/>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pet care centers at end of period</w:t>
            </w:r>
          </w:p>
        </w:tc>
        <w:tc>
          <w:tcPr>
            <w:tcW w:w="2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2"/>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(in thousands)</w:t>
            </w:r>
          </w:p>
        </w:tc>
        <w:tc>
          <w:tcPr>
            <w:tcW w:w="3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gridSpan w:val="2"/>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34"/>
        </w:trPr>
        <w:tc>
          <w:tcPr>
            <w:tcW w:w="4640" w:type="dxa"/>
            <w:vAlign w:val="bottom"/>
          </w:tcPr>
          <w:p>
            <w:pPr>
              <w:spacing w:after="0"/>
              <w:rPr>
                <w:sz w:val="24"/>
                <w:szCs w:val="24"/>
                <w:color w:val="auto"/>
              </w:rPr>
            </w:pPr>
          </w:p>
        </w:tc>
        <w:tc>
          <w:tcPr>
            <w:tcW w:w="2980" w:type="dxa"/>
            <w:vAlign w:val="bottom"/>
          </w:tcPr>
          <w:p>
            <w:pPr>
              <w:jc w:val="right"/>
              <w:ind w:right="181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2"/>
        </w:trPr>
        <w:tc>
          <w:tcPr>
            <w:tcW w:w="464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8" w:name="page19"/>
    <w:bookmarkEnd w:id="18"/>
    <w:p>
      <w:pPr>
        <w:ind w:right="2200" w:firstLine="2206"/>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Thirteen Weeks Ended April 30, 2022 Compared with Thirteen Weeks Ended May 1, 2021 </w:t>
      </w:r>
      <w:r>
        <w:rPr>
          <w:rFonts w:ascii="Times New Roman" w:cs="Times New Roman" w:eastAsia="Times New Roman" w:hAnsi="Times New Roman"/>
          <w:sz w:val="18"/>
          <w:szCs w:val="18"/>
          <w:b w:val="1"/>
          <w:bCs w:val="1"/>
          <w:i w:val="1"/>
          <w:iCs w:val="1"/>
          <w:color w:val="auto"/>
        </w:rPr>
        <w:t>Net Sales and Comparable Sales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1"/>
                <w:szCs w:val="11"/>
                <w:color w:val="auto"/>
              </w:rPr>
            </w:pPr>
          </w:p>
        </w:tc>
        <w:tc>
          <w:tcPr>
            <w:tcW w:w="1300" w:type="dxa"/>
            <w:vAlign w:val="bottom"/>
          </w:tcPr>
          <w:p>
            <w:pPr>
              <w:jc w:val="right"/>
              <w:ind w:right="457"/>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240" w:type="dxa"/>
            <w:vAlign w:val="bottom"/>
          </w:tcPr>
          <w:p>
            <w:pPr>
              <w:spacing w:after="0"/>
              <w:rPr>
                <w:sz w:val="11"/>
                <w:szCs w:val="11"/>
                <w:color w:val="auto"/>
              </w:rPr>
            </w:pPr>
          </w:p>
        </w:tc>
        <w:tc>
          <w:tcPr>
            <w:tcW w:w="1000" w:type="dxa"/>
            <w:vAlign w:val="bottom"/>
          </w:tcPr>
          <w:p>
            <w:pPr>
              <w:jc w:val="right"/>
              <w:ind w:right="517"/>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1"/>
                <w:szCs w:val="11"/>
                <w:color w:val="auto"/>
              </w:rPr>
            </w:pPr>
          </w:p>
        </w:tc>
        <w:tc>
          <w:tcPr>
            <w:tcW w:w="840" w:type="dxa"/>
            <w:vAlign w:val="bottom"/>
          </w:tcPr>
          <w:p>
            <w:pPr>
              <w:jc w:val="right"/>
              <w:ind w:right="277"/>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4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Consumables</w:t>
            </w: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685,930</w:t>
            </w:r>
          </w:p>
        </w:tc>
        <w:tc>
          <w:tcPr>
            <w:tcW w:w="64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595,132</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90,798</w:t>
            </w:r>
          </w:p>
        </w:tc>
        <w:tc>
          <w:tcPr>
            <w:tcW w:w="3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companion animals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658,172</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(58,993)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Services and other</w:t>
            </w: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190,882</w:t>
            </w:r>
          </w:p>
        </w:tc>
        <w:tc>
          <w:tcPr>
            <w:tcW w:w="3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161,690</w:t>
            </w:r>
          </w:p>
        </w:tc>
        <w:tc>
          <w:tcPr>
            <w:tcW w:w="3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29,192</w:t>
            </w:r>
          </w:p>
        </w:tc>
        <w:tc>
          <w:tcPr>
            <w:tcW w:w="3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1,475,991</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1,414,994</w:t>
            </w:r>
          </w:p>
        </w:tc>
        <w:tc>
          <w:tcPr>
            <w:tcW w:w="34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60,997</w:t>
            </w:r>
          </w:p>
        </w:tc>
        <w:tc>
          <w:tcPr>
            <w:tcW w:w="3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ind w:right="160" w:firstLine="589"/>
        <w:spacing w:after="0" w:line="254" w:lineRule="auto"/>
        <w:rPr>
          <w:sz w:val="20"/>
          <w:szCs w:val="20"/>
          <w:color w:val="auto"/>
        </w:rPr>
      </w:pPr>
      <w:r>
        <w:rPr>
          <w:rFonts w:ascii="Times New Roman" w:cs="Times New Roman" w:eastAsia="Times New Roman" w:hAnsi="Times New Roman"/>
          <w:sz w:val="18"/>
          <w:szCs w:val="18"/>
          <w:color w:val="auto"/>
        </w:rPr>
        <w:t>Net sales increased $61.0 million, or 4.3%, to $1.48 billion in the thirteen weeks ended April 30, 2022 compared to net sales of $1.41 billion in the thirteen weeks ended May 1, 2021, driven by a 5.1% increase in our comparable sales. Our sales growth period-over-period was driven by our strong execution and differentiated model across digital and in our pet care centers, coupled with an increase in new pet ownership and a resulting increase in sales to meet the needs of these pet parents. Net sales during the thirteen weeks ended April 30, 2022 were impacted by inflation, as we have taken selective pricing actions to offset cost increases on some vendor-supplied product.</w:t>
      </w:r>
    </w:p>
    <w:p>
      <w:pPr>
        <w:spacing w:after="0" w:line="76" w:lineRule="exact"/>
        <w:rPr>
          <w:sz w:val="20"/>
          <w:szCs w:val="20"/>
          <w:color w:val="auto"/>
        </w:rPr>
      </w:pPr>
    </w:p>
    <w:p>
      <w:pPr>
        <w:ind w:right="20" w:firstLine="589"/>
        <w:spacing w:after="0" w:line="252" w:lineRule="auto"/>
        <w:rPr>
          <w:sz w:val="20"/>
          <w:szCs w:val="20"/>
          <w:color w:val="auto"/>
        </w:rPr>
      </w:pPr>
      <w:r>
        <w:rPr>
          <w:rFonts w:ascii="Times New Roman" w:cs="Times New Roman" w:eastAsia="Times New Roman" w:hAnsi="Times New Roman"/>
          <w:sz w:val="18"/>
          <w:szCs w:val="18"/>
          <w:color w:val="auto"/>
        </w:rPr>
        <w:t>The increase in consumables sales between the periods was driven in part by the increase in new pets, our strategic investments in customer acquisition and retention, continued expansion of our product assortment and a shift to more premium consumables. The decrease in supplies and companion animals is due in part to a strong stimulus driven thirteen week period ended May 1, 2021 and a decrease in spending on certain non-essential items. We have experienced some softening in discretionary spend although our total merchandise mix remains strong. The increase in services and other was due in part to the increase in new pets, growth in our membership offerings like Vital Care, and growth in our veterinary hospital business in which we now operate over 200 veterinary hospitals.</w:t>
      </w:r>
    </w:p>
    <w:p>
      <w:pPr>
        <w:spacing w:after="0" w:line="80"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For the thirteen weeks ended April 30, 2022, pet care center merchandise delivered growth of 1.6% with strong growth in consumables. E-commerce and digital sales increased 10.5% during the thirteen weeks ended April 30, 2022, driven by strength in our online initiatives such as repeat delivery, BOPUS, ship from store and the mobile app. Services sales, which include veterinary hospitals, increased 18.9% during the thirteen weeks ended April 30, 2022, reflecting expansion of our veterinary hospital footprint and strong growth in veterinary and grooming customers.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16" w:lineRule="exact"/>
        <w:rPr>
          <w:sz w:val="20"/>
          <w:szCs w:val="20"/>
          <w:color w:val="auto"/>
        </w:rPr>
      </w:pPr>
    </w:p>
    <w:p>
      <w:pPr>
        <w:ind w:right="20" w:firstLine="589"/>
        <w:spacing w:after="0" w:line="251" w:lineRule="auto"/>
        <w:rPr>
          <w:sz w:val="20"/>
          <w:szCs w:val="20"/>
          <w:color w:val="auto"/>
        </w:rPr>
      </w:pPr>
      <w:r>
        <w:rPr>
          <w:rFonts w:ascii="Times New Roman" w:cs="Times New Roman" w:eastAsia="Times New Roman" w:hAnsi="Times New Roman"/>
          <w:sz w:val="18"/>
          <w:szCs w:val="18"/>
          <w:color w:val="auto"/>
        </w:rPr>
        <w:t>Gross profit increased $10.7 million, or 1.8%, to $607.7 million in the thirteen weeks ended April 30, 2022 compared to gross profit of $597.0 million for the thirteen weeks ended May 1, 2021. As a percentage of sales, our gross profit rate was 41.2% for the thirteen weeks ended April 30, 2022 compared with 42.2% for the thirteen weeks ended May 1, 2021. The decrease in gross profit rate between the periods was primarily due to the mix impact of strong consumables sales during the thirteen weeks ended April 30, 2022. While the strong consumables mix impacts the gross margin rate, the average consumables customer has a higher lifetime value than most other categories of customer. Sales channel impacts driven by strength in our digital, services and vet business, and moderate increases in distribution costs also contributed to the decrease in gross profit rate during the thirteen weeks ended April 30, 2022 as compared to the prior year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16" w:lineRule="exact"/>
        <w:rPr>
          <w:sz w:val="20"/>
          <w:szCs w:val="20"/>
          <w:color w:val="auto"/>
        </w:rPr>
      </w:pPr>
    </w:p>
    <w:p>
      <w:pPr>
        <w:ind w:right="160" w:firstLine="589"/>
        <w:spacing w:after="0" w:line="252" w:lineRule="auto"/>
        <w:rPr>
          <w:sz w:val="20"/>
          <w:szCs w:val="20"/>
          <w:color w:val="auto"/>
        </w:rPr>
      </w:pPr>
      <w:r>
        <w:rPr>
          <w:rFonts w:ascii="Times New Roman" w:cs="Times New Roman" w:eastAsia="Times New Roman" w:hAnsi="Times New Roman"/>
          <w:sz w:val="18"/>
          <w:szCs w:val="18"/>
          <w:color w:val="auto"/>
        </w:rPr>
        <w:t>SG&amp;A expenses increased $8.5 million, or 1.5%, to $557.7 million for the thirteen weeks ended April 30, 2022 compared to $549.2 million for the thirteen weeks ended May 1, 2021. As a percentage of net sales, SG&amp;A expenses were 37.8% for the thirteen weeks ended April 30, 2022 compared with 38.8% for the thirteen weeks ended May 1, 2021, reflecting operating leverage from net sales growth. The increase in SG&amp;A expenses period-over-period was to support our growth as we continue to invest in infrastructure and our people. The growth was partially offset by a decrease in advertising expenses period-over-period primarily due to extensive investments that were made during the thirteen week period ended May 1, 2021 for our rebranding campaign, inclusive of a TV launch and associated advertisements.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6"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Interest expense decreased $0.9 million, or 4.4%, to $19.6 million in the thirteen weeks ended April 30, 2022 compared with $20.5 million in the thirteen weeks ended May 1, 2021. The decrease was primarily driven by quarterly principal payments on the First Lien Term Loan, which resulted in a lower outstanding balance. For more information on these obligations,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and Modification of Debt</w:t>
      </w:r>
    </w:p>
    <w:p>
      <w:pPr>
        <w:spacing w:after="0" w:line="223" w:lineRule="exact"/>
        <w:rPr>
          <w:sz w:val="20"/>
          <w:szCs w:val="20"/>
          <w:color w:val="auto"/>
        </w:rPr>
      </w:pPr>
    </w:p>
    <w:p>
      <w:pPr>
        <w:ind w:right="540" w:firstLine="589"/>
        <w:spacing w:after="0" w:line="256" w:lineRule="auto"/>
        <w:rPr>
          <w:sz w:val="20"/>
          <w:szCs w:val="20"/>
          <w:color w:val="auto"/>
        </w:rPr>
      </w:pPr>
      <w:r>
        <w:rPr>
          <w:rFonts w:ascii="Times New Roman" w:cs="Times New Roman" w:eastAsia="Times New Roman" w:hAnsi="Times New Roman"/>
          <w:sz w:val="18"/>
          <w:szCs w:val="18"/>
          <w:color w:val="auto"/>
        </w:rPr>
        <w:t>Loss on extinguishment and modification of debt was $20.8 million for the thirteen weeks ended May 1, 2021. This loss was recognized in conjunction with the March 2021 refinancing of the Amended Term Loan Facility and Amended Revolving Credit Facility. There was no loss on debt extinguishment and modification for the thirteen weeks ended April 30, 2022. For more information regarding these activities, refer to Note 3, “</w:t>
      </w:r>
      <w:r>
        <w:rPr>
          <w:rFonts w:ascii="Times New Roman" w:cs="Times New Roman" w:eastAsia="Times New Roman" w:hAnsi="Times New Roman"/>
          <w:sz w:val="18"/>
          <w:szCs w:val="18"/>
          <w:i w:val="1"/>
          <w:iCs w:val="1"/>
          <w:color w:val="auto"/>
        </w:rPr>
        <w:t>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w:t>
      </w:r>
    </w:p>
    <w:p>
      <w:pPr>
        <w:spacing w:after="0" w:line="223" w:lineRule="exact"/>
        <w:rPr>
          <w:sz w:val="20"/>
          <w:szCs w:val="20"/>
          <w:color w:val="auto"/>
        </w:rPr>
      </w:pPr>
    </w:p>
    <w:p>
      <w:pPr>
        <w:ind w:right="20" w:firstLine="589"/>
        <w:spacing w:after="0" w:line="256" w:lineRule="auto"/>
        <w:rPr>
          <w:sz w:val="20"/>
          <w:szCs w:val="20"/>
          <w:color w:val="auto"/>
        </w:rPr>
      </w:pPr>
      <w:r>
        <w:rPr>
          <w:rFonts w:ascii="Times New Roman" w:cs="Times New Roman" w:eastAsia="Times New Roman" w:hAnsi="Times New Roman"/>
          <w:sz w:val="18"/>
          <w:szCs w:val="18"/>
          <w:color w:val="auto"/>
        </w:rPr>
        <w:t xml:space="preserve">Other non-operating income was $0.3 million for the thirteen weeks ended April 30, 2022. This income relates to non-cash gains from the remeasurement of the fair value of our investment in Rover Group, Inc. There was no other non-operating income recognized during the thirteen weeks ended April 30, 2022. For more information regarding this activity, refer to Note 4,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to the Notes to Consolidated Financial Statements included in Part I, Item 1 of this Form 10-Q.</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ind w:right="40" w:firstLine="589"/>
        <w:spacing w:after="0" w:line="256" w:lineRule="auto"/>
        <w:rPr>
          <w:sz w:val="20"/>
          <w:szCs w:val="20"/>
          <w:color w:val="auto"/>
        </w:rPr>
      </w:pPr>
      <w:r>
        <w:rPr>
          <w:rFonts w:ascii="Times New Roman" w:cs="Times New Roman" w:eastAsia="Times New Roman" w:hAnsi="Times New Roman"/>
          <w:sz w:val="18"/>
          <w:szCs w:val="18"/>
          <w:color w:val="auto"/>
        </w:rPr>
        <w:t>Our effective tax rate was 28.8% resulting in income tax expense of $10.0 million for the thirteen weeks ended April 30, 2022, compared to an effective tax rate of 26.2% resulting in income tax expense of $2.7 million for the thirteen weeks ended May 1, 2021. The increase in effective tax rate for the thirteen weeks ended April 30, 2022 is primarily driven by an increase in nondeductible executive compensation subject to Section 162(m) of the Internal Revenue Code.</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114" w:lineRule="exact"/>
        <w:rPr>
          <w:sz w:val="20"/>
          <w:szCs w:val="20"/>
          <w:color w:val="auto"/>
        </w:rPr>
      </w:pPr>
    </w:p>
    <w:p>
      <w:pPr>
        <w:ind w:firstLine="589"/>
        <w:spacing w:after="0" w:line="256" w:lineRule="auto"/>
        <w:rPr>
          <w:sz w:val="20"/>
          <w:szCs w:val="20"/>
          <w:color w:val="auto"/>
        </w:rPr>
      </w:pPr>
      <w:r>
        <w:rPr>
          <w:rFonts w:ascii="Times New Roman" w:cs="Times New Roman" w:eastAsia="Times New Roman" w:hAnsi="Times New Roman"/>
          <w:sz w:val="18"/>
          <w:szCs w:val="18"/>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16" w:lineRule="exact"/>
        <w:rPr>
          <w:sz w:val="20"/>
          <w:szCs w:val="20"/>
          <w:color w:val="auto"/>
        </w:rPr>
      </w:pPr>
    </w:p>
    <w:p>
      <w:pPr>
        <w:ind w:firstLine="589"/>
        <w:spacing w:after="0" w:line="251" w:lineRule="auto"/>
        <w:rPr>
          <w:sz w:val="20"/>
          <w:szCs w:val="20"/>
          <w:color w:val="auto"/>
        </w:rPr>
      </w:pPr>
      <w:r>
        <w:rPr>
          <w:rFonts w:ascii="Times New Roman" w:cs="Times New Roman" w:eastAsia="Times New Roman" w:hAnsi="Times New Roman"/>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79" w:lineRule="exact"/>
        <w:rPr>
          <w:sz w:val="20"/>
          <w:szCs w:val="20"/>
          <w:color w:val="auto"/>
        </w:rPr>
      </w:pPr>
    </w:p>
    <w:p>
      <w:pPr>
        <w:ind w:right="20" w:firstLine="589"/>
        <w:spacing w:after="0" w:line="261" w:lineRule="auto"/>
        <w:rPr>
          <w:sz w:val="20"/>
          <w:szCs w:val="20"/>
          <w:color w:val="auto"/>
        </w:rPr>
      </w:pPr>
      <w:r>
        <w:rPr>
          <w:rFonts w:ascii="Times New Roman" w:cs="Times New Roman" w:eastAsia="Times New Roman" w:hAnsi="Times New Roman"/>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650" w:right="339" w:bottom="1440" w:gutter="0" w:footer="0" w:header="0"/>
        </w:sectPr>
      </w:pPr>
    </w:p>
    <w:bookmarkStart w:id="20" w:name="page21"/>
    <w:bookmarkEnd w:id="20"/>
    <w:p>
      <w:pPr>
        <w:ind w:right="20"/>
        <w:spacing w:after="0" w:line="261" w:lineRule="auto"/>
        <w:rPr>
          <w:sz w:val="20"/>
          <w:szCs w:val="20"/>
          <w:color w:val="auto"/>
        </w:rPr>
      </w:pPr>
      <w:r>
        <w:rPr>
          <w:rFonts w:ascii="Times New Roman" w:cs="Times New Roman" w:eastAsia="Times New Roman" w:hAnsi="Times New Roman"/>
          <w:sz w:val="18"/>
          <w:szCs w:val="18"/>
          <w:color w:val="auto"/>
        </w:rPr>
        <w:t>limiting its usefulness as a comparative measure. Refer to Part II, Item 7, “Management’s Discussion and Analysis of Financial Condition and Results of Operations—Reconciliation of Non-GAAP Financial Measures to GAAP Measures” included in the 2021 Form 10-K for more information regarding how we define Adjusted EBITDA. The table below reflects the calculation of Adjusted EBITDA and Adjusted EBITDA Margin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1"/>
                <w:szCs w:val="11"/>
                <w:color w:val="auto"/>
              </w:rPr>
            </w:pPr>
          </w:p>
        </w:tc>
        <w:tc>
          <w:tcPr>
            <w:tcW w:w="1600" w:type="dxa"/>
            <w:vAlign w:val="bottom"/>
            <w:gridSpan w:val="2"/>
          </w:tcPr>
          <w:p>
            <w:pPr>
              <w:jc w:val="right"/>
              <w:ind w:right="86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520" w:type="dxa"/>
            <w:vAlign w:val="bottom"/>
          </w:tcPr>
          <w:p>
            <w:pPr>
              <w:spacing w:after="0"/>
              <w:rPr>
                <w:sz w:val="11"/>
                <w:szCs w:val="11"/>
                <w:color w:val="auto"/>
              </w:rPr>
            </w:pPr>
          </w:p>
        </w:tc>
        <w:tc>
          <w:tcPr>
            <w:tcW w:w="1020" w:type="dxa"/>
            <w:vAlign w:val="bottom"/>
          </w:tcPr>
          <w:p>
            <w:pPr>
              <w:jc w:val="right"/>
              <w:ind w:right="473"/>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20" w:type="dxa"/>
            <w:vAlign w:val="bottom"/>
            <w:tcBorders>
              <w:bottom w:val="single" w:sz="8" w:color="CFF0FC"/>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620" w:type="dxa"/>
            <w:vAlign w:val="bottom"/>
            <w:gridSpan w:val="2"/>
            <w:shd w:val="clear" w:color="auto" w:fill="CFF0FC"/>
          </w:tcPr>
          <w:p>
            <w:pPr>
              <w:ind w:left="240"/>
              <w:spacing w:after="0" w:line="201" w:lineRule="exact"/>
              <w:rPr>
                <w:sz w:val="20"/>
                <w:szCs w:val="20"/>
                <w:color w:val="auto"/>
              </w:rPr>
            </w:pPr>
            <w:r>
              <w:rPr>
                <w:rFonts w:ascii="Times New Roman" w:cs="Times New Roman" w:eastAsia="Times New Roman" w:hAnsi="Times New Roman"/>
                <w:sz w:val="18"/>
                <w:szCs w:val="18"/>
                <w:color w:val="auto"/>
              </w:rPr>
              <w:t>Net income attributable to Class A and B-1</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62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stockholders</w:t>
            </w: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36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19,614</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46,967</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from equity method investees</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(3,163)</w:t>
            </w:r>
          </w:p>
        </w:tc>
        <w:tc>
          <w:tcPr>
            <w:tcW w:w="5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debt extinguishment and modification</w:t>
            </w:r>
          </w:p>
        </w:tc>
        <w:tc>
          <w:tcPr>
            <w:tcW w:w="30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Asset impairments and write offs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12,222</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non-operating income</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(314)</w:t>
            </w:r>
          </w:p>
        </w:tc>
        <w:tc>
          <w:tcPr>
            <w:tcW w:w="5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Mexico joint venture EBITDA (1)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Store pre-opening expenses</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Store closing expenses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Non-cash occupancy-related costs (2)</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Acquisition-related integration costs (3)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costs (4)</w:t>
            </w: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36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762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132,551</w:t>
            </w:r>
          </w:p>
        </w:tc>
        <w:tc>
          <w:tcPr>
            <w:tcW w:w="36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125,746</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1,475,991</w:t>
            </w:r>
          </w:p>
        </w:tc>
        <w:tc>
          <w:tcPr>
            <w:tcW w:w="3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1,414,994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margin (5)</w:t>
            </w:r>
          </w:p>
        </w:tc>
        <w:tc>
          <w:tcPr>
            <w:tcW w:w="30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6"/>
        </w:trPr>
        <w:tc>
          <w:tcPr>
            <w:tcW w:w="76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Adjusted EBITDA Margin (5)</w:t>
            </w:r>
          </w:p>
        </w:tc>
        <w:tc>
          <w:tcPr>
            <w:tcW w:w="3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5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93"/>
        </w:trPr>
        <w:tc>
          <w:tcPr>
            <w:tcW w:w="1740" w:type="dxa"/>
            <w:vAlign w:val="bottom"/>
            <w:tcBorders>
              <w:bottom w:val="single" w:sz="8" w:color="auto"/>
            </w:tcBorders>
          </w:tcPr>
          <w:p>
            <w:pPr>
              <w:spacing w:after="0"/>
              <w:rPr>
                <w:sz w:val="8"/>
                <w:szCs w:val="8"/>
                <w:color w:val="auto"/>
              </w:rPr>
            </w:pPr>
          </w:p>
        </w:tc>
        <w:tc>
          <w:tcPr>
            <w:tcW w:w="5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00" w:right="100" w:hanging="594"/>
        <w:spacing w:after="0" w:line="232" w:lineRule="auto"/>
        <w:tabs>
          <w:tab w:leader="none" w:pos="6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495"/>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780" w:type="dxa"/>
            <w:vAlign w:val="bottom"/>
            <w:tcBorders>
              <w:bottom w:val="single" w:sz="8" w:color="CFF0FC"/>
            </w:tcBorders>
            <w:gridSpan w:val="2"/>
            <w:vMerge w:val="continue"/>
          </w:tcPr>
          <w:p>
            <w:pPr>
              <w:spacing w:after="0"/>
              <w:rPr>
                <w:sz w:val="14"/>
                <w:szCs w:val="14"/>
                <w:color w:val="auto"/>
              </w:rPr>
            </w:pPr>
          </w:p>
        </w:tc>
        <w:tc>
          <w:tcPr>
            <w:tcW w:w="29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9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Foreign currency gain</w:t>
            </w:r>
          </w:p>
        </w:tc>
        <w:tc>
          <w:tcPr>
            <w:tcW w:w="2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6"/>
        </w:trPr>
        <w:tc>
          <w:tcPr>
            <w:tcW w:w="47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9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50% of EBITDA</w:t>
            </w:r>
          </w:p>
        </w:tc>
        <w:tc>
          <w:tcPr>
            <w:tcW w:w="29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74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600" w:hanging="594"/>
        <w:spacing w:after="0"/>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occupancy-related costs include the difference between cash and straight-line rent for all periods.</w:t>
      </w:r>
    </w:p>
    <w:p>
      <w:pPr>
        <w:spacing w:after="0" w:line="25" w:lineRule="exact"/>
        <w:rPr>
          <w:rFonts w:ascii="Times New Roman" w:cs="Times New Roman" w:eastAsia="Times New Roman" w:hAnsi="Times New Roman"/>
          <w:sz w:val="14"/>
          <w:szCs w:val="14"/>
          <w:color w:val="auto"/>
        </w:rPr>
      </w:pPr>
    </w:p>
    <w:p>
      <w:pPr>
        <w:ind w:left="600" w:right="200" w:hanging="594"/>
        <w:spacing w:after="0" w:line="248" w:lineRule="auto"/>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integration costs include direct costs resulting from acquiring and integrating businesses. These include third-party professional and legal fees and other integration-related costs that would not have otherwise been incurred as part of the company’s operations.</w:t>
      </w:r>
    </w:p>
    <w:p>
      <w:pPr>
        <w:ind w:left="600" w:right="100" w:hanging="594"/>
        <w:spacing w:after="0" w:line="253" w:lineRule="auto"/>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costs include: severance; legal reserves and related fees; one-time consulting and other costs associated with our strategic transformation initiatives; discontinuation and liquidation costs; and costs related to our initial public offering and refinancing.</w:t>
      </w:r>
    </w:p>
    <w:p>
      <w:pPr>
        <w:spacing w:after="0" w:line="73" w:lineRule="exact"/>
        <w:rPr>
          <w:rFonts w:ascii="Times New Roman" w:cs="Times New Roman" w:eastAsia="Times New Roman" w:hAnsi="Times New Roman"/>
          <w:sz w:val="14"/>
          <w:szCs w:val="14"/>
          <w:color w:val="auto"/>
        </w:rPr>
      </w:pPr>
    </w:p>
    <w:p>
      <w:pPr>
        <w:ind w:left="600" w:hanging="594"/>
        <w:spacing w:after="0"/>
        <w:tabs>
          <w:tab w:leader="none" w:pos="6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net margin as net income attributable to Class A and B-1 common stockholders divided by net sales and Adjusted EBITDA margin as Adjusted EBITDA divided by net sales.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16" w:lineRule="exact"/>
        <w:rPr>
          <w:sz w:val="20"/>
          <w:szCs w:val="20"/>
          <w:color w:val="auto"/>
        </w:rPr>
      </w:pPr>
    </w:p>
    <w:p>
      <w:pPr>
        <w:ind w:right="560" w:firstLine="589"/>
        <w:spacing w:after="0" w:line="276" w:lineRule="auto"/>
        <w:rPr>
          <w:sz w:val="20"/>
          <w:szCs w:val="20"/>
          <w:color w:val="auto"/>
        </w:rPr>
      </w:pPr>
      <w:r>
        <w:rPr>
          <w:rFonts w:ascii="Times New Roman" w:cs="Times New Roman" w:eastAsia="Times New Roman" w:hAnsi="Times New Roman"/>
          <w:sz w:val="18"/>
          <w:szCs w:val="18"/>
          <w:color w:val="auto"/>
        </w:rPr>
        <w:t>Free Cash Flow is a non-GAAP financial measure that is calculated as net cash provided by operating activities less cash paid for fixed assets. Management believes that Free Cash Flow, which measures our ability to</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generate additional cash from our business operations, is an important financial measure for use in evaluating the Company’s financial performance.</w:t>
      </w: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table below reflects the calculation of Free Cash Flow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right"/>
              <w:ind w:right="68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jc w:val="right"/>
              <w:ind w:right="498"/>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2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700" w:type="dxa"/>
            <w:vAlign w:val="bottom"/>
            <w:gridSpan w:val="2"/>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fixed assets</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(65,910)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(47,351)</w:t>
            </w:r>
          </w:p>
        </w:tc>
        <w:tc>
          <w:tcPr>
            <w:tcW w:w="0" w:type="dxa"/>
            <w:vAlign w:val="bottom"/>
          </w:tcPr>
          <w:p>
            <w:pPr>
              <w:spacing w:after="0"/>
              <w:rPr>
                <w:sz w:val="1"/>
                <w:szCs w:val="1"/>
                <w:color w:val="auto"/>
              </w:rPr>
            </w:pPr>
          </w:p>
        </w:tc>
      </w:tr>
      <w:tr>
        <w:trPr>
          <w:trHeight w:val="220"/>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6" w:lineRule="exact"/>
        <w:rPr>
          <w:sz w:val="20"/>
          <w:szCs w:val="20"/>
          <w:color w:val="auto"/>
        </w:rPr>
      </w:pPr>
    </w:p>
    <w:p>
      <w:pPr>
        <w:ind w:right="80" w:firstLine="589"/>
        <w:spacing w:after="0" w:line="272" w:lineRule="auto"/>
        <w:rPr>
          <w:sz w:val="20"/>
          <w:szCs w:val="20"/>
          <w:color w:val="auto"/>
        </w:rPr>
      </w:pPr>
      <w:r>
        <w:rPr>
          <w:rFonts w:ascii="Times New Roman" w:cs="Times New Roman" w:eastAsia="Times New Roman" w:hAnsi="Times New Roman"/>
          <w:sz w:val="17"/>
          <w:szCs w:val="17"/>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April 30, 2022 was $629.7 million, inclusive of cash and cash equivalents of $190.9 million and $438.8 million of availability on the ABL Revolving Credit Facility.</w:t>
      </w:r>
    </w:p>
    <w:p>
      <w:pPr>
        <w:spacing w:after="0" w:line="64" w:lineRule="exact"/>
        <w:rPr>
          <w:sz w:val="20"/>
          <w:szCs w:val="20"/>
          <w:color w:val="auto"/>
        </w:rPr>
      </w:pPr>
    </w:p>
    <w:p>
      <w:pPr>
        <w:ind w:right="140" w:firstLine="589"/>
        <w:spacing w:after="0" w:line="254" w:lineRule="auto"/>
        <w:rPr>
          <w:sz w:val="20"/>
          <w:szCs w:val="20"/>
          <w:color w:val="auto"/>
        </w:rPr>
      </w:pPr>
      <w:r>
        <w:rPr>
          <w:rFonts w:ascii="Times New Roman" w:cs="Times New Roman" w:eastAsia="Times New Roman" w:hAnsi="Times New Roman"/>
          <w:sz w:val="18"/>
          <w:szCs w:val="18"/>
          <w:color w:val="auto"/>
        </w:rPr>
        <w:t>We are a party to contractual obligations involving commitments to make payments to third parties. These obligations impact our short-term and long-term liquidity and capital resource needs.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jc w:val="right"/>
              <w:ind w:right="800"/>
              <w:spacing w:after="0" w:line="129" w:lineRule="exact"/>
              <w:rPr>
                <w:sz w:val="20"/>
                <w:szCs w:val="20"/>
                <w:color w:val="auto"/>
              </w:rPr>
            </w:pPr>
            <w:r>
              <w:rPr>
                <w:rFonts w:ascii="Times New Roman" w:cs="Times New Roman" w:eastAsia="Times New Roman" w:hAnsi="Times New Roman"/>
                <w:sz w:val="14"/>
                <w:szCs w:val="14"/>
                <w:b w:val="1"/>
                <w:bCs w:val="1"/>
                <w:color w:val="auto"/>
              </w:rPr>
              <w:t>April 30,</w:t>
            </w:r>
          </w:p>
        </w:tc>
        <w:tc>
          <w:tcPr>
            <w:tcW w:w="540" w:type="dxa"/>
            <w:vAlign w:val="bottom"/>
          </w:tcPr>
          <w:p>
            <w:pPr>
              <w:spacing w:after="0"/>
              <w:rPr>
                <w:sz w:val="11"/>
                <w:szCs w:val="11"/>
                <w:color w:val="auto"/>
              </w:rPr>
            </w:pPr>
          </w:p>
        </w:tc>
        <w:tc>
          <w:tcPr>
            <w:tcW w:w="1020" w:type="dxa"/>
            <w:vAlign w:val="bottom"/>
          </w:tcPr>
          <w:p>
            <w:pPr>
              <w:jc w:val="right"/>
              <w:ind w:right="497"/>
              <w:spacing w:after="0" w:line="129" w:lineRule="exact"/>
              <w:rPr>
                <w:sz w:val="20"/>
                <w:szCs w:val="20"/>
                <w:color w:val="auto"/>
              </w:rPr>
            </w:pPr>
            <w:r>
              <w:rPr>
                <w:rFonts w:ascii="Times New Roman" w:cs="Times New Roman" w:eastAsia="Times New Roman" w:hAnsi="Times New Roman"/>
                <w:sz w:val="14"/>
                <w:szCs w:val="14"/>
                <w:b w:val="1"/>
                <w:bCs w:val="1"/>
                <w:color w:val="auto"/>
              </w:rPr>
              <w:t>May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provided by (used in):</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57,519</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(65,910)</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(47,351)</w:t>
            </w:r>
          </w:p>
        </w:tc>
        <w:tc>
          <w:tcPr>
            <w:tcW w:w="0" w:type="dxa"/>
            <w:vAlign w:val="bottom"/>
          </w:tcPr>
          <w:p>
            <w:pPr>
              <w:spacing w:after="0"/>
              <w:rPr>
                <w:sz w:val="1"/>
                <w:szCs w:val="1"/>
                <w:color w:val="auto"/>
              </w:rPr>
            </w:pPr>
          </w:p>
        </w:tc>
      </w:tr>
      <w:tr>
        <w:trPr>
          <w:trHeight w:val="22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(15,260)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(7,213)</w:t>
            </w:r>
          </w:p>
        </w:tc>
        <w:tc>
          <w:tcPr>
            <w:tcW w:w="0" w:type="dxa"/>
            <w:vAlign w:val="bottom"/>
          </w:tcPr>
          <w:p>
            <w:pPr>
              <w:spacing w:after="0"/>
              <w:rPr>
                <w:sz w:val="1"/>
                <w:szCs w:val="1"/>
                <w:color w:val="auto"/>
              </w:rPr>
            </w:pPr>
          </w:p>
        </w:tc>
      </w:tr>
      <w:tr>
        <w:trPr>
          <w:trHeight w:val="201"/>
        </w:trPr>
        <w:tc>
          <w:tcPr>
            <w:tcW w:w="56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Net (decrease) increase in cash, cash equivalents</w:t>
            </w:r>
          </w:p>
        </w:tc>
        <w:tc>
          <w:tcPr>
            <w:tcW w:w="2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restricted cash</w:t>
            </w:r>
          </w:p>
        </w:tc>
        <w:tc>
          <w:tcPr>
            <w:tcW w:w="2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(23,651)</w:t>
            </w:r>
          </w:p>
        </w:tc>
        <w:tc>
          <w:tcPr>
            <w:tcW w:w="54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6" w:lineRule="exact"/>
        <w:rPr>
          <w:sz w:val="20"/>
          <w:szCs w:val="20"/>
          <w:color w:val="auto"/>
        </w:rPr>
      </w:pPr>
    </w:p>
    <w:p>
      <w:pPr>
        <w:ind w:right="60" w:firstLine="589"/>
        <w:spacing w:after="0" w:line="251" w:lineRule="auto"/>
        <w:rPr>
          <w:sz w:val="20"/>
          <w:szCs w:val="20"/>
          <w:color w:val="auto"/>
        </w:rPr>
      </w:pPr>
      <w:r>
        <w:rPr>
          <w:rFonts w:ascii="Times New Roman" w:cs="Times New Roman" w:eastAsia="Times New Roman" w:hAnsi="Times New Roman"/>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89" w:lineRule="exact"/>
        <w:rPr>
          <w:sz w:val="20"/>
          <w:szCs w:val="20"/>
          <w:color w:val="auto"/>
        </w:rPr>
      </w:pPr>
    </w:p>
    <w:p>
      <w:pPr>
        <w:ind w:firstLine="589"/>
        <w:spacing w:after="0" w:line="276" w:lineRule="auto"/>
        <w:rPr>
          <w:sz w:val="20"/>
          <w:szCs w:val="20"/>
          <w:color w:val="auto"/>
        </w:rPr>
      </w:pPr>
      <w:r>
        <w:rPr>
          <w:rFonts w:ascii="Times New Roman" w:cs="Times New Roman" w:eastAsia="Times New Roman" w:hAnsi="Times New Roman"/>
          <w:sz w:val="18"/>
          <w:szCs w:val="18"/>
          <w:color w:val="auto"/>
        </w:rPr>
        <w:t>Net cash provided by operating activities was $57.5 million in the thirteen weeks ended April 30, 2022 compared with net cash provided by operating activities of $115.0 million in the thirteen weeks ended May 1, 2021.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The decrease in operating cash flow was driven by higher payroll, bonus and fringe benefits, an increase in cash paid for inventory driven by increased sales, and an increase in cash paid for interest due to the timing of payments following the refinancing transaction that occurred in March 2021 discussed under “Sources of Liquidity” below. The decrease in operating cash flows between the periods was partially offset by working capital benefits generated by higher sales.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43" w:lineRule="exact"/>
        <w:rPr>
          <w:sz w:val="20"/>
          <w:szCs w:val="20"/>
          <w:color w:val="auto"/>
        </w:rPr>
      </w:pPr>
    </w:p>
    <w:p>
      <w:pPr>
        <w:ind w:right="60" w:firstLine="540"/>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consists of capital expenditures, which in the thirteen weeks ended April 30, 2022 and the thirteen weeks ended May 1, 2021 primarily supported our transformation initiatives. Net cash used in investing activities was $65.9 million and $47.4 million for the thirteen weeks ended April 30, 2022 and May 1, 2021, respectively. The increase in capital expenditures between the periods was predominately due to the build-out of our veterinary hospitals, investments in digital assets and innovation in response to our sales growth.</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3" w:lineRule="exact"/>
        <w:rPr>
          <w:sz w:val="20"/>
          <w:szCs w:val="20"/>
          <w:color w:val="auto"/>
        </w:rPr>
      </w:pPr>
    </w:p>
    <w:p>
      <w:pPr>
        <w:ind w:right="280" w:firstLine="589"/>
        <w:spacing w:after="0" w:line="276" w:lineRule="auto"/>
        <w:rPr>
          <w:sz w:val="20"/>
          <w:szCs w:val="20"/>
          <w:color w:val="auto"/>
        </w:rPr>
      </w:pPr>
      <w:r>
        <w:rPr>
          <w:rFonts w:ascii="Times New Roman" w:cs="Times New Roman" w:eastAsia="Times New Roman" w:hAnsi="Times New Roman"/>
          <w:sz w:val="18"/>
          <w:szCs w:val="18"/>
          <w:color w:val="auto"/>
        </w:rPr>
        <w:t>Net cash used in financing activities was $15.3 million for the thirteen weeks ended April 30, 2022, compared with $7.2 million used in financing activities in the thirteen weeks ended May 1, 2021.</w:t>
      </w:r>
    </w:p>
    <w:p>
      <w:pPr>
        <w:spacing w:after="0" w:line="163" w:lineRule="exact"/>
        <w:rPr>
          <w:sz w:val="20"/>
          <w:szCs w:val="20"/>
          <w:color w:val="auto"/>
        </w:rPr>
      </w:pPr>
    </w:p>
    <w:p>
      <w:pPr>
        <w:ind w:right="160" w:firstLine="589"/>
        <w:spacing w:after="0" w:line="276" w:lineRule="auto"/>
        <w:rPr>
          <w:sz w:val="20"/>
          <w:szCs w:val="20"/>
          <w:color w:val="auto"/>
        </w:rPr>
      </w:pPr>
      <w:r>
        <w:rPr>
          <w:rFonts w:ascii="Times New Roman" w:cs="Times New Roman" w:eastAsia="Times New Roman" w:hAnsi="Times New Roman"/>
          <w:sz w:val="18"/>
          <w:szCs w:val="18"/>
          <w:color w:val="auto"/>
        </w:rPr>
        <w:t>Financing cash flows in the thirteen weeks ended April 30, 2022 primarily consisted of quarterly repayments on the term loan and payments for tax withholdings on stock-based awards.</w:t>
      </w:r>
    </w:p>
    <w:p>
      <w:pPr>
        <w:spacing w:after="0" w:line="163" w:lineRule="exact"/>
        <w:rPr>
          <w:sz w:val="20"/>
          <w:szCs w:val="20"/>
          <w:color w:val="auto"/>
        </w:rPr>
      </w:pPr>
    </w:p>
    <w:p>
      <w:pPr>
        <w:ind w:right="280" w:firstLine="589"/>
        <w:spacing w:after="0" w:line="261" w:lineRule="auto"/>
        <w:rPr>
          <w:sz w:val="20"/>
          <w:szCs w:val="20"/>
          <w:color w:val="auto"/>
        </w:rPr>
      </w:pPr>
      <w:r>
        <w:rPr>
          <w:rFonts w:ascii="Times New Roman" w:cs="Times New Roman" w:eastAsia="Times New Roman" w:hAnsi="Times New Roman"/>
          <w:sz w:val="18"/>
          <w:szCs w:val="18"/>
          <w:color w:val="auto"/>
        </w:rPr>
        <w:t>Financing cash flows in the thirteen weeks ended May 1, 2021 primarily consisted of borrowings and repayments of debt in connection with the March 4, 2021 debt refinancing transaction discussed under “Sources of Liquidity” below. For more information regarding these activities,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3" w:lineRule="exact"/>
        <w:rPr>
          <w:sz w:val="20"/>
          <w:szCs w:val="20"/>
          <w:color w:val="auto"/>
        </w:rPr>
      </w:pPr>
    </w:p>
    <w:p>
      <w:pPr>
        <w:ind w:right="100" w:firstLine="589"/>
        <w:spacing w:after="0" w:line="268" w:lineRule="auto"/>
        <w:rPr>
          <w:sz w:val="20"/>
          <w:szCs w:val="20"/>
          <w:color w:val="auto"/>
        </w:rPr>
      </w:pPr>
      <w:r>
        <w:rPr>
          <w:rFonts w:ascii="Times New Roman" w:cs="Times New Roman" w:eastAsia="Times New Roman" w:hAnsi="Times New Roman"/>
          <w:sz w:val="17"/>
          <w:szCs w:val="17"/>
          <w:color w:val="auto"/>
        </w:rPr>
        <w:t>On March 4, 2021, the Company completed a refinancing transaction by repaying the Amended Term Loan Facility and entering into a new $1,700 million secured term loan facility maturing on March 4, 2028 (the “First Lien Term Loan”) and the ABL Revolving Credit Facility, which matures on March 4, 2026 and has availability of up to $500.0 million, subject to a borrowing base. Interest under the First Lien Term Loan is based on,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payments are $4.25 million quarterly and commenced on June 30, 2021. The terms under the ABL Revolving Credit Facility are substantially similar to those of the Amended Revolving Credit Facility.</w:t>
      </w:r>
    </w:p>
    <w:p>
      <w:pPr>
        <w:spacing w:after="0" w:line="174" w:lineRule="exact"/>
        <w:rPr>
          <w:sz w:val="20"/>
          <w:szCs w:val="20"/>
          <w:color w:val="auto"/>
        </w:rPr>
      </w:pPr>
    </w:p>
    <w:p>
      <w:pPr>
        <w:ind w:right="640" w:firstLine="589"/>
        <w:spacing w:after="0" w:line="278" w:lineRule="auto"/>
        <w:rPr>
          <w:sz w:val="20"/>
          <w:szCs w:val="20"/>
          <w:color w:val="auto"/>
        </w:rPr>
      </w:pPr>
      <w:r>
        <w:rPr>
          <w:rFonts w:ascii="Times New Roman" w:cs="Times New Roman" w:eastAsia="Times New Roman" w:hAnsi="Times New Roman"/>
          <w:sz w:val="18"/>
          <w:szCs w:val="18"/>
          <w:color w:val="auto"/>
        </w:rPr>
        <w:t>For more information regarding this indebtedness, refer to Note 3, “</w:t>
      </w:r>
      <w:r>
        <w:rPr>
          <w:rFonts w:ascii="Times New Roman" w:cs="Times New Roman" w:eastAsia="Times New Roman" w:hAnsi="Times New Roman"/>
          <w:sz w:val="18"/>
          <w:szCs w:val="18"/>
          <w:i w:val="1"/>
          <w:iCs w:val="1"/>
          <w:color w:val="auto"/>
        </w:rPr>
        <w:t>Senior Secured Credit Facilities</w:t>
      </w:r>
      <w:r>
        <w:rPr>
          <w:rFonts w:ascii="Times New Roman" w:cs="Times New Roman" w:eastAsia="Times New Roman" w:hAnsi="Times New Roman"/>
          <w:sz w:val="18"/>
          <w:szCs w:val="18"/>
          <w:color w:val="auto"/>
        </w:rPr>
        <w:t>,” to the Notes to Consolidated Financial Statements included in Part I, Item 1 of this Form 10-Q.</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1" w:lineRule="exact"/>
        <w:rPr>
          <w:sz w:val="20"/>
          <w:szCs w:val="20"/>
          <w:color w:val="auto"/>
        </w:rPr>
      </w:pPr>
    </w:p>
    <w:p>
      <w:pPr>
        <w:ind w:firstLine="589"/>
        <w:spacing w:after="0" w:line="252"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7" w:lineRule="exact"/>
        <w:rPr>
          <w:sz w:val="20"/>
          <w:szCs w:val="20"/>
          <w:color w:val="auto"/>
        </w:rPr>
      </w:pPr>
    </w:p>
    <w:p>
      <w:pPr>
        <w:ind w:right="220" w:firstLine="589"/>
        <w:spacing w:after="0" w:line="27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the 2021 Form 10-K.</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sectPr>
      </w:pPr>
    </w:p>
    <w:bookmarkStart w:id="23" w:name="page24"/>
    <w:bookmarkEnd w:id="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2" w:lineRule="exact"/>
        <w:rPr>
          <w:sz w:val="20"/>
          <w:szCs w:val="20"/>
          <w:color w:val="auto"/>
        </w:rPr>
      </w:pPr>
    </w:p>
    <w:p>
      <w:pPr>
        <w:ind w:right="180" w:firstLine="589"/>
        <w:spacing w:after="0" w:line="278" w:lineRule="auto"/>
        <w:rPr>
          <w:sz w:val="20"/>
          <w:szCs w:val="20"/>
          <w:color w:val="auto"/>
        </w:rPr>
      </w:pPr>
      <w:r>
        <w:rPr>
          <w:rFonts w:ascii="Times New Roman" w:cs="Times New Roman" w:eastAsia="Times New Roman" w:hAnsi="Times New Roman"/>
          <w:sz w:val="18"/>
          <w:szCs w:val="18"/>
          <w:color w:val="auto"/>
        </w:rPr>
        <w:t>Refer to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Notes to Consolidated Financial Statements included in Part I, Item 1 of this Form 10-Q for information regarding recently issued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4" w:lineRule="exact"/>
        <w:rPr>
          <w:sz w:val="20"/>
          <w:szCs w:val="20"/>
          <w:color w:val="auto"/>
        </w:rPr>
      </w:pPr>
    </w:p>
    <w:p>
      <w:pPr>
        <w:ind w:right="180" w:firstLine="589"/>
        <w:spacing w:after="0" w:line="261" w:lineRule="auto"/>
        <w:rPr>
          <w:sz w:val="20"/>
          <w:szCs w:val="20"/>
          <w:color w:val="auto"/>
        </w:rPr>
      </w:pPr>
      <w:r>
        <w:rPr>
          <w:rFonts w:ascii="Times New Roman" w:cs="Times New Roman" w:eastAsia="Times New Roman" w:hAnsi="Times New Roman"/>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6" w:lineRule="exact"/>
        <w:rPr>
          <w:sz w:val="20"/>
          <w:szCs w:val="20"/>
          <w:color w:val="auto"/>
        </w:rPr>
      </w:pPr>
    </w:p>
    <w:p>
      <w:pPr>
        <w:ind w:firstLine="589"/>
        <w:spacing w:after="0" w:line="276" w:lineRule="auto"/>
        <w:rPr>
          <w:sz w:val="20"/>
          <w:szCs w:val="20"/>
          <w:color w:val="auto"/>
        </w:rPr>
      </w:pPr>
      <w:r>
        <w:rPr>
          <w:rFonts w:ascii="Times New Roman" w:cs="Times New Roman" w:eastAsia="Times New Roman" w:hAnsi="Times New Roman"/>
          <w:sz w:val="17"/>
          <w:szCs w:val="17"/>
          <w:color w:val="auto"/>
        </w:rPr>
        <w:t>We are subject to interest rate risk in connection with the First Lien Term Loan and the ABL Revolving Credit Facility. As of April 30, 2022, we had $1,683.0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April 30, 2022 would have increased annual cash interest in the aggregate by approximately $17.1 million.</w:t>
      </w:r>
    </w:p>
    <w:p>
      <w:pPr>
        <w:spacing w:after="0" w:line="166" w:lineRule="exact"/>
        <w:rPr>
          <w:sz w:val="20"/>
          <w:szCs w:val="20"/>
          <w:color w:val="auto"/>
        </w:rPr>
      </w:pPr>
    </w:p>
    <w:p>
      <w:pPr>
        <w:ind w:firstLine="589"/>
        <w:spacing w:after="0" w:line="261" w:lineRule="auto"/>
        <w:rPr>
          <w:sz w:val="20"/>
          <w:szCs w:val="20"/>
          <w:color w:val="auto"/>
        </w:rPr>
      </w:pPr>
      <w:r>
        <w:rPr>
          <w:rFonts w:ascii="Times New Roman" w:cs="Times New Roman" w:eastAsia="Times New Roman" w:hAnsi="Times New Roman"/>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6" w:lineRule="exact"/>
        <w:rPr>
          <w:sz w:val="20"/>
          <w:szCs w:val="20"/>
          <w:color w:val="auto"/>
        </w:rPr>
      </w:pPr>
    </w:p>
    <w:p>
      <w:pPr>
        <w:ind w:right="80" w:firstLine="589"/>
        <w:spacing w:after="0" w:line="261" w:lineRule="auto"/>
        <w:rPr>
          <w:sz w:val="20"/>
          <w:szCs w:val="20"/>
          <w:color w:val="auto"/>
        </w:rPr>
      </w:pPr>
      <w:r>
        <w:rPr>
          <w:rFonts w:ascii="Times New Roman" w:cs="Times New Roman" w:eastAsia="Times New Roman" w:hAnsi="Times New Roman"/>
          <w:sz w:val="18"/>
          <w:szCs w:val="18"/>
          <w:color w:val="auto"/>
        </w:rPr>
        <w:t>As of April 30, 2022,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6" w:lineRule="exact"/>
        <w:rPr>
          <w:sz w:val="20"/>
          <w:szCs w:val="20"/>
          <w:color w:val="auto"/>
        </w:rPr>
      </w:pPr>
    </w:p>
    <w:p>
      <w:pPr>
        <w:ind w:right="100" w:firstLine="589"/>
        <w:spacing w:after="0" w:line="276" w:lineRule="auto"/>
        <w:rPr>
          <w:sz w:val="20"/>
          <w:szCs w:val="20"/>
          <w:color w:val="auto"/>
        </w:rPr>
      </w:pPr>
      <w:r>
        <w:rPr>
          <w:rFonts w:ascii="Times New Roman" w:cs="Times New Roman" w:eastAsia="Times New Roman" w:hAnsi="Times New Roman"/>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223" w:lineRule="exact"/>
        <w:rPr>
          <w:sz w:val="20"/>
          <w:szCs w:val="20"/>
          <w:color w:val="auto"/>
        </w:rPr>
      </w:pPr>
    </w:p>
    <w:p>
      <w:pPr>
        <w:jc w:val="both"/>
        <w:ind w:right="380" w:firstLine="5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2" w:lineRule="exact"/>
        <w:rPr>
          <w:sz w:val="20"/>
          <w:szCs w:val="20"/>
          <w:color w:val="auto"/>
        </w:rPr>
      </w:pPr>
    </w:p>
    <w:p>
      <w:pPr>
        <w:jc w:val="both"/>
        <w:ind w:right="160" w:firstLine="540"/>
        <w:spacing w:after="0" w:line="256" w:lineRule="auto"/>
        <w:rPr>
          <w:sz w:val="20"/>
          <w:szCs w:val="20"/>
          <w:color w:val="auto"/>
        </w:rPr>
      </w:pPr>
      <w:r>
        <w:rPr>
          <w:rFonts w:ascii="Times New Roman" w:cs="Times New Roman" w:eastAsia="Times New Roman" w:hAnsi="Times New Roman"/>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April 30,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6" w:lineRule="exact"/>
        <w:rPr>
          <w:sz w:val="20"/>
          <w:szCs w:val="20"/>
          <w:color w:val="auto"/>
        </w:rPr>
      </w:pPr>
    </w:p>
    <w:p>
      <w:pPr>
        <w:ind w:right="600" w:firstLine="540"/>
        <w:spacing w:after="0" w:line="27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April 30, 2022, that materially affected, or are reasonably likely to materially affect, our internal control over financial reporting.</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89" w:right="399" w:bottom="1440" w:gutter="0" w:footer="0" w:header="0"/>
        </w:sectPr>
      </w:pPr>
    </w:p>
    <w:bookmarkStart w:id="25" w:name="page26"/>
    <w:bookmarkEnd w:id="2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2" w:lineRule="exact"/>
        <w:rPr>
          <w:sz w:val="20"/>
          <w:szCs w:val="20"/>
          <w:color w:val="auto"/>
        </w:rPr>
      </w:pPr>
    </w:p>
    <w:p>
      <w:pPr>
        <w:ind w:right="160" w:firstLine="648"/>
        <w:spacing w:after="0" w:line="278" w:lineRule="auto"/>
        <w:rPr>
          <w:sz w:val="20"/>
          <w:szCs w:val="20"/>
          <w:color w:val="auto"/>
        </w:rPr>
      </w:pPr>
      <w:r>
        <w:rPr>
          <w:rFonts w:ascii="Times New Roman" w:cs="Times New Roman" w:eastAsia="Times New Roman" w:hAnsi="Times New Roman"/>
          <w:sz w:val="18"/>
          <w:szCs w:val="18"/>
          <w:color w:val="auto"/>
        </w:rPr>
        <w:t>See Note 6,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Notes to Consolidated Financial Statements included in Part I, Item 1 of this Form 10-Q for a description of legal proceedings,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2"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Reference is made to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in the 2021 Form 10-K for information concerning risk factors. There have been no material changes with respect to the risk factors disclosed in the 2021 Form 10-K. You should carefully consider such factors, which could materially and adversely affect our business, financial condition and/or results of operations. The risks described in the 2021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of the Company’s Class A common stock by the Company during the first quarter of 2022:</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67"/>
        </w:trPr>
        <w:tc>
          <w:tcPr>
            <w:tcW w:w="2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restart"/>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640" w:type="dxa"/>
            <w:vAlign w:val="bottom"/>
            <w:gridSpan w:val="2"/>
            <w:vMerge w:val="restart"/>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6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of Shares that May Yet</w:t>
            </w:r>
          </w:p>
        </w:tc>
        <w:tc>
          <w:tcPr>
            <w:tcW w:w="0" w:type="dxa"/>
            <w:vAlign w:val="bottom"/>
          </w:tcPr>
          <w:p>
            <w:pPr>
              <w:spacing w:after="0"/>
              <w:rPr>
                <w:sz w:val="1"/>
                <w:szCs w:val="1"/>
                <w:color w:val="auto"/>
              </w:rPr>
            </w:pPr>
          </w:p>
        </w:tc>
      </w:tr>
      <w:tr>
        <w:trPr>
          <w:trHeight w:val="80"/>
        </w:trPr>
        <w:tc>
          <w:tcPr>
            <w:tcW w:w="2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4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8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2"/>
            <w:vMerge w:val="restart"/>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640" w:type="dxa"/>
            <w:vAlign w:val="bottom"/>
            <w:gridSpan w:val="2"/>
            <w:vMerge w:val="restart"/>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620" w:type="dxa"/>
            <w:vAlign w:val="bottom"/>
            <w:vMerge w:val="restart"/>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be Purchased Under the</w:t>
            </w:r>
          </w:p>
        </w:tc>
        <w:tc>
          <w:tcPr>
            <w:tcW w:w="0" w:type="dxa"/>
            <w:vAlign w:val="bottom"/>
          </w:tcPr>
          <w:p>
            <w:pPr>
              <w:spacing w:after="0"/>
              <w:rPr>
                <w:sz w:val="1"/>
                <w:szCs w:val="1"/>
                <w:color w:val="auto"/>
              </w:rPr>
            </w:pPr>
          </w:p>
        </w:tc>
      </w:tr>
      <w:tr>
        <w:trPr>
          <w:trHeight w:val="80"/>
        </w:trPr>
        <w:tc>
          <w:tcPr>
            <w:tcW w:w="324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0" w:type="dxa"/>
            <w:vAlign w:val="bottom"/>
          </w:tcPr>
          <w:p>
            <w:pPr>
              <w:spacing w:after="0"/>
              <w:rPr>
                <w:sz w:val="1"/>
                <w:szCs w:val="1"/>
                <w:color w:val="auto"/>
              </w:rPr>
            </w:pPr>
          </w:p>
        </w:tc>
      </w:tr>
      <w:tr>
        <w:trPr>
          <w:trHeight w:val="80"/>
        </w:trPr>
        <w:tc>
          <w:tcPr>
            <w:tcW w:w="32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40" w:type="dxa"/>
            <w:vAlign w:val="bottom"/>
            <w:gridSpan w:val="2"/>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8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4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January 30, 2022 to February 28,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248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40"/>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1, 2022 to March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tcPr>
          <w:p>
            <w:pPr>
              <w:spacing w:after="0"/>
              <w:rPr>
                <w:sz w:val="20"/>
                <w:szCs w:val="20"/>
                <w:color w:val="auto"/>
              </w:rPr>
            </w:pPr>
          </w:p>
        </w:tc>
        <w:tc>
          <w:tcPr>
            <w:tcW w:w="26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248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347"/>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April 1, 2022 to April 30, 2022</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spacing w:after="0"/>
              <w:rPr>
                <w:sz w:val="24"/>
                <w:szCs w:val="24"/>
                <w:color w:val="auto"/>
              </w:rPr>
            </w:pPr>
          </w:p>
        </w:tc>
        <w:tc>
          <w:tcPr>
            <w:tcW w:w="2420" w:type="dxa"/>
            <w:vAlign w:val="bottom"/>
            <w:vMerge w:val="restart"/>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vMerge w:val="restart"/>
            <w:shd w:val="clear" w:color="auto" w:fill="CCEEFF"/>
          </w:tcPr>
          <w:p>
            <w:pPr>
              <w:spacing w:after="0"/>
              <w:rPr>
                <w:sz w:val="24"/>
                <w:szCs w:val="24"/>
                <w:color w:val="auto"/>
              </w:rPr>
            </w:pPr>
          </w:p>
        </w:tc>
        <w:tc>
          <w:tcPr>
            <w:tcW w:w="2620" w:type="dxa"/>
            <w:vAlign w:val="bottom"/>
            <w:vMerge w:val="restart"/>
            <w:shd w:val="clear" w:color="auto" w:fill="CCEEFF"/>
          </w:tcPr>
          <w:p>
            <w:pPr>
              <w:ind w:left="248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151"/>
        </w:trPr>
        <w:tc>
          <w:tcPr>
            <w:tcW w:w="2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4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6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2420" w:type="dxa"/>
            <w:vAlign w:val="bottom"/>
            <w:tcBorders>
              <w:bottom w:val="single" w:sz="8" w:color="auto"/>
            </w:tcBorders>
            <w:vMerge w:val="continue"/>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26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60" w:type="dxa"/>
            <w:vAlign w:val="bottom"/>
          </w:tcPr>
          <w:p>
            <w:pPr>
              <w:spacing w:after="0"/>
              <w:rPr>
                <w:sz w:val="21"/>
                <w:szCs w:val="21"/>
                <w:color w:val="auto"/>
              </w:rPr>
            </w:pPr>
          </w:p>
        </w:tc>
        <w:tc>
          <w:tcPr>
            <w:tcW w:w="264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2480"/>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860" w:right="220" w:hanging="428"/>
        <w:spacing w:after="0" w:line="276"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the Company’s Class A common stock withheld from an employee upon the vesting of restricted stock to satisfy related tax withholding obligations.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545"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940" w:type="dxa"/>
            <w:vAlign w:val="bottom"/>
            <w:gridSpan w:val="8"/>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94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3"/>
              </w:rPr>
              <w:t>10.1†</w:t>
            </w:r>
          </w:p>
        </w:tc>
        <w:tc>
          <w:tcPr>
            <w:tcW w:w="60" w:type="dxa"/>
            <w:vAlign w:val="bottom"/>
          </w:tcPr>
          <w:p>
            <w:pPr>
              <w:spacing w:after="0"/>
              <w:rPr>
                <w:sz w:val="24"/>
                <w:szCs w:val="24"/>
                <w:color w:val="auto"/>
              </w:rPr>
            </w:pPr>
          </w:p>
        </w:tc>
        <w:tc>
          <w:tcPr>
            <w:tcW w:w="99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Form of Restricted Stock Unit Award Grant Notice and Standard Terms and Conditions under the Petco Health and Wellness Company, Inc.</w:t>
            </w:r>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140" w:type="dxa"/>
            <w:vAlign w:val="bottom"/>
            <w:gridSpan w:val="14"/>
          </w:tcPr>
          <w:p>
            <w:pPr>
              <w:spacing w:after="0" w:line="193" w:lineRule="exact"/>
              <w:rPr>
                <w:sz w:val="20"/>
                <w:szCs w:val="20"/>
                <w:color w:val="auto"/>
              </w:rPr>
            </w:pPr>
            <w:r>
              <w:rPr>
                <w:rFonts w:ascii="Times New Roman" w:cs="Times New Roman" w:eastAsia="Times New Roman" w:hAnsi="Times New Roman"/>
                <w:sz w:val="18"/>
                <w:szCs w:val="18"/>
                <w:color w:val="0000EE"/>
              </w:rPr>
              <w:t>2021 Equity Incentive Plan (Retention Award Form)</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3"/>
              </w:rPr>
              <w:t>10.2†</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7"/>
              </w:rPr>
              <w:t>Form of Performance Stock Unit Award Grant Notice and Standard Terms and Conditions under the Petco Health and Wellness Company, Inc.</w:t>
            </w: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120" w:type="dxa"/>
            <w:vAlign w:val="bottom"/>
            <w:tcBorders>
              <w:top w:val="single" w:sz="8" w:color="0000EE"/>
            </w:tcBorders>
            <w:gridSpan w:val="13"/>
          </w:tcPr>
          <w:p>
            <w:pPr>
              <w:spacing w:after="0" w:line="193" w:lineRule="exact"/>
              <w:rPr>
                <w:sz w:val="20"/>
                <w:szCs w:val="20"/>
                <w:color w:val="auto"/>
              </w:rPr>
            </w:pPr>
            <w:r>
              <w:rPr>
                <w:rFonts w:ascii="Times New Roman" w:cs="Times New Roman" w:eastAsia="Times New Roman" w:hAnsi="Times New Roman"/>
                <w:sz w:val="18"/>
                <w:szCs w:val="18"/>
                <w:color w:val="0000EE"/>
              </w:rPr>
              <w:t>2021 Equity Incentive Plan (CEO Form)</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3"/>
              </w:rPr>
              <w:t>10.3†</w:t>
            </w:r>
          </w:p>
        </w:tc>
        <w:tc>
          <w:tcPr>
            <w:tcW w:w="60" w:type="dxa"/>
            <w:vAlign w:val="bottom"/>
          </w:tcPr>
          <w:p>
            <w:pPr>
              <w:spacing w:after="0"/>
              <w:rPr>
                <w:sz w:val="24"/>
                <w:szCs w:val="24"/>
                <w:color w:val="auto"/>
              </w:rPr>
            </w:pPr>
          </w:p>
        </w:tc>
        <w:tc>
          <w:tcPr>
            <w:tcW w:w="7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Employment Letter between Petco Animal Supplies Stores, Inc. and John Zavada dated August 21, 2016</w:t>
            </w:r>
          </w:p>
        </w:tc>
        <w:tc>
          <w:tcPr>
            <w:tcW w:w="27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3"/>
              </w:rPr>
              <w:t>10.4†</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Special Retention Bonus Agreement between Petco Animal Supplies, Inc. and John Zavada dated August 31, 2018</w:t>
            </w:r>
          </w:p>
        </w:tc>
        <w:tc>
          <w:tcPr>
            <w:tcW w:w="0" w:type="dxa"/>
            <w:vAlign w:val="bottom"/>
          </w:tcPr>
          <w:p>
            <w:pPr>
              <w:spacing w:after="0"/>
              <w:rPr>
                <w:sz w:val="1"/>
                <w:szCs w:val="1"/>
                <w:color w:val="auto"/>
              </w:rPr>
            </w:pPr>
          </w:p>
        </w:tc>
      </w:tr>
      <w:tr>
        <w:trPr>
          <w:trHeight w:val="433"/>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3"/>
              </w:rPr>
              <w:t>10.5†</w:t>
            </w:r>
          </w:p>
        </w:tc>
        <w:tc>
          <w:tcPr>
            <w:tcW w:w="60" w:type="dxa"/>
            <w:vAlign w:val="bottom"/>
          </w:tcPr>
          <w:p>
            <w:pPr>
              <w:spacing w:after="0"/>
              <w:rPr>
                <w:sz w:val="24"/>
                <w:szCs w:val="24"/>
                <w:color w:val="auto"/>
              </w:rPr>
            </w:pPr>
          </w:p>
        </w:tc>
        <w:tc>
          <w:tcPr>
            <w:tcW w:w="814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Summary of severance benefits for John Zavada</w:t>
            </w:r>
          </w:p>
        </w:tc>
        <w:tc>
          <w:tcPr>
            <w:tcW w:w="2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00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Certification of Principal Executive Officer pursuant to Rules 13a-14(a) and 15d-14(a) under the Securities Exchange Act of 1934, as adopted</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140" w:type="dxa"/>
            <w:vAlign w:val="bottom"/>
            <w:gridSpan w:val="14"/>
          </w:tcPr>
          <w:p>
            <w:pPr>
              <w:spacing w:after="0" w:line="193"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04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20" w:type="dxa"/>
            <w:vAlign w:val="bottom"/>
            <w:tcBorders>
              <w:top w:val="single" w:sz="8" w:color="0000EE"/>
            </w:tcBorders>
            <w:gridSpan w:val="11"/>
          </w:tcPr>
          <w:p>
            <w:pPr>
              <w:spacing w:after="0" w:line="193"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0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98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Certification of Principal Executive Officer pursuant to 18 U.S.C. Section 1350, as adopted pursuant to Section 906 of the Sarbanes-Oxley</w:t>
            </w:r>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140" w:type="dxa"/>
            <w:vAlign w:val="bottom"/>
            <w:gridSpan w:val="14"/>
          </w:tcPr>
          <w:p>
            <w:pPr>
              <w:spacing w:after="0" w:line="193" w:lineRule="exact"/>
              <w:rPr>
                <w:sz w:val="20"/>
                <w:szCs w:val="20"/>
                <w:color w:val="auto"/>
              </w:rPr>
            </w:pPr>
            <w:r>
              <w:rPr>
                <w:rFonts w:ascii="Times New Roman" w:cs="Times New Roman" w:eastAsia="Times New Roman" w:hAnsi="Times New Roman"/>
                <w:sz w:val="18"/>
                <w:szCs w:val="18"/>
                <w:color w:val="0000EE"/>
              </w:rPr>
              <w:t>Act of 2002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0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8"/>
              </w:rPr>
              <w:t>Certification of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80" w:type="dxa"/>
            <w:vAlign w:val="bottom"/>
            <w:tcBorders>
              <w:top w:val="single" w:sz="8" w:color="0000EE"/>
            </w:tcBorders>
            <w:gridSpan w:val="12"/>
          </w:tcPr>
          <w:p>
            <w:pPr>
              <w:spacing w:after="0" w:line="193" w:lineRule="exact"/>
              <w:rPr>
                <w:sz w:val="20"/>
                <w:szCs w:val="20"/>
                <w:color w:val="auto"/>
              </w:rPr>
            </w:pPr>
            <w:r>
              <w:rPr>
                <w:rFonts w:ascii="Times New Roman" w:cs="Times New Roman" w:eastAsia="Times New Roman" w:hAnsi="Times New Roman"/>
                <w:sz w:val="18"/>
                <w:szCs w:val="18"/>
                <w:color w:val="0000EE"/>
              </w:rPr>
              <w:t>of 2002</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6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2"/>
        </w:trPr>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53"/>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53"/>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101.CAL</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3"/>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101.DEF</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3"/>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101.LAB</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3"/>
        </w:trPr>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101.PRE</w:t>
            </w:r>
          </w:p>
        </w:tc>
        <w:tc>
          <w:tcPr>
            <w:tcW w:w="6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100" w:hanging="1005"/>
        <w:spacing w:after="0"/>
        <w:tabs>
          <w:tab w:leader="none" w:pos="11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5" w:lineRule="exact"/>
        <w:rPr>
          <w:rFonts w:ascii="Times New Roman" w:cs="Times New Roman" w:eastAsia="Times New Roman" w:hAnsi="Times New Roman"/>
          <w:sz w:val="18"/>
          <w:szCs w:val="18"/>
          <w:color w:val="auto"/>
        </w:rPr>
      </w:pPr>
    </w:p>
    <w:p>
      <w:pPr>
        <w:ind w:left="600" w:right="120" w:hanging="586"/>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-323850</wp:posOffset>
            </wp:positionV>
            <wp:extent cx="10991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9185" cy="8255"/>
                    </a:xfrm>
                    <a:prstGeom prst="rect">
                      <a:avLst/>
                    </a:prstGeom>
                    <a:noFill/>
                  </pic:spPr>
                </pic:pic>
              </a:graphicData>
            </a:graphic>
          </wp:anchor>
        </w:drawing>
      </w:r>
    </w:p>
    <w:p>
      <w:pPr>
        <w:spacing w:after="0" w:line="36" w:lineRule="exact"/>
        <w:rPr>
          <w:sz w:val="20"/>
          <w:szCs w:val="20"/>
          <w:color w:val="auto"/>
        </w:rPr>
      </w:pPr>
    </w:p>
    <w:p>
      <w:pPr>
        <w:ind w:left="600" w:hanging="594"/>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right="520" w:firstLine="589"/>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Petco Health and Wellness Company, Inc.</w:t>
            </w:r>
          </w:p>
        </w:tc>
      </w:tr>
      <w:tr>
        <w:trPr>
          <w:trHeight w:val="45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2022</w:t>
            </w:r>
          </w:p>
        </w:tc>
        <w:tc>
          <w:tcPr>
            <w:tcW w:w="780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Brian LaRose</w:t>
            </w:r>
          </w:p>
        </w:tc>
      </w:tr>
      <w:tr>
        <w:trPr>
          <w:trHeight w:val="215"/>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LaRose</w:t>
            </w:r>
          </w:p>
        </w:tc>
      </w:tr>
      <w:tr>
        <w:trPr>
          <w:trHeight w:val="213"/>
        </w:trPr>
        <w:tc>
          <w:tcPr>
            <w:tcW w:w="34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34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59"/>
        </w:trPr>
        <w:tc>
          <w:tcPr>
            <w:tcW w:w="3440" w:type="dxa"/>
            <w:vAlign w:val="bottom"/>
          </w:tcPr>
          <w:p>
            <w:pPr>
              <w:spacing w:after="0"/>
              <w:rPr>
                <w:sz w:val="24"/>
                <w:szCs w:val="24"/>
                <w:color w:val="auto"/>
              </w:rPr>
            </w:pPr>
          </w:p>
        </w:tc>
        <w:tc>
          <w:tcPr>
            <w:tcW w:w="26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27</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545" w:right="339" w:bottom="1440" w:gutter="0" w:footer="0" w:header="0"/>
        </w:sectPr>
      </w:pPr>
    </w:p>
    <w:bookmarkStart w:id="28" w:name="page29"/>
    <w:bookmarkEnd w:id="28"/>
    <w:p>
      <w:pPr>
        <w:ind w:left="1014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PETCO HEALTH AND WELLNESS COMPANY, INC.</w:t>
      </w:r>
    </w:p>
    <w:p>
      <w:pPr>
        <w:jc w:val="center"/>
        <w:ind w:right="20"/>
        <w:spacing w:after="0" w:line="238" w:lineRule="auto"/>
        <w:rPr>
          <w:sz w:val="20"/>
          <w:szCs w:val="20"/>
          <w:color w:val="auto"/>
        </w:rPr>
      </w:pPr>
      <w:r>
        <w:rPr>
          <w:rFonts w:ascii="Times New Roman" w:cs="Times New Roman" w:eastAsia="Times New Roman" w:hAnsi="Times New Roman"/>
          <w:sz w:val="21"/>
          <w:szCs w:val="21"/>
          <w:b w:val="1"/>
          <w:bCs w:val="1"/>
          <w:color w:val="auto"/>
        </w:rPr>
        <w:t>2021 EQUITY INCENTIVE PLAN</w:t>
      </w:r>
    </w:p>
    <w:p>
      <w:pPr>
        <w:jc w:val="center"/>
        <w:ind w:right="20"/>
        <w:spacing w:after="0" w:line="238" w:lineRule="auto"/>
        <w:rPr>
          <w:sz w:val="20"/>
          <w:szCs w:val="20"/>
          <w:color w:val="auto"/>
        </w:rPr>
      </w:pPr>
      <w:r>
        <w:rPr>
          <w:rFonts w:ascii="Times New Roman" w:cs="Times New Roman" w:eastAsia="Times New Roman" w:hAnsi="Times New Roman"/>
          <w:sz w:val="21"/>
          <w:szCs w:val="21"/>
          <w:b w:val="1"/>
          <w:bCs w:val="1"/>
          <w:color w:val="auto"/>
        </w:rPr>
        <w:t>GRANT NOTICE FOR</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RESTRICTED STOCK UNIT AWARD</w:t>
      </w:r>
    </w:p>
    <w:p>
      <w:pPr>
        <w:spacing w:after="0" w:line="22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1"/>
          <w:szCs w:val="21"/>
          <w:color w:val="auto"/>
        </w:rPr>
        <w:t>FOR GOOD AND VALUABLE CONSIDERATION, 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to the Participant named below the number of Restricted Stock Units (the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below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under the Petco Health and Wellness Company, Inc. 2021 Equity Incentive Plan (as amended from time to time,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Each RSU represents the right to receive one share of Common Stock, upon the terms and subject to the conditions set forth in this Grant Notice, the Plan and the Standard Terms and Conditions (the “</w:t>
      </w:r>
      <w:r>
        <w:rPr>
          <w:rFonts w:ascii="Times New Roman" w:cs="Times New Roman" w:eastAsia="Times New Roman" w:hAnsi="Times New Roman"/>
          <w:sz w:val="21"/>
          <w:szCs w:val="21"/>
          <w:b w:val="1"/>
          <w:bCs w:val="1"/>
          <w:i w:val="1"/>
          <w:iCs w:val="1"/>
          <w:color w:val="auto"/>
        </w:rPr>
        <w:t>Standard Terms and Conditions</w:t>
      </w:r>
      <w:r>
        <w:rPr>
          <w:rFonts w:ascii="Times New Roman" w:cs="Times New Roman" w:eastAsia="Times New Roman" w:hAnsi="Times New Roman"/>
          <w:sz w:val="21"/>
          <w:szCs w:val="21"/>
          <w:color w:val="auto"/>
        </w:rPr>
        <w:t xml:space="preserve">”) promulgated under such Plan and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the Confidentiality and Inventions Agreement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40" w:type="dxa"/>
            <w:vAlign w:val="bottom"/>
            <w:tcBorders>
              <w:right w:val="single" w:sz="8" w:color="auto"/>
            </w:tcBorders>
          </w:tcPr>
          <w:p>
            <w:pPr>
              <w:spacing w:after="0"/>
              <w:rPr>
                <w:sz w:val="24"/>
                <w:szCs w:val="24"/>
                <w:color w:val="auto"/>
              </w:rPr>
            </w:pPr>
          </w:p>
        </w:tc>
        <w:tc>
          <w:tcPr>
            <w:tcW w:w="26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Name of Participant:</w:t>
            </w:r>
          </w:p>
        </w:tc>
        <w:tc>
          <w:tcPr>
            <w:tcW w:w="8580" w:type="dxa"/>
            <w:vAlign w:val="bottom"/>
            <w:tcBorders>
              <w:top w:val="single" w:sz="8" w:color="auto"/>
              <w:right w:val="single" w:sz="8" w:color="auto"/>
            </w:tcBorders>
          </w:tcPr>
          <w:p>
            <w:pPr>
              <w:spacing w:after="0"/>
              <w:rPr>
                <w:sz w:val="24"/>
                <w:szCs w:val="24"/>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Grant Date:</w:t>
            </w:r>
          </w:p>
        </w:tc>
        <w:tc>
          <w:tcPr>
            <w:tcW w:w="8580" w:type="dxa"/>
            <w:vAlign w:val="bottom"/>
            <w:tcBorders>
              <w:right w:val="single" w:sz="8" w:color="auto"/>
            </w:tcBorders>
          </w:tcPr>
          <w:p>
            <w:pPr>
              <w:spacing w:after="0"/>
              <w:rPr>
                <w:sz w:val="24"/>
                <w:szCs w:val="24"/>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Number of RSUs:</w:t>
            </w:r>
          </w:p>
        </w:tc>
        <w:tc>
          <w:tcPr>
            <w:tcW w:w="8580" w:type="dxa"/>
            <w:vAlign w:val="bottom"/>
            <w:tcBorders>
              <w:right w:val="single" w:sz="8" w:color="auto"/>
            </w:tcBorders>
          </w:tcPr>
          <w:p>
            <w:pPr>
              <w:spacing w:after="0"/>
              <w:rPr>
                <w:sz w:val="24"/>
                <w:szCs w:val="24"/>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640" w:type="dxa"/>
            <w:vAlign w:val="bottom"/>
            <w:tcBorders>
              <w:bottom w:val="single" w:sz="8" w:color="auto"/>
              <w:right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r>
      <w:tr>
        <w:trPr>
          <w:trHeight w:val="273"/>
        </w:trPr>
        <w:tc>
          <w:tcPr>
            <w:tcW w:w="40" w:type="dxa"/>
            <w:vAlign w:val="bottom"/>
            <w:tcBorders>
              <w:right w:val="single" w:sz="8" w:color="auto"/>
            </w:tcBorders>
          </w:tcPr>
          <w:p>
            <w:pPr>
              <w:spacing w:after="0"/>
              <w:rPr>
                <w:sz w:val="23"/>
                <w:szCs w:val="23"/>
                <w:color w:val="auto"/>
              </w:rPr>
            </w:pPr>
          </w:p>
        </w:tc>
        <w:tc>
          <w:tcPr>
            <w:tcW w:w="26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Vesting Schedule:</w:t>
            </w:r>
          </w:p>
        </w:tc>
        <w:tc>
          <w:tcPr>
            <w:tcW w:w="8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Subject to the Plan and the Standard Terms and Conditions, the RSUs shall vest in accordance</w:t>
            </w:r>
          </w:p>
        </w:tc>
      </w:tr>
      <w:tr>
        <w:trPr>
          <w:trHeight w:val="213"/>
        </w:trPr>
        <w:tc>
          <w:tcPr>
            <w:tcW w:w="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tcPr>
          <w:p>
            <w:pPr>
              <w:spacing w:after="0" w:line="213" w:lineRule="exact"/>
              <w:rPr>
                <w:sz w:val="20"/>
                <w:szCs w:val="20"/>
                <w:color w:val="auto"/>
              </w:rPr>
            </w:pPr>
            <w:r>
              <w:rPr>
                <w:rFonts w:ascii="Times New Roman" w:cs="Times New Roman" w:eastAsia="Times New Roman" w:hAnsi="Times New Roman"/>
                <w:sz w:val="21"/>
                <w:szCs w:val="21"/>
                <w:color w:val="auto"/>
              </w:rPr>
              <w:t>with the following schedule, so long as Participant remains continuously employed by or</w:t>
            </w:r>
          </w:p>
        </w:tc>
      </w:tr>
      <w:tr>
        <w:trPr>
          <w:trHeight w:val="213"/>
        </w:trPr>
        <w:tc>
          <w:tcPr>
            <w:tcW w:w="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8580" w:type="dxa"/>
            <w:vAlign w:val="bottom"/>
            <w:tcBorders>
              <w:right w:val="single" w:sz="8" w:color="auto"/>
            </w:tcBorders>
          </w:tcPr>
          <w:p>
            <w:pPr>
              <w:spacing w:after="0" w:line="213" w:lineRule="exact"/>
              <w:rPr>
                <w:sz w:val="20"/>
                <w:szCs w:val="20"/>
                <w:color w:val="auto"/>
              </w:rPr>
            </w:pPr>
            <w:r>
              <w:rPr>
                <w:rFonts w:ascii="Times New Roman" w:cs="Times New Roman" w:eastAsia="Times New Roman" w:hAnsi="Times New Roman"/>
                <w:sz w:val="21"/>
                <w:szCs w:val="21"/>
                <w:color w:val="auto"/>
              </w:rPr>
              <w:t>providing services to the Company or its Subsidiaries from the Grant Date through such vesting</w:t>
            </w:r>
          </w:p>
        </w:tc>
      </w:tr>
      <w:tr>
        <w:trPr>
          <w:trHeight w:val="278"/>
        </w:trPr>
        <w:tc>
          <w:tcPr>
            <w:tcW w:w="40" w:type="dxa"/>
            <w:vAlign w:val="bottom"/>
            <w:tcBorders>
              <w:right w:val="single" w:sz="8" w:color="auto"/>
            </w:tcBorders>
          </w:tcPr>
          <w:p>
            <w:pPr>
              <w:spacing w:after="0"/>
              <w:rPr>
                <w:sz w:val="24"/>
                <w:szCs w:val="24"/>
                <w:color w:val="auto"/>
              </w:rPr>
            </w:pPr>
          </w:p>
        </w:tc>
        <w:tc>
          <w:tcPr>
            <w:tcW w:w="2640" w:type="dxa"/>
            <w:vAlign w:val="bottom"/>
            <w:tcBorders>
              <w:right w:val="single" w:sz="8" w:color="auto"/>
            </w:tcBorders>
          </w:tcPr>
          <w:p>
            <w:pPr>
              <w:spacing w:after="0"/>
              <w:rPr>
                <w:sz w:val="24"/>
                <w:szCs w:val="24"/>
                <w:color w:val="auto"/>
              </w:rPr>
            </w:pPr>
          </w:p>
        </w:tc>
        <w:tc>
          <w:tcPr>
            <w:tcW w:w="85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date:</w:t>
            </w:r>
          </w:p>
        </w:tc>
      </w:tr>
      <w:tr>
        <w:trPr>
          <w:trHeight w:val="534"/>
        </w:trPr>
        <w:tc>
          <w:tcPr>
            <w:tcW w:w="4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spacing w:after="0"/>
              <w:rPr>
                <w:sz w:val="24"/>
                <w:szCs w:val="24"/>
                <w:color w:val="auto"/>
              </w:rPr>
            </w:pPr>
          </w:p>
        </w:tc>
      </w:tr>
      <w:tr>
        <w:trPr>
          <w:trHeight w:val="825"/>
        </w:trPr>
        <w:tc>
          <w:tcPr>
            <w:tcW w:w="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1"/>
          <w:szCs w:val="21"/>
          <w:color w:val="auto"/>
        </w:rPr>
        <w:t>IN ORDER TO RECEIVE THE BENEFITS OF THIS AGREEMENT, PARTICIPANT MUST EXECUTE AND RETURN THIS GRANT NOTICE (THE “</w:t>
      </w:r>
      <w:r>
        <w:rPr>
          <w:rFonts w:ascii="Times New Roman" w:cs="Times New Roman" w:eastAsia="Times New Roman" w:hAnsi="Times New Roman"/>
          <w:sz w:val="21"/>
          <w:szCs w:val="21"/>
          <w:b w:val="1"/>
          <w:bCs w:val="1"/>
          <w:i w:val="1"/>
          <w:iCs w:val="1"/>
          <w:color w:val="auto"/>
        </w:rPr>
        <w:t>ACCEPTANCE REQUIREMENTS</w:t>
      </w:r>
      <w:r>
        <w:rPr>
          <w:rFonts w:ascii="Times New Roman" w:cs="Times New Roman" w:eastAsia="Times New Roman" w:hAnsi="Times New Roman"/>
          <w:sz w:val="21"/>
          <w:szCs w:val="21"/>
          <w:color w:val="auto"/>
        </w:rPr>
        <w:t>”). IF YOU FAIL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2950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50210"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w:t>
      </w:r>
    </w:p>
    <w:p>
      <w:pPr>
        <w:ind w:left="5620"/>
        <w:spacing w:after="0"/>
        <w:rPr>
          <w:sz w:val="20"/>
          <w:szCs w:val="20"/>
          <w:color w:val="auto"/>
        </w:rPr>
      </w:pPr>
      <w:r>
        <w:rPr>
          <w:rFonts w:ascii="Times New Roman" w:cs="Times New Roman" w:eastAsia="Times New Roman" w:hAnsi="Times New Roman"/>
          <w:sz w:val="21"/>
          <w:szCs w:val="21"/>
          <w:color w:val="auto"/>
        </w:rPr>
        <w:t>Title:</w:t>
      </w: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16510</wp:posOffset>
            </wp:positionV>
            <wp:extent cx="28994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1"/>
          <w:szCs w:val="21"/>
          <w:color w:val="auto"/>
        </w:rPr>
        <w:t xml:space="preserve"> P</w:t>
      </w:r>
      <w:r>
        <w:rPr>
          <w:rFonts w:ascii="Times New Roman" w:cs="Times New Roman" w:eastAsia="Times New Roman" w:hAnsi="Times New Roman"/>
          <w:sz w:val="14"/>
          <w:szCs w:val="14"/>
          <w:color w:val="auto"/>
        </w:rPr>
        <w:t>age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1"/>
          <w:szCs w:val="21"/>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1"/>
          <w:szCs w:val="21"/>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1"/>
          <w:szCs w:val="21"/>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1"/>
          <w:szCs w:val="21"/>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767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PETCO HEALTH AND WELLNESS COMPANY,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STANDARD TERMS AND CONDITIONS FOR</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RESTRICTED STOCK UNITS</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These Standard Terms and Conditions apply to the Award of Restricted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860" w:hanging="854"/>
        <w:spacing w:after="0"/>
        <w:tabs>
          <w:tab w:leader="none" w:pos="86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TERMS OF RESTRICTED STOCK UNITS</w:t>
      </w:r>
    </w:p>
    <w:p>
      <w:pPr>
        <w:spacing w:after="0" w:line="209"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Restricted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378" w:lineRule="exact"/>
        <w:rPr>
          <w:sz w:val="20"/>
          <w:szCs w:val="20"/>
          <w:color w:val="auto"/>
        </w:rPr>
      </w:pPr>
    </w:p>
    <w:p>
      <w:pPr>
        <w:ind w:left="860" w:hanging="854"/>
        <w:spacing w:after="0"/>
        <w:tabs>
          <w:tab w:leader="none" w:pos="860"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SETTLEMENT OF RESTRICTED STOCK UNITS</w:t>
      </w:r>
    </w:p>
    <w:p>
      <w:pPr>
        <w:spacing w:after="0" w:line="215" w:lineRule="exact"/>
        <w:rPr>
          <w:rFonts w:ascii="Times New Roman" w:cs="Times New Roman" w:eastAsia="Times New Roman" w:hAnsi="Times New Roman"/>
          <w:sz w:val="21"/>
          <w:szCs w:val="21"/>
          <w:b w:val="1"/>
          <w:bCs w:val="1"/>
          <w:color w:val="auto"/>
        </w:rPr>
      </w:pPr>
    </w:p>
    <w:p>
      <w:pPr>
        <w:jc w:val="both"/>
        <w:ind w:right="80" w:firstLine="865"/>
        <w:spacing w:after="0" w:line="244" w:lineRule="auto"/>
        <w:tabs>
          <w:tab w:leader="none" w:pos="1734"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Times New Roman" w:cs="Times New Roman" w:eastAsia="Times New Roman" w:hAnsi="Times New Roman"/>
          <w:sz w:val="21"/>
          <w:szCs w:val="21"/>
          <w:b w:val="1"/>
          <w:bCs w:val="1"/>
          <w:i w:val="1"/>
          <w:iCs w:val="1"/>
          <w:color w:val="auto"/>
        </w:rPr>
        <w:t>Vested RSUs</w:t>
      </w:r>
      <w:r>
        <w:rPr>
          <w:rFonts w:ascii="Times New Roman" w:cs="Times New Roman" w:eastAsia="Times New Roman" w:hAnsi="Times New Roman"/>
          <w:sz w:val="21"/>
          <w:szCs w:val="21"/>
          <w:color w:val="auto"/>
        </w:rPr>
        <w:t>.” Restricted Stock Units awarded hereunder that are not vested and remain subject to forfeiture are referred to herein as “</w:t>
      </w:r>
      <w:r>
        <w:rPr>
          <w:rFonts w:ascii="Times New Roman" w:cs="Times New Roman" w:eastAsia="Times New Roman" w:hAnsi="Times New Roman"/>
          <w:sz w:val="21"/>
          <w:szCs w:val="21"/>
          <w:b w:val="1"/>
          <w:bCs w:val="1"/>
          <w:i w:val="1"/>
          <w:iCs w:val="1"/>
          <w:color w:val="auto"/>
        </w:rPr>
        <w:t>Unvested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w:t>
      </w:r>
    </w:p>
    <w:p>
      <w:pPr>
        <w:spacing w:after="0" w:line="200" w:lineRule="exact"/>
        <w:rPr>
          <w:rFonts w:ascii="Times New Roman" w:cs="Times New Roman" w:eastAsia="Times New Roman" w:hAnsi="Times New Roman"/>
          <w:sz w:val="21"/>
          <w:szCs w:val="21"/>
          <w:color w:val="auto"/>
        </w:rPr>
      </w:pPr>
    </w:p>
    <w:p>
      <w:pPr>
        <w:spacing w:after="0" w:line="217" w:lineRule="exact"/>
        <w:rPr>
          <w:rFonts w:ascii="Times New Roman" w:cs="Times New Roman" w:eastAsia="Times New Roman" w:hAnsi="Times New Roman"/>
          <w:sz w:val="21"/>
          <w:szCs w:val="21"/>
          <w:color w:val="auto"/>
        </w:rPr>
      </w:pPr>
    </w:p>
    <w:p>
      <w:pPr>
        <w:jc w:val="both"/>
        <w:ind w:right="80" w:firstLine="865"/>
        <w:spacing w:after="0" w:line="256" w:lineRule="auto"/>
        <w:tabs>
          <w:tab w:leader="none" w:pos="1746"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administratively practicable following the vesting of the RSUs pursuant to the Grant Notice and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but in no event later than 30 days after each vesting date, the Company shall deliver to the Participant a number of shares of Common Stock equal to the number of RSUs that vested on such date.</w:t>
      </w:r>
    </w:p>
    <w:p>
      <w:pPr>
        <w:spacing w:after="0" w:line="159" w:lineRule="exact"/>
        <w:rPr>
          <w:rFonts w:ascii="Times New Roman" w:cs="Times New Roman" w:eastAsia="Times New Roman" w:hAnsi="Times New Roman"/>
          <w:sz w:val="21"/>
          <w:szCs w:val="21"/>
          <w:color w:val="auto"/>
        </w:rPr>
      </w:pPr>
    </w:p>
    <w:p>
      <w:pPr>
        <w:jc w:val="both"/>
        <w:ind w:right="80" w:firstLine="865"/>
        <w:spacing w:after="0" w:line="256" w:lineRule="auto"/>
        <w:tabs>
          <w:tab w:leader="none" w:pos="1734"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1"/>
          <w:szCs w:val="21"/>
          <w:color w:val="auto"/>
        </w:rPr>
        <w:t xml:space="preserve"> A</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1"/>
          <w:szCs w:val="21"/>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1"/>
          <w:szCs w:val="21"/>
          <w:color w:val="auto"/>
        </w:rPr>
        <w:t xml:space="preserve"> C</w:t>
      </w:r>
      <w:r>
        <w:rPr>
          <w:rFonts w:ascii="Times New Roman" w:cs="Times New Roman" w:eastAsia="Times New Roman" w:hAnsi="Times New Roman"/>
          <w:sz w:val="14"/>
          <w:szCs w:val="14"/>
          <w:color w:val="auto"/>
        </w:rPr>
        <w:t>onditions for</w:t>
      </w:r>
    </w:p>
    <w:p>
      <w:pPr>
        <w:jc w:val="center"/>
        <w:ind w:right="-19"/>
        <w:spacing w:after="0"/>
        <w:rPr>
          <w:sz w:val="20"/>
          <w:szCs w:val="20"/>
          <w:color w:val="auto"/>
        </w:rPr>
      </w:pPr>
      <w:r>
        <w:rPr>
          <w:rFonts w:ascii="Times New Roman" w:cs="Times New Roman" w:eastAsia="Times New Roman" w:hAnsi="Times New Roman"/>
          <w:sz w:val="21"/>
          <w:szCs w:val="21"/>
          <w:color w:val="auto"/>
        </w:rPr>
        <w:t>R</w:t>
      </w:r>
      <w:r>
        <w:rPr>
          <w:rFonts w:ascii="Times New Roman" w:cs="Times New Roman" w:eastAsia="Times New Roman" w:hAnsi="Times New Roman"/>
          <w:sz w:val="14"/>
          <w:szCs w:val="14"/>
          <w:color w:val="auto"/>
        </w:rPr>
        <w:t>estricted</w:t>
      </w:r>
      <w:r>
        <w:rPr>
          <w:rFonts w:ascii="Times New Roman" w:cs="Times New Roman" w:eastAsia="Times New Roman" w:hAnsi="Times New Roman"/>
          <w:sz w:val="21"/>
          <w:szCs w:val="21"/>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1"/>
          <w:szCs w:val="21"/>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767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1" w:name="page32"/>
    <w:bookmarkEnd w:id="31"/>
    <w:p>
      <w:pPr>
        <w:jc w:val="both"/>
        <w:ind w:right="80" w:firstLine="865"/>
        <w:spacing w:after="0" w:line="256" w:lineRule="auto"/>
        <w:tabs>
          <w:tab w:leader="none" w:pos="1746"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59" w:lineRule="exact"/>
        <w:rPr>
          <w:rFonts w:ascii="Times New Roman" w:cs="Times New Roman" w:eastAsia="Times New Roman" w:hAnsi="Times New Roman"/>
          <w:sz w:val="21"/>
          <w:szCs w:val="21"/>
          <w:color w:val="auto"/>
        </w:rPr>
      </w:pPr>
    </w:p>
    <w:p>
      <w:pPr>
        <w:ind w:right="80" w:firstLine="865"/>
        <w:spacing w:after="0" w:line="274" w:lineRule="auto"/>
        <w:tabs>
          <w:tab w:leader="none" w:pos="1734"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Participant’s Termination of Employment for any other reason not set forth in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2(e)</w:t>
      </w:r>
      <w:r>
        <w:rPr>
          <w:rFonts w:ascii="Times New Roman" w:cs="Times New Roman" w:eastAsia="Times New Roman" w:hAnsi="Times New Roman"/>
          <w:sz w:val="21"/>
          <w:szCs w:val="21"/>
          <w:color w:val="auto"/>
        </w:rPr>
        <w:t xml:space="preserve"> any then Unvested RSUs held by the Participant shall be forfeited and canceled as of the Termination Date.</w:t>
      </w:r>
    </w:p>
    <w:p>
      <w:pPr>
        <w:spacing w:after="0" w:line="140" w:lineRule="exact"/>
        <w:rPr>
          <w:rFonts w:ascii="Times New Roman" w:cs="Times New Roman" w:eastAsia="Times New Roman" w:hAnsi="Times New Roman"/>
          <w:sz w:val="21"/>
          <w:szCs w:val="21"/>
          <w:color w:val="auto"/>
        </w:rPr>
      </w:pPr>
    </w:p>
    <w:p>
      <w:pPr>
        <w:ind w:left="1720" w:hanging="855"/>
        <w:spacing w:after="0"/>
        <w:tabs>
          <w:tab w:leader="none" w:pos="1720" w:val="left"/>
        </w:tabs>
        <w:numPr>
          <w:ilvl w:val="1"/>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w:t>
      </w:r>
    </w:p>
    <w:p>
      <w:pPr>
        <w:spacing w:after="0" w:line="205" w:lineRule="exact"/>
        <w:rPr>
          <w:rFonts w:ascii="Times New Roman" w:cs="Times New Roman" w:eastAsia="Times New Roman" w:hAnsi="Times New Roman"/>
          <w:sz w:val="21"/>
          <w:szCs w:val="21"/>
          <w:color w:val="auto"/>
        </w:rPr>
      </w:pPr>
    </w:p>
    <w:p>
      <w:pPr>
        <w:jc w:val="both"/>
        <w:ind w:firstLine="1734"/>
        <w:spacing w:after="0" w:line="242" w:lineRule="auto"/>
        <w:tabs>
          <w:tab w:leader="none" w:pos="2568"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0" w:lineRule="exact"/>
        <w:rPr>
          <w:rFonts w:ascii="Times New Roman" w:cs="Times New Roman" w:eastAsia="Times New Roman" w:hAnsi="Times New Roman"/>
          <w:sz w:val="21"/>
          <w:szCs w:val="21"/>
          <w:color w:val="auto"/>
        </w:rPr>
      </w:pPr>
    </w:p>
    <w:p>
      <w:pPr>
        <w:ind w:firstLine="1734"/>
        <w:spacing w:after="0" w:line="280" w:lineRule="auto"/>
        <w:tabs>
          <w:tab w:leader="none" w:pos="2627"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Involuntary Termination</w:t>
      </w:r>
      <w:r>
        <w:rPr>
          <w:rFonts w:ascii="Times New Roman" w:cs="Times New Roman" w:eastAsia="Times New Roman" w:hAnsi="Times New Roman"/>
          <w:sz w:val="21"/>
          <w:szCs w:val="21"/>
          <w:color w:val="auto"/>
        </w:rPr>
        <w:t>” means a Termination of Employment by the Company without Cause (and not as a result of death or Disability) or by the Participant for Good Reason.</w:t>
      </w:r>
    </w:p>
    <w:p>
      <w:pPr>
        <w:spacing w:after="0" w:line="128" w:lineRule="exact"/>
        <w:rPr>
          <w:rFonts w:ascii="Times New Roman" w:cs="Times New Roman" w:eastAsia="Times New Roman" w:hAnsi="Times New Roman"/>
          <w:sz w:val="21"/>
          <w:szCs w:val="21"/>
          <w:color w:val="auto"/>
        </w:rPr>
      </w:pPr>
    </w:p>
    <w:p>
      <w:pPr>
        <w:ind w:left="2700" w:hanging="966"/>
        <w:spacing w:after="0"/>
        <w:tabs>
          <w:tab w:leader="none" w:pos="2700" w:val="left"/>
        </w:tabs>
        <w:numPr>
          <w:ilvl w:val="2"/>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Date</w:t>
      </w:r>
      <w:r>
        <w:rPr>
          <w:rFonts w:ascii="Times New Roman" w:cs="Times New Roman" w:eastAsia="Times New Roman" w:hAnsi="Times New Roman"/>
          <w:sz w:val="21"/>
          <w:szCs w:val="21"/>
          <w:color w:val="auto"/>
        </w:rPr>
        <w:t>” means the date of the Participant’s Termination of Employment.</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ind w:left="860" w:hanging="854"/>
        <w:spacing w:after="0"/>
        <w:tabs>
          <w:tab w:leader="none" w:pos="860" w:val="left"/>
        </w:tabs>
        <w:numPr>
          <w:ilvl w:val="0"/>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STOCKHOLDER; DIVIDEND EQUIVALENTS</w:t>
      </w:r>
    </w:p>
    <w:p>
      <w:pPr>
        <w:spacing w:after="0" w:line="215" w:lineRule="exact"/>
        <w:rPr>
          <w:rFonts w:ascii="Times New Roman" w:cs="Times New Roman" w:eastAsia="Times New Roman" w:hAnsi="Times New Roman"/>
          <w:sz w:val="21"/>
          <w:szCs w:val="21"/>
          <w:b w:val="1"/>
          <w:bCs w:val="1"/>
          <w:color w:val="auto"/>
        </w:rPr>
      </w:pPr>
    </w:p>
    <w:p>
      <w:pPr>
        <w:jc w:val="both"/>
        <w:ind w:right="80" w:firstLine="865"/>
        <w:spacing w:after="0" w:line="256" w:lineRule="auto"/>
        <w:tabs>
          <w:tab w:leader="none" w:pos="173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59" w:lineRule="exact"/>
        <w:rPr>
          <w:rFonts w:ascii="Times New Roman" w:cs="Times New Roman" w:eastAsia="Times New Roman" w:hAnsi="Times New Roman"/>
          <w:sz w:val="21"/>
          <w:szCs w:val="21"/>
          <w:color w:val="auto"/>
        </w:rPr>
      </w:pPr>
    </w:p>
    <w:p>
      <w:pPr>
        <w:jc w:val="both"/>
        <w:ind w:right="80" w:firstLine="865"/>
        <w:spacing w:after="0" w:line="244" w:lineRule="auto"/>
        <w:tabs>
          <w:tab w:leader="none" w:pos="1746"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21"/>
          <w:szCs w:val="21"/>
          <w:color w:val="auto"/>
        </w:rPr>
        <w:t>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60" w:hanging="854"/>
        <w:spacing w:after="0"/>
        <w:tabs>
          <w:tab w:leader="none" w:pos="860"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RESTRICTIONS ON RESALES OF SHARES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377" w:lineRule="exact"/>
        <w:rPr>
          <w:sz w:val="20"/>
          <w:szCs w:val="20"/>
          <w:color w:val="auto"/>
        </w:rPr>
      </w:pPr>
    </w:p>
    <w:p>
      <w:pPr>
        <w:ind w:left="860" w:hanging="854"/>
        <w:spacing w:after="0"/>
        <w:tabs>
          <w:tab w:leader="none" w:pos="86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INCOME TAXES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368" w:lineRule="exact"/>
        <w:rPr>
          <w:sz w:val="20"/>
          <w:szCs w:val="20"/>
          <w:color w:val="auto"/>
        </w:rPr>
      </w:pPr>
    </w:p>
    <w:p>
      <w:pPr>
        <w:ind w:left="860" w:hanging="854"/>
        <w:spacing w:after="0"/>
        <w:tabs>
          <w:tab w:leader="none" w:pos="860"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NONTRANSFERABILITY­ OF AWARD</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368" w:lineRule="exact"/>
        <w:rPr>
          <w:sz w:val="20"/>
          <w:szCs w:val="20"/>
          <w:color w:val="auto"/>
        </w:rPr>
      </w:pPr>
    </w:p>
    <w:p>
      <w:pPr>
        <w:ind w:left="860" w:hanging="854"/>
        <w:spacing w:after="0"/>
        <w:tabs>
          <w:tab w:leader="none" w:pos="860" w:val="left"/>
        </w:tabs>
        <w:numPr>
          <w:ilvl w:val="0"/>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AGREEMENTS SUPERSEDED</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377" w:lineRule="exact"/>
        <w:rPr>
          <w:sz w:val="20"/>
          <w:szCs w:val="20"/>
          <w:color w:val="auto"/>
        </w:rPr>
      </w:pPr>
    </w:p>
    <w:p>
      <w:pPr>
        <w:ind w:left="860" w:hanging="854"/>
        <w:spacing w:after="0"/>
        <w:tabs>
          <w:tab w:leader="none" w:pos="860"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LIMITATION OF INTEREST IN SHARES SUBJECT TO RESTRICTED STOCK UNITS</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751" w:right="419" w:bottom="1440" w:gutter="0" w:footer="0" w:header="0"/>
        </w:sectPr>
      </w:pPr>
    </w:p>
    <w:bookmarkStart w:id="33" w:name="page34"/>
    <w:bookmarkEnd w:id="33"/>
    <w:p>
      <w:pPr>
        <w:ind w:left="860" w:hanging="854"/>
        <w:spacing w:after="0"/>
        <w:tabs>
          <w:tab w:leader="none" w:pos="860"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215" w:lineRule="exact"/>
        <w:rPr>
          <w:rFonts w:ascii="Times New Roman" w:cs="Times New Roman" w:eastAsia="Times New Roman" w:hAnsi="Times New Roman"/>
          <w:sz w:val="21"/>
          <w:szCs w:val="21"/>
          <w:b w:val="1"/>
          <w:bCs w:val="1"/>
          <w:color w:val="auto"/>
        </w:rPr>
      </w:pPr>
    </w:p>
    <w:p>
      <w:pPr>
        <w:jc w:val="both"/>
        <w:ind w:firstLine="865"/>
        <w:spacing w:after="0" w:line="250" w:lineRule="auto"/>
        <w:tabs>
          <w:tab w:leader="none" w:pos="173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5" w:lineRule="exact"/>
        <w:rPr>
          <w:rFonts w:ascii="Times New Roman" w:cs="Times New Roman" w:eastAsia="Times New Roman" w:hAnsi="Times New Roman"/>
          <w:sz w:val="21"/>
          <w:szCs w:val="21"/>
          <w:color w:val="auto"/>
        </w:rPr>
      </w:pPr>
    </w:p>
    <w:p>
      <w:pPr>
        <w:jc w:val="both"/>
        <w:ind w:firstLine="865"/>
        <w:spacing w:after="0" w:line="242" w:lineRule="auto"/>
        <w:tabs>
          <w:tab w:leader="none" w:pos="174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4" w:lineRule="exact"/>
        <w:rPr>
          <w:rFonts w:ascii="Times New Roman" w:cs="Times New Roman" w:eastAsia="Times New Roman" w:hAnsi="Times New Roman"/>
          <w:sz w:val="21"/>
          <w:szCs w:val="21"/>
          <w:color w:val="auto"/>
        </w:rPr>
      </w:pPr>
    </w:p>
    <w:p>
      <w:pPr>
        <w:ind w:firstLine="865"/>
        <w:spacing w:after="0" w:line="274" w:lineRule="auto"/>
        <w:tabs>
          <w:tab w:leader="none" w:pos="173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Standard Terms and Conditions shall inure to the benefit of and be binding upon the parties hereto and their respective permitted heirs, beneficiaries, successors and assigns.</w:t>
      </w:r>
    </w:p>
    <w:p>
      <w:pPr>
        <w:spacing w:after="0" w:line="140" w:lineRule="exact"/>
        <w:rPr>
          <w:rFonts w:ascii="Times New Roman" w:cs="Times New Roman" w:eastAsia="Times New Roman" w:hAnsi="Times New Roman"/>
          <w:sz w:val="21"/>
          <w:szCs w:val="21"/>
          <w:color w:val="auto"/>
        </w:rPr>
      </w:pPr>
    </w:p>
    <w:p>
      <w:pPr>
        <w:ind w:firstLine="865"/>
        <w:spacing w:after="0" w:line="274" w:lineRule="auto"/>
        <w:tabs>
          <w:tab w:leader="none" w:pos="1746"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Standard Terms and Conditions shall be construed in accordance with and governed by the laws of the State of Delaware, without regard to principles of conflicts of law.</w:t>
      </w:r>
    </w:p>
    <w:p>
      <w:pPr>
        <w:spacing w:after="0" w:line="140" w:lineRule="exact"/>
        <w:rPr>
          <w:rFonts w:ascii="Times New Roman" w:cs="Times New Roman" w:eastAsia="Times New Roman" w:hAnsi="Times New Roman"/>
          <w:sz w:val="21"/>
          <w:szCs w:val="21"/>
          <w:color w:val="auto"/>
        </w:rPr>
      </w:pPr>
    </w:p>
    <w:p>
      <w:pPr>
        <w:jc w:val="both"/>
        <w:ind w:firstLine="865"/>
        <w:spacing w:after="0" w:line="256" w:lineRule="auto"/>
        <w:tabs>
          <w:tab w:leader="none" w:pos="1734"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59" w:lineRule="exact"/>
        <w:rPr>
          <w:rFonts w:ascii="Times New Roman" w:cs="Times New Roman" w:eastAsia="Times New Roman" w:hAnsi="Times New Roman"/>
          <w:sz w:val="21"/>
          <w:szCs w:val="21"/>
          <w:color w:val="auto"/>
        </w:rPr>
      </w:pPr>
    </w:p>
    <w:p>
      <w:pPr>
        <w:ind w:firstLine="865"/>
        <w:spacing w:after="0" w:line="274" w:lineRule="auto"/>
        <w:tabs>
          <w:tab w:leader="none" w:pos="171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questions arising under the Plan or under these Standard Terms and Conditions shall be decided by the Committee in its total and absolute discretion.</w:t>
      </w:r>
    </w:p>
    <w:p>
      <w:pPr>
        <w:spacing w:after="0" w:line="349" w:lineRule="exact"/>
        <w:rPr>
          <w:rFonts w:ascii="Times New Roman" w:cs="Times New Roman" w:eastAsia="Times New Roman" w:hAnsi="Times New Roman"/>
          <w:sz w:val="21"/>
          <w:szCs w:val="21"/>
          <w:color w:val="auto"/>
        </w:rPr>
      </w:pPr>
    </w:p>
    <w:p>
      <w:pPr>
        <w:ind w:left="860" w:hanging="854"/>
        <w:spacing w:after="0"/>
        <w:tabs>
          <w:tab w:leader="none" w:pos="860"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ELECTRONIC DELIVERY</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747" w:right="41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 AND INVENTIONS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55" w:lineRule="exact"/>
        <w:rPr>
          <w:sz w:val="20"/>
          <w:szCs w:val="20"/>
          <w:color w:val="auto"/>
        </w:rPr>
      </w:pPr>
    </w:p>
    <w:p>
      <w:pPr>
        <w:ind w:left="800" w:hanging="794"/>
        <w:spacing w:after="0"/>
        <w:tabs>
          <w:tab w:leader="none" w:pos="80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8" w:lineRule="exact"/>
        <w:rPr>
          <w:sz w:val="20"/>
          <w:szCs w:val="20"/>
          <w:color w:val="auto"/>
        </w:rPr>
      </w:pPr>
    </w:p>
    <w:p>
      <w:pPr>
        <w:ind w:left="800" w:hanging="794"/>
        <w:spacing w:after="0"/>
        <w:tabs>
          <w:tab w:leader="none" w:pos="800"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2021 Equity Incentive Plan, as amended from time to time. For purposes of this Confidentiality and Inventions Agreement:</w:t>
      </w:r>
    </w:p>
    <w:p>
      <w:pPr>
        <w:spacing w:after="0" w:line="177" w:lineRule="exact"/>
        <w:rPr>
          <w:sz w:val="20"/>
          <w:szCs w:val="20"/>
          <w:color w:val="auto"/>
        </w:rPr>
      </w:pPr>
    </w:p>
    <w:p>
      <w:pPr>
        <w:jc w:val="both"/>
        <w:ind w:right="80" w:firstLine="865"/>
        <w:spacing w:after="0" w:line="244" w:lineRule="auto"/>
        <w:tabs>
          <w:tab w:leader="none" w:pos="173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i w:val="1"/>
          <w:iCs w:val="1"/>
          <w:color w:val="auto"/>
        </w:rPr>
        <w:t>Confidential Information</w:t>
      </w:r>
      <w:r>
        <w:rPr>
          <w:rFonts w:ascii="Times New Roman" w:cs="Times New Roman" w:eastAsia="Times New Roman" w:hAnsi="Times New Roman"/>
          <w:sz w:val="23"/>
          <w:szCs w:val="23"/>
          <w:color w:val="auto"/>
        </w:rPr>
        <w:t xml:space="preserve">”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3"/>
          <w:szCs w:val="23"/>
          <w:color w:val="auto"/>
        </w:rPr>
        <w:t xml:space="preserve">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3"/>
          <w:szCs w:val="23"/>
          <w:b w:val="1"/>
          <w:bCs w:val="1"/>
          <w:i w:val="1"/>
          <w:iCs w:val="1"/>
          <w:color w:val="auto"/>
        </w:rPr>
        <w:t>Company</w:t>
      </w:r>
      <w:r>
        <w:rPr>
          <w:rFonts w:ascii="Times New Roman" w:cs="Times New Roman" w:eastAsia="Times New Roman" w:hAnsi="Times New Roman"/>
          <w:sz w:val="23"/>
          <w:szCs w:val="23"/>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w:t>
      </w:r>
    </w:p>
    <w:p>
      <w:pPr>
        <w:jc w:val="both"/>
        <w:ind w:right="80" w:firstLine="6"/>
        <w:spacing w:after="0" w:line="244" w:lineRule="auto"/>
        <w:tabs>
          <w:tab w:leader="none" w:pos="312" w:val="left"/>
        </w:tabs>
        <w:numPr>
          <w:ilvl w:val="0"/>
          <w:numId w:val="23"/>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1"/>
          <w:szCs w:val="21"/>
          <w:color w:val="auto"/>
        </w:rPr>
        <w:t xml:space="preserve"> B</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1"/>
          <w:szCs w:val="21"/>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767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5" w:name="page36"/>
    <w:bookmarkEnd w:id="35"/>
    <w:p>
      <w:pPr>
        <w:jc w:val="both"/>
        <w:spacing w:after="0" w:line="248" w:lineRule="auto"/>
        <w:rPr>
          <w:sz w:val="20"/>
          <w:szCs w:val="20"/>
          <w:color w:val="auto"/>
        </w:rPr>
      </w:pPr>
      <w:r>
        <w:rPr>
          <w:rFonts w:ascii="Times New Roman" w:cs="Times New Roman" w:eastAsia="Times New Roman" w:hAnsi="Times New Roman"/>
          <w:sz w:val="23"/>
          <w:szCs w:val="23"/>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65" w:lineRule="exact"/>
        <w:rPr>
          <w:sz w:val="20"/>
          <w:szCs w:val="20"/>
          <w:color w:val="auto"/>
        </w:rPr>
      </w:pPr>
    </w:p>
    <w:p>
      <w:pPr>
        <w:jc w:val="both"/>
        <w:ind w:firstLine="865"/>
        <w:spacing w:after="0" w:line="248" w:lineRule="auto"/>
        <w:tabs>
          <w:tab w:leader="none" w:pos="174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w:t>
      </w:r>
      <w:r>
        <w:rPr>
          <w:rFonts w:ascii="Times New Roman" w:cs="Times New Roman" w:eastAsia="Times New Roman" w:hAnsi="Times New Roman"/>
          <w:sz w:val="23"/>
          <w:szCs w:val="23"/>
          <w:b w:val="1"/>
          <w:bCs w:val="1"/>
          <w:i w:val="1"/>
          <w:iCs w:val="1"/>
          <w:color w:val="auto"/>
        </w:rPr>
        <w:t>Work Product</w:t>
      </w:r>
      <w:r>
        <w:rPr>
          <w:rFonts w:ascii="Times New Roman" w:cs="Times New Roman" w:eastAsia="Times New Roman" w:hAnsi="Times New Roman"/>
          <w:sz w:val="23"/>
          <w:szCs w:val="23"/>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70" w:lineRule="exact"/>
        <w:rPr>
          <w:rFonts w:ascii="Times New Roman" w:cs="Times New Roman" w:eastAsia="Times New Roman" w:hAnsi="Times New Roman"/>
          <w:sz w:val="21"/>
          <w:szCs w:val="21"/>
          <w:color w:val="auto"/>
        </w:rPr>
      </w:pPr>
    </w:p>
    <w:p>
      <w:pPr>
        <w:ind w:left="800" w:hanging="794"/>
        <w:spacing w:after="0"/>
        <w:tabs>
          <w:tab w:leader="none" w:pos="800" w:val="left"/>
        </w:tabs>
        <w:numPr>
          <w:ilvl w:val="0"/>
          <w:numId w:val="2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CONFIDENTIALITY</w:t>
      </w:r>
    </w:p>
    <w:p>
      <w:pPr>
        <w:spacing w:after="0" w:line="210" w:lineRule="exact"/>
        <w:rPr>
          <w:rFonts w:ascii="Times New Roman" w:cs="Times New Roman" w:eastAsia="Times New Roman" w:hAnsi="Times New Roman"/>
          <w:sz w:val="21"/>
          <w:szCs w:val="21"/>
          <w:b w:val="1"/>
          <w:bCs w:val="1"/>
          <w:color w:val="auto"/>
        </w:rPr>
      </w:pPr>
    </w:p>
    <w:p>
      <w:pPr>
        <w:jc w:val="both"/>
        <w:ind w:firstLine="865"/>
        <w:spacing w:after="0" w:line="244" w:lineRule="auto"/>
        <w:tabs>
          <w:tab w:leader="none" w:pos="173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3"/>
          <w:szCs w:val="23"/>
          <w:b w:val="1"/>
          <w:bCs w:val="1"/>
          <w:i w:val="1"/>
          <w:iCs w:val="1"/>
          <w:color w:val="auto"/>
        </w:rPr>
        <w:t>Purchaser</w:t>
      </w:r>
      <w:r>
        <w:rPr>
          <w:rFonts w:ascii="Times New Roman" w:cs="Times New Roman" w:eastAsia="Times New Roman" w:hAnsi="Times New Roman"/>
          <w:sz w:val="23"/>
          <w:szCs w:val="23"/>
          <w:color w:val="auto"/>
        </w:rPr>
        <w:t>”) of all or substantially all of the assets of a business (“</w:t>
      </w:r>
      <w:r>
        <w:rPr>
          <w:rFonts w:ascii="Times New Roman" w:cs="Times New Roman" w:eastAsia="Times New Roman" w:hAnsi="Times New Roman"/>
          <w:sz w:val="23"/>
          <w:szCs w:val="23"/>
          <w:b w:val="1"/>
          <w:bCs w:val="1"/>
          <w:i w:val="1"/>
          <w:iCs w:val="1"/>
          <w:color w:val="auto"/>
        </w:rPr>
        <w:t>Business</w:t>
      </w:r>
      <w:r>
        <w:rPr>
          <w:rFonts w:ascii="Times New Roman" w:cs="Times New Roman" w:eastAsia="Times New Roman" w:hAnsi="Times New Roman"/>
          <w:sz w:val="23"/>
          <w:szCs w:val="23"/>
          <w:color w:val="auto"/>
        </w:rPr>
        <w:t>”) of Company (an “</w:t>
      </w:r>
      <w:r>
        <w:rPr>
          <w:rFonts w:ascii="Times New Roman" w:cs="Times New Roman" w:eastAsia="Times New Roman" w:hAnsi="Times New Roman"/>
          <w:sz w:val="23"/>
          <w:szCs w:val="23"/>
          <w:b w:val="1"/>
          <w:bCs w:val="1"/>
          <w:i w:val="1"/>
          <w:iCs w:val="1"/>
          <w:color w:val="auto"/>
        </w:rPr>
        <w:t>Acquisition</w:t>
      </w:r>
      <w:r>
        <w:rPr>
          <w:rFonts w:ascii="Times New Roman" w:cs="Times New Roman" w:eastAsia="Times New Roman" w:hAnsi="Times New Roman"/>
          <w:sz w:val="23"/>
          <w:szCs w:val="23"/>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1" w:lineRule="exact"/>
        <w:rPr>
          <w:rFonts w:ascii="Times New Roman" w:cs="Times New Roman" w:eastAsia="Times New Roman" w:hAnsi="Times New Roman"/>
          <w:sz w:val="21"/>
          <w:szCs w:val="21"/>
          <w:color w:val="auto"/>
        </w:rPr>
      </w:pPr>
    </w:p>
    <w:p>
      <w:pPr>
        <w:jc w:val="both"/>
        <w:ind w:firstLine="865"/>
        <w:spacing w:after="0" w:line="247" w:lineRule="auto"/>
        <w:tabs>
          <w:tab w:leader="none" w:pos="174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71" w:lineRule="exact"/>
        <w:rPr>
          <w:rFonts w:ascii="Times New Roman" w:cs="Times New Roman" w:eastAsia="Times New Roman" w:hAnsi="Times New Roman"/>
          <w:sz w:val="21"/>
          <w:szCs w:val="21"/>
          <w:color w:val="auto"/>
        </w:rPr>
      </w:pPr>
    </w:p>
    <w:p>
      <w:pPr>
        <w:jc w:val="both"/>
        <w:ind w:firstLine="865"/>
        <w:spacing w:after="0" w:line="244" w:lineRule="auto"/>
        <w:tabs>
          <w:tab w:leader="none" w:pos="1734"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u w:val="single" w:color="auto"/>
          <w:color w:val="auto"/>
        </w:rPr>
        <w:t>Trade Secrets Disclosure</w:t>
      </w:r>
      <w:r>
        <w:rPr>
          <w:rFonts w:ascii="Times New Roman" w:cs="Times New Roman" w:eastAsia="Times New Roman" w:hAnsi="Times New Roman"/>
          <w:sz w:val="23"/>
          <w:szCs w:val="23"/>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160"/>
          </w:cols>
          <w:pgMar w:left="320" w:top="747" w:right="419" w:bottom="1440" w:gutter="0" w:footer="0" w:header="0"/>
        </w:sectPr>
      </w:pPr>
    </w:p>
    <w:bookmarkStart w:id="36" w:name="page37"/>
    <w:bookmarkEnd w:id="36"/>
    <w:p>
      <w:pPr>
        <w:ind w:left="800" w:hanging="794"/>
        <w:spacing w:after="0"/>
        <w:tabs>
          <w:tab w:leader="none" w:pos="800" w:val="left"/>
        </w:tabs>
        <w:numPr>
          <w:ilvl w:val="0"/>
          <w:numId w:val="2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COMPANY PROPERTY</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7" w:lineRule="exact"/>
        <w:rPr>
          <w:sz w:val="20"/>
          <w:szCs w:val="20"/>
          <w:color w:val="auto"/>
        </w:rPr>
      </w:pPr>
    </w:p>
    <w:p>
      <w:pPr>
        <w:ind w:left="800" w:hanging="794"/>
        <w:spacing w:after="0"/>
        <w:tabs>
          <w:tab w:leader="none" w:pos="800" w:val="left"/>
        </w:tabs>
        <w:numPr>
          <w:ilvl w:val="0"/>
          <w:numId w:val="2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COMPANY WORK PRODUCT</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37" w:name="page38"/>
    <w:bookmarkEnd w:id="37"/>
    <w:p>
      <w:pPr>
        <w:jc w:val="both"/>
        <w:spacing w:after="0" w:line="241" w:lineRule="auto"/>
        <w:rPr>
          <w:sz w:val="20"/>
          <w:szCs w:val="20"/>
          <w:color w:val="auto"/>
        </w:rPr>
      </w:pPr>
      <w:r>
        <w:rPr>
          <w:rFonts w:ascii="Times New Roman" w:cs="Times New Roman" w:eastAsia="Times New Roman" w:hAnsi="Times New Roman"/>
          <w:sz w:val="21"/>
          <w:szCs w:val="21"/>
          <w:color w:val="auto"/>
        </w:rPr>
        <w:t>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2" w:lineRule="exact"/>
        <w:rPr>
          <w:sz w:val="20"/>
          <w:szCs w:val="20"/>
          <w:color w:val="auto"/>
        </w:rPr>
      </w:pPr>
    </w:p>
    <w:p>
      <w:pPr>
        <w:ind w:left="800" w:hanging="794"/>
        <w:spacing w:after="0"/>
        <w:tabs>
          <w:tab w:leader="none" w:pos="800"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 TO ASSIGNMENTS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64" w:lineRule="exact"/>
        <w:rPr>
          <w:sz w:val="20"/>
          <w:szCs w:val="20"/>
          <w:color w:val="auto"/>
        </w:rPr>
      </w:pPr>
    </w:p>
    <w:p>
      <w:pPr>
        <w:ind w:left="800" w:hanging="794"/>
        <w:spacing w:after="0"/>
        <w:tabs>
          <w:tab w:leader="none" w:pos="80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PRE-EMPLOYMENT WORK PRODUCT</w:t>
      </w:r>
    </w:p>
    <w:p>
      <w:pPr>
        <w:spacing w:after="0" w:line="210" w:lineRule="exact"/>
        <w:rPr>
          <w:rFonts w:ascii="Times New Roman" w:cs="Times New Roman" w:eastAsia="Times New Roman" w:hAnsi="Times New Roman"/>
          <w:sz w:val="21"/>
          <w:szCs w:val="21"/>
          <w:b w:val="1"/>
          <w:bCs w:val="1"/>
          <w:color w:val="auto"/>
        </w:rPr>
      </w:pPr>
    </w:p>
    <w:p>
      <w:pPr>
        <w:ind w:left="1740" w:hanging="875"/>
        <w:spacing w:after="0"/>
        <w:tabs>
          <w:tab w:leader="none" w:pos="1740"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Work Product includes only things done for the Company in performing work for the Company.</w:t>
      </w:r>
    </w:p>
    <w:p>
      <w:pPr>
        <w:spacing w:after="0" w:line="214" w:lineRule="exact"/>
        <w:rPr>
          <w:rFonts w:ascii="Times New Roman" w:cs="Times New Roman" w:eastAsia="Times New Roman" w:hAnsi="Times New Roman"/>
          <w:sz w:val="21"/>
          <w:szCs w:val="21"/>
          <w:color w:val="auto"/>
        </w:rPr>
      </w:pPr>
    </w:p>
    <w:p>
      <w:pPr>
        <w:jc w:val="both"/>
        <w:ind w:right="80" w:firstLine="865"/>
        <w:spacing w:after="0" w:line="245" w:lineRule="auto"/>
        <w:tabs>
          <w:tab w:leader="none" w:pos="174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3"/>
          <w:szCs w:val="23"/>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38" w:name="page39"/>
    <w:bookmarkEnd w:id="38"/>
    <w:p>
      <w:pPr>
        <w:ind w:left="800" w:hanging="794"/>
        <w:spacing w:after="0"/>
        <w:tabs>
          <w:tab w:leader="none" w:pos="800"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RECORDS</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61" w:lineRule="exact"/>
        <w:rPr>
          <w:sz w:val="20"/>
          <w:szCs w:val="20"/>
          <w:color w:val="auto"/>
        </w:rPr>
      </w:pPr>
    </w:p>
    <w:p>
      <w:pPr>
        <w:ind w:left="800" w:hanging="794"/>
        <w:spacing w:after="0"/>
        <w:tabs>
          <w:tab w:leader="none" w:pos="800" w:val="left"/>
        </w:tabs>
        <w:numPr>
          <w:ilvl w:val="0"/>
          <w:numId w:val="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PRESUMPTION</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61" w:lineRule="exact"/>
        <w:rPr>
          <w:sz w:val="20"/>
          <w:szCs w:val="20"/>
          <w:color w:val="auto"/>
        </w:rPr>
      </w:pPr>
    </w:p>
    <w:p>
      <w:pPr>
        <w:ind w:left="920" w:hanging="914"/>
        <w:spacing w:after="0"/>
        <w:tabs>
          <w:tab w:leader="none" w:pos="920" w:val="left"/>
        </w:tabs>
        <w:numPr>
          <w:ilvl w:val="0"/>
          <w:numId w:val="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AGREEMENTS WITH THIRD PARTIES OR THE U.S. GOVERNMENT.</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64" w:lineRule="exact"/>
        <w:rPr>
          <w:sz w:val="20"/>
          <w:szCs w:val="20"/>
          <w:color w:val="auto"/>
        </w:rPr>
      </w:pPr>
    </w:p>
    <w:p>
      <w:pPr>
        <w:ind w:left="900" w:hanging="894"/>
        <w:spacing w:after="0"/>
        <w:tabs>
          <w:tab w:leader="none" w:pos="900" w:val="left"/>
        </w:tabs>
        <w:numPr>
          <w:ilvl w:val="0"/>
          <w:numId w:val="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INJUNCTIVE RELIEF</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74" w:lineRule="exact"/>
        <w:rPr>
          <w:sz w:val="20"/>
          <w:szCs w:val="20"/>
          <w:color w:val="auto"/>
        </w:rPr>
      </w:pPr>
    </w:p>
    <w:p>
      <w:pPr>
        <w:ind w:left="920" w:hanging="914"/>
        <w:spacing w:after="0"/>
        <w:tabs>
          <w:tab w:leader="none" w:pos="920" w:val="left"/>
        </w:tabs>
        <w:numPr>
          <w:ilvl w:val="0"/>
          <w:numId w:val="3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DISCLOSURE OF OBLIGATIONS</w:t>
      </w:r>
    </w:p>
    <w:p>
      <w:pPr>
        <w:spacing w:after="0" w:line="21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1"/>
          <w:szCs w:val="21"/>
          <w:color w:val="auto"/>
        </w:rPr>
        <w:t>The Participant is hereby permitted and the Participant authorizes the Company to provide a copy of this Confidentiality and Inventions Agreement and any exhibits hereto to any of the Participant’s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39" w:name="page40"/>
    <w:bookmarkEnd w:id="39"/>
    <w:p>
      <w:pPr>
        <w:spacing w:after="0" w:line="274" w:lineRule="auto"/>
        <w:rPr>
          <w:sz w:val="20"/>
          <w:szCs w:val="20"/>
          <w:color w:val="auto"/>
        </w:rPr>
      </w:pPr>
      <w:r>
        <w:rPr>
          <w:rFonts w:ascii="Times New Roman" w:cs="Times New Roman" w:eastAsia="Times New Roman" w:hAnsi="Times New Roman"/>
          <w:sz w:val="21"/>
          <w:szCs w:val="21"/>
          <w:color w:val="auto"/>
        </w:rPr>
        <w:t>future employers, and to notify any such future employers of the Participant’s obligations and the Company’s rights hereunder, provided that neither party is under any obligation to do so.</w:t>
      </w:r>
    </w:p>
    <w:p>
      <w:pPr>
        <w:spacing w:after="0" w:line="137" w:lineRule="exact"/>
        <w:rPr>
          <w:sz w:val="20"/>
          <w:szCs w:val="20"/>
          <w:color w:val="auto"/>
        </w:rPr>
      </w:pPr>
    </w:p>
    <w:p>
      <w:pPr>
        <w:ind w:left="920" w:hanging="914"/>
        <w:spacing w:after="0"/>
        <w:tabs>
          <w:tab w:leader="none" w:pos="920" w:val="left"/>
        </w:tabs>
        <w:numPr>
          <w:ilvl w:val="0"/>
          <w:numId w:val="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JURISDICTION AND VENUE</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68" w:lineRule="exact"/>
        <w:rPr>
          <w:sz w:val="20"/>
          <w:szCs w:val="20"/>
          <w:color w:val="auto"/>
        </w:rPr>
      </w:pPr>
    </w:p>
    <w:p>
      <w:pPr>
        <w:ind w:left="920" w:hanging="914"/>
        <w:spacing w:after="0"/>
        <w:tabs>
          <w:tab w:leader="none" w:pos="920"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ASSIGNMENT; INUREMENT</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68" w:lineRule="exact"/>
        <w:rPr>
          <w:sz w:val="20"/>
          <w:szCs w:val="20"/>
          <w:color w:val="auto"/>
        </w:rPr>
      </w:pPr>
    </w:p>
    <w:p>
      <w:pPr>
        <w:ind w:left="920" w:hanging="914"/>
        <w:spacing w:after="0"/>
        <w:tabs>
          <w:tab w:leader="none" w:pos="920" w:val="left"/>
        </w:tabs>
        <w:numPr>
          <w:ilvl w:val="0"/>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SURVIVORSHIP</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color w:val="auto"/>
        </w:rPr>
        <w:t>The rights and obligations of the parties to this Confidentiality and Inventions Agreement will survive termination of my employment with the Company.</w:t>
      </w:r>
    </w:p>
    <w:p>
      <w:pPr>
        <w:spacing w:after="0" w:line="137" w:lineRule="exact"/>
        <w:rPr>
          <w:sz w:val="20"/>
          <w:szCs w:val="20"/>
          <w:color w:val="auto"/>
        </w:rPr>
      </w:pPr>
    </w:p>
    <w:p>
      <w:pPr>
        <w:ind w:left="920" w:hanging="914"/>
        <w:spacing w:after="0"/>
        <w:tabs>
          <w:tab w:leader="none" w:pos="920" w:val="left"/>
        </w:tabs>
        <w:numPr>
          <w:ilvl w:val="0"/>
          <w:numId w:val="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68" w:lineRule="exact"/>
        <w:rPr>
          <w:sz w:val="20"/>
          <w:szCs w:val="20"/>
          <w:color w:val="auto"/>
        </w:rPr>
      </w:pPr>
    </w:p>
    <w:p>
      <w:pPr>
        <w:ind w:left="920" w:hanging="914"/>
        <w:spacing w:after="0"/>
        <w:tabs>
          <w:tab w:leader="none" w:pos="920" w:val="left"/>
        </w:tabs>
        <w:numPr>
          <w:ilvl w:val="0"/>
          <w:numId w:val="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ACKNOWLEDGMENT</w:t>
      </w:r>
    </w:p>
    <w:p>
      <w:pPr>
        <w:spacing w:after="0" w:line="122"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40" w:name="page41"/>
    <w:bookmarkEnd w:id="40"/>
    <w:p>
      <w:pPr>
        <w:spacing w:after="0" w:line="274" w:lineRule="auto"/>
        <w:rPr>
          <w:sz w:val="20"/>
          <w:szCs w:val="20"/>
          <w:color w:val="auto"/>
        </w:rPr>
      </w:pPr>
      <w:r>
        <w:rPr>
          <w:rFonts w:ascii="Times New Roman" w:cs="Times New Roman" w:eastAsia="Times New Roman" w:hAnsi="Times New Roman"/>
          <w:sz w:val="21"/>
          <w:szCs w:val="21"/>
          <w:color w:val="auto"/>
        </w:rPr>
        <w:t>AGREEMENT. THIS CONFIDENTIALITY AND INVENTIONS AGREEMENT SHALL NOT BE CONSTRUED AGAINST ANY PARTY BY REASON OF THE DRAFTING OR PREPARATION HEREOF.</w:t>
      </w:r>
    </w:p>
    <w:p>
      <w:pPr>
        <w:spacing w:after="0" w:line="1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B-7</w:t>
      </w:r>
    </w:p>
    <w:p>
      <w:pPr>
        <w:sectPr>
          <w:pgSz w:w="11900" w:h="16838" w:orient="portrait"/>
          <w:cols w:equalWidth="0" w:num="1">
            <w:col w:w="11160"/>
          </w:cols>
          <w:pgMar w:left="320" w:top="658" w:right="419" w:bottom="1440" w:gutter="0" w:footer="0" w:header="0"/>
        </w:sectPr>
      </w:pPr>
    </w:p>
    <w:bookmarkStart w:id="41" w:name="page42"/>
    <w:bookmarkEnd w:id="41"/>
    <w:p>
      <w:pPr>
        <w:ind w:left="956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PETCO HEALTH AND WELLNESS COMPANY, INC.</w:t>
      </w:r>
    </w:p>
    <w:p>
      <w:pPr>
        <w:jc w:val="center"/>
        <w:ind w:right="20"/>
        <w:spacing w:after="0" w:line="238" w:lineRule="auto"/>
        <w:rPr>
          <w:sz w:val="20"/>
          <w:szCs w:val="20"/>
          <w:color w:val="auto"/>
        </w:rPr>
      </w:pPr>
      <w:r>
        <w:rPr>
          <w:rFonts w:ascii="Times New Roman" w:cs="Times New Roman" w:eastAsia="Times New Roman" w:hAnsi="Times New Roman"/>
          <w:sz w:val="21"/>
          <w:szCs w:val="21"/>
          <w:b w:val="1"/>
          <w:bCs w:val="1"/>
          <w:color w:val="auto"/>
        </w:rPr>
        <w:t>2021 EQUITY INCENTIVE PLAN</w:t>
      </w:r>
    </w:p>
    <w:p>
      <w:pPr>
        <w:jc w:val="center"/>
        <w:ind w:right="20"/>
        <w:spacing w:after="0" w:line="238" w:lineRule="auto"/>
        <w:rPr>
          <w:sz w:val="20"/>
          <w:szCs w:val="20"/>
          <w:color w:val="auto"/>
        </w:rPr>
      </w:pPr>
      <w:r>
        <w:rPr>
          <w:rFonts w:ascii="Times New Roman" w:cs="Times New Roman" w:eastAsia="Times New Roman" w:hAnsi="Times New Roman"/>
          <w:sz w:val="21"/>
          <w:szCs w:val="21"/>
          <w:b w:val="1"/>
          <w:bCs w:val="1"/>
          <w:color w:val="auto"/>
        </w:rPr>
        <w:t>GRANT NOTICE FOR</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PERFORMANCE STOCK UNIT AWARD</w:t>
      </w:r>
    </w:p>
    <w:p>
      <w:pPr>
        <w:spacing w:after="0" w:line="22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1"/>
          <w:szCs w:val="21"/>
          <w:color w:val="auto"/>
        </w:rPr>
        <w:t>FOR GOOD AND VALUABLE CONSIDERATION, 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to the Participant named below the target number of performance stock units (the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specified below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as performance-based Restricted Stock Units under the Petco Health and Wellness Company, Inc. 2021 Equity Incentive Plan (as amended from time to time,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xml:space="preserve">”). Each Earned PSU represents the right to receive one share of Common Stock, upon the terms and subject to the conditions set forth in this Grant Notice (including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Plan and the Standard Terms and Conditions (the “</w:t>
      </w:r>
      <w:r>
        <w:rPr>
          <w:rFonts w:ascii="Times New Roman" w:cs="Times New Roman" w:eastAsia="Times New Roman" w:hAnsi="Times New Roman"/>
          <w:sz w:val="21"/>
          <w:szCs w:val="21"/>
          <w:b w:val="1"/>
          <w:bCs w:val="1"/>
          <w:i w:val="1"/>
          <w:iCs w:val="1"/>
          <w:color w:val="auto"/>
        </w:rPr>
        <w:t>Standard Terms and Conditions</w:t>
      </w:r>
      <w:r>
        <w:rPr>
          <w:rFonts w:ascii="Times New Roman" w:cs="Times New Roman" w:eastAsia="Times New Roman" w:hAnsi="Times New Roman"/>
          <w:sz w:val="21"/>
          <w:szCs w:val="21"/>
          <w:color w:val="auto"/>
        </w:rPr>
        <w:t xml:space="preserve">”) promulgated under such Plan and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the Confidentiality and Inventions Agreement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357"/>
        </w:trPr>
        <w:tc>
          <w:tcPr>
            <w:tcW w:w="40" w:type="dxa"/>
            <w:vAlign w:val="bottom"/>
            <w:tcBorders>
              <w:right w:val="single" w:sz="8" w:color="auto"/>
            </w:tcBorders>
          </w:tcPr>
          <w:p>
            <w:pPr>
              <w:spacing w:after="0"/>
              <w:rPr>
                <w:sz w:val="24"/>
                <w:szCs w:val="24"/>
                <w:color w:val="auto"/>
              </w:rPr>
            </w:pPr>
          </w:p>
        </w:tc>
        <w:tc>
          <w:tcPr>
            <w:tcW w:w="26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Name of Participant:</w:t>
            </w:r>
          </w:p>
        </w:tc>
        <w:tc>
          <w:tcPr>
            <w:tcW w:w="35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0" w:type="dxa"/>
            <w:vAlign w:val="bottom"/>
            <w:tcBorders>
              <w:top w:val="single" w:sz="8" w:color="auto"/>
              <w:right w:val="single" w:sz="8" w:color="auto"/>
            </w:tcBorders>
          </w:tcPr>
          <w:p>
            <w:pPr>
              <w:spacing w:after="0"/>
              <w:rPr>
                <w:sz w:val="24"/>
                <w:szCs w:val="24"/>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Grant Date:</w:t>
            </w:r>
          </w:p>
        </w:tc>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Borders>
              <w:right w:val="single" w:sz="8" w:color="auto"/>
            </w:tcBorders>
          </w:tcPr>
          <w:p>
            <w:pPr>
              <w:spacing w:after="0"/>
              <w:rPr>
                <w:sz w:val="24"/>
                <w:szCs w:val="24"/>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Target Number of PSUs:</w:t>
            </w:r>
          </w:p>
        </w:tc>
        <w:tc>
          <w:tcPr>
            <w:tcW w:w="8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i w:val="1"/>
                <w:iCs w:val="1"/>
                <w:color w:val="auto"/>
              </w:rPr>
              <w:t>Target PSUs</w:t>
            </w:r>
            <w:r>
              <w:rPr>
                <w:rFonts w:ascii="Times New Roman" w:cs="Times New Roman" w:eastAsia="Times New Roman" w:hAnsi="Times New Roman"/>
                <w:sz w:val="21"/>
                <w:szCs w:val="21"/>
                <w:color w:val="auto"/>
              </w:rPr>
              <w:t>”)</w:t>
            </w:r>
          </w:p>
        </w:tc>
      </w:tr>
      <w:tr>
        <w:trPr>
          <w:trHeight w:val="82"/>
        </w:trPr>
        <w:tc>
          <w:tcPr>
            <w:tcW w:w="40" w:type="dxa"/>
            <w:vAlign w:val="bottom"/>
            <w:tcBorders>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r>
      <w:tr>
        <w:trPr>
          <w:trHeight w:val="273"/>
        </w:trPr>
        <w:tc>
          <w:tcPr>
            <w:tcW w:w="40" w:type="dxa"/>
            <w:vAlign w:val="bottom"/>
            <w:tcBorders>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Award Type:</w:t>
            </w:r>
          </w:p>
        </w:tc>
        <w:tc>
          <w:tcPr>
            <w:tcW w:w="8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The Award represents the right to receive shares of Common Stock in an amount from [●]% to</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 of the Target PSUs. The Award shall vest and become earned and nonforfeitable upon (i) the</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Participant’s satisfaction of the Service Requirement (as defined below) and (ii) the Committee’s</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certification of the final level of achievement of the Performance Goals (as defined below). PSUs</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that become earned upon satisfaction of the Service Requirement and the Performance Goals are</w:t>
            </w:r>
          </w:p>
        </w:tc>
      </w:tr>
      <w:tr>
        <w:trPr>
          <w:trHeight w:val="284"/>
        </w:trPr>
        <w:tc>
          <w:tcPr>
            <w:tcW w:w="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8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referred to herein as “</w:t>
            </w:r>
            <w:r>
              <w:rPr>
                <w:rFonts w:ascii="Times New Roman" w:cs="Times New Roman" w:eastAsia="Times New Roman" w:hAnsi="Times New Roman"/>
                <w:sz w:val="21"/>
                <w:szCs w:val="21"/>
                <w:b w:val="1"/>
                <w:bCs w:val="1"/>
                <w:i w:val="1"/>
                <w:iCs w:val="1"/>
                <w:color w:val="auto"/>
              </w:rPr>
              <w:t>Earned PSUs</w:t>
            </w:r>
            <w:r>
              <w:rPr>
                <w:rFonts w:ascii="Times New Roman" w:cs="Times New Roman" w:eastAsia="Times New Roman" w:hAnsi="Times New Roman"/>
                <w:sz w:val="21"/>
                <w:szCs w:val="21"/>
                <w:color w:val="auto"/>
              </w:rPr>
              <w:t>.”</w:t>
            </w:r>
          </w:p>
        </w:tc>
      </w:tr>
      <w:tr>
        <w:trPr>
          <w:trHeight w:val="76"/>
        </w:trPr>
        <w:tc>
          <w:tcPr>
            <w:tcW w:w="40" w:type="dxa"/>
            <w:vAlign w:val="bottom"/>
            <w:tcBorders>
              <w:right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0" w:type="dxa"/>
            <w:vAlign w:val="bottom"/>
            <w:tcBorders>
              <w:bottom w:val="single" w:sz="8" w:color="auto"/>
              <w:right w:val="single" w:sz="8" w:color="auto"/>
            </w:tcBorders>
          </w:tcPr>
          <w:p>
            <w:pPr>
              <w:spacing w:after="0"/>
              <w:rPr>
                <w:sz w:val="6"/>
                <w:szCs w:val="6"/>
                <w:color w:val="auto"/>
              </w:rPr>
            </w:pPr>
          </w:p>
        </w:tc>
      </w:tr>
      <w:tr>
        <w:trPr>
          <w:trHeight w:val="337"/>
        </w:trPr>
        <w:tc>
          <w:tcPr>
            <w:tcW w:w="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Performance Period:</w:t>
            </w:r>
          </w:p>
        </w:tc>
        <w:tc>
          <w:tcPr>
            <w:tcW w:w="3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0" w:type="dxa"/>
            <w:vAlign w:val="bottom"/>
            <w:tcBorders>
              <w:right w:val="single" w:sz="8" w:color="auto"/>
            </w:tcBorders>
          </w:tcPr>
          <w:p>
            <w:pPr>
              <w:spacing w:after="0"/>
              <w:rPr>
                <w:sz w:val="24"/>
                <w:szCs w:val="24"/>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35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200" w:type="dxa"/>
            <w:vAlign w:val="bottom"/>
            <w:tcBorders>
              <w:bottom w:val="single" w:sz="8" w:color="auto"/>
              <w:right w:val="single" w:sz="8" w:color="auto"/>
            </w:tcBorders>
          </w:tcPr>
          <w:p>
            <w:pPr>
              <w:spacing w:after="0"/>
              <w:rPr>
                <w:sz w:val="7"/>
                <w:szCs w:val="7"/>
                <w:color w:val="auto"/>
              </w:rPr>
            </w:pPr>
          </w:p>
        </w:tc>
      </w:tr>
      <w:tr>
        <w:trPr>
          <w:trHeight w:val="273"/>
        </w:trPr>
        <w:tc>
          <w:tcPr>
            <w:tcW w:w="40" w:type="dxa"/>
            <w:vAlign w:val="bottom"/>
            <w:tcBorders>
              <w:right w:val="single" w:sz="8" w:color="auto"/>
            </w:tcBorders>
          </w:tcPr>
          <w:p>
            <w:pPr>
              <w:spacing w:after="0"/>
              <w:rPr>
                <w:sz w:val="23"/>
                <w:szCs w:val="23"/>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Service Requirement:</w:t>
            </w:r>
          </w:p>
        </w:tc>
        <w:tc>
          <w:tcPr>
            <w:tcW w:w="8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Except as otherwise provided in the Standard Terms and Conditions, the Participant must remain</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continuously employed by or providing services to the Company or its Subsidiaries from the Grant</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Date through the date following the end of the Performance Period when the Committee certifies</w:t>
            </w:r>
          </w:p>
        </w:tc>
      </w:tr>
      <w:tr>
        <w:trPr>
          <w:trHeight w:val="213"/>
        </w:trPr>
        <w:tc>
          <w:tcPr>
            <w:tcW w:w="4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8560" w:type="dxa"/>
            <w:vAlign w:val="bottom"/>
            <w:tcBorders>
              <w:right w:val="single" w:sz="8" w:color="auto"/>
            </w:tcBorders>
            <w:gridSpan w:val="3"/>
          </w:tcPr>
          <w:p>
            <w:pPr>
              <w:spacing w:after="0" w:line="213" w:lineRule="exact"/>
              <w:rPr>
                <w:sz w:val="20"/>
                <w:szCs w:val="20"/>
                <w:color w:val="auto"/>
              </w:rPr>
            </w:pPr>
            <w:r>
              <w:rPr>
                <w:rFonts w:ascii="Times New Roman" w:cs="Times New Roman" w:eastAsia="Times New Roman" w:hAnsi="Times New Roman"/>
                <w:sz w:val="21"/>
                <w:szCs w:val="21"/>
                <w:color w:val="auto"/>
              </w:rPr>
              <w:t>the final achievement of the Performance Goals (such date the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and such condition,</w:t>
            </w:r>
          </w:p>
        </w:tc>
      </w:tr>
      <w:tr>
        <w:trPr>
          <w:trHeight w:val="284"/>
        </w:trPr>
        <w:tc>
          <w:tcPr>
            <w:tcW w:w="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4"/>
                <w:szCs w:val="24"/>
                <w:color w:val="auto"/>
              </w:rPr>
            </w:pPr>
          </w:p>
        </w:tc>
        <w:tc>
          <w:tcPr>
            <w:tcW w:w="8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Service Requirement</w:t>
            </w:r>
            <w:r>
              <w:rPr>
                <w:rFonts w:ascii="Times New Roman" w:cs="Times New Roman" w:eastAsia="Times New Roman" w:hAnsi="Times New Roman"/>
                <w:sz w:val="21"/>
                <w:szCs w:val="21"/>
                <w:color w:val="auto"/>
              </w:rPr>
              <w:t>”).</w:t>
            </w:r>
          </w:p>
        </w:tc>
      </w:tr>
      <w:tr>
        <w:trPr>
          <w:trHeight w:val="76"/>
        </w:trPr>
        <w:tc>
          <w:tcPr>
            <w:tcW w:w="40" w:type="dxa"/>
            <w:vAlign w:val="bottom"/>
            <w:tcBorders>
              <w:right w:val="single" w:sz="8" w:color="auto"/>
            </w:tcBorders>
          </w:tcPr>
          <w:p>
            <w:pPr>
              <w:spacing w:after="0"/>
              <w:rPr>
                <w:sz w:val="6"/>
                <w:szCs w:val="6"/>
                <w:color w:val="auto"/>
              </w:rPr>
            </w:pPr>
          </w:p>
        </w:tc>
        <w:tc>
          <w:tcPr>
            <w:tcW w:w="2660" w:type="dxa"/>
            <w:vAlign w:val="bottom"/>
            <w:tcBorders>
              <w:bottom w:val="single" w:sz="8" w:color="auto"/>
              <w:right w:val="single" w:sz="8" w:color="auto"/>
            </w:tcBorders>
          </w:tcPr>
          <w:p>
            <w:pPr>
              <w:spacing w:after="0"/>
              <w:rPr>
                <w:sz w:val="6"/>
                <w:szCs w:val="6"/>
                <w:color w:val="auto"/>
              </w:rPr>
            </w:pPr>
          </w:p>
        </w:tc>
        <w:tc>
          <w:tcPr>
            <w:tcW w:w="3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200" w:type="dxa"/>
            <w:vAlign w:val="bottom"/>
            <w:tcBorders>
              <w:bottom w:val="single" w:sz="8" w:color="auto"/>
              <w:right w:val="single" w:sz="8" w:color="auto"/>
            </w:tcBorders>
          </w:tcPr>
          <w:p>
            <w:pPr>
              <w:spacing w:after="0"/>
              <w:rPr>
                <w:sz w:val="6"/>
                <w:szCs w:val="6"/>
                <w:color w:val="auto"/>
              </w:rPr>
            </w:pPr>
          </w:p>
        </w:tc>
      </w:tr>
      <w:tr>
        <w:trPr>
          <w:trHeight w:val="286"/>
        </w:trPr>
        <w:tc>
          <w:tcPr>
            <w:tcW w:w="4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Performance Goals:</w:t>
            </w:r>
          </w:p>
        </w:tc>
        <w:tc>
          <w:tcPr>
            <w:tcW w:w="856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i w:val="1"/>
                <w:iCs w:val="1"/>
                <w:color w:val="auto"/>
              </w:rPr>
              <w:t>Performance Goals</w:t>
            </w:r>
            <w:r>
              <w:rPr>
                <w:rFonts w:ascii="Times New Roman" w:cs="Times New Roman" w:eastAsia="Times New Roman" w:hAnsi="Times New Roman"/>
                <w:sz w:val="21"/>
                <w:szCs w:val="21"/>
                <w:color w:val="auto"/>
              </w:rPr>
              <w:t>” is set forth on Exhibit C attached hereto.</w:t>
            </w:r>
          </w:p>
        </w:tc>
      </w:tr>
      <w:tr>
        <w:trPr>
          <w:trHeight w:val="166"/>
        </w:trPr>
        <w:tc>
          <w:tcPr>
            <w:tcW w:w="40" w:type="dxa"/>
            <w:vAlign w:val="bottom"/>
            <w:tcBorders>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4200" w:type="dxa"/>
            <w:vAlign w:val="bottom"/>
            <w:tcBorders>
              <w:bottom w:val="single" w:sz="8" w:color="auto"/>
              <w:right w:val="single" w:sz="8" w:color="auto"/>
            </w:tcBorders>
          </w:tcPr>
          <w:p>
            <w:pPr>
              <w:spacing w:after="0"/>
              <w:rPr>
                <w:sz w:val="14"/>
                <w:szCs w:val="14"/>
                <w:color w:val="auto"/>
              </w:rPr>
            </w:pPr>
          </w:p>
        </w:tc>
      </w:tr>
      <w:tr>
        <w:trPr>
          <w:trHeight w:val="825"/>
        </w:trPr>
        <w:tc>
          <w:tcPr>
            <w:tcW w:w="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08" w:right="319" w:bottom="1440" w:gutter="0" w:footer="0" w:header="0"/>
        </w:sectPr>
      </w:pPr>
    </w:p>
    <w:bookmarkStart w:id="42" w:name="page43"/>
    <w:bookmarkEnd w:id="42"/>
    <w:p>
      <w:pPr>
        <w:jc w:val="both"/>
        <w:spacing w:after="0" w:line="245" w:lineRule="auto"/>
        <w:rPr>
          <w:sz w:val="20"/>
          <w:szCs w:val="20"/>
          <w:color w:val="auto"/>
        </w:rPr>
      </w:pPr>
      <w:r>
        <w:rPr>
          <w:rFonts w:ascii="Times New Roman" w:cs="Times New Roman" w:eastAsia="Times New Roman" w:hAnsi="Times New Roman"/>
          <w:sz w:val="21"/>
          <w:szCs w:val="21"/>
          <w:color w:val="auto"/>
        </w:rPr>
        <w:t>IN ORDER TO RECEIVE THE BENEFITS OF THIS AGREEMENT, PARTICIPANT MUST EXECUTE AND RETURN THIS GRANT NOTICE (THE “</w:t>
      </w:r>
      <w:r>
        <w:rPr>
          <w:rFonts w:ascii="Times New Roman" w:cs="Times New Roman" w:eastAsia="Times New Roman" w:hAnsi="Times New Roman"/>
          <w:sz w:val="21"/>
          <w:szCs w:val="21"/>
          <w:b w:val="1"/>
          <w:bCs w:val="1"/>
          <w:i w:val="1"/>
          <w:iCs w:val="1"/>
          <w:color w:val="auto"/>
        </w:rPr>
        <w:t>ACCEPTANCE REQUIREMENTS</w:t>
      </w:r>
      <w:r>
        <w:rPr>
          <w:rFonts w:ascii="Times New Roman" w:cs="Times New Roman" w:eastAsia="Times New Roman" w:hAnsi="Times New Roman"/>
          <w:sz w:val="21"/>
          <w:szCs w:val="21"/>
          <w:color w:val="auto"/>
        </w:rPr>
        <w:t>”). IF YOU FAIL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By accepting this Grant Notice, Participant acknowledges that Participant has received and read, and agrees that this Award shall be subject to, the terms of this Grant Notice (including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Plan, and the Standard Terms and Conditions and the Confidentiality and Inventions Agreement.</w:t>
      </w:r>
    </w:p>
    <w:p>
      <w:pPr>
        <w:spacing w:after="0" w:line="200" w:lineRule="exact"/>
        <w:rPr>
          <w:sz w:val="20"/>
          <w:szCs w:val="20"/>
          <w:color w:val="auto"/>
        </w:rPr>
      </w:pPr>
    </w:p>
    <w:p>
      <w:pPr>
        <w:spacing w:after="0" w:line="2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16510</wp:posOffset>
            </wp:positionV>
            <wp:extent cx="2950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50210" cy="8255"/>
                    </a:xfrm>
                    <a:prstGeom prst="rect">
                      <a:avLst/>
                    </a:prstGeom>
                    <a:noFill/>
                  </pic:spPr>
                </pic:pic>
              </a:graphicData>
            </a:graphic>
          </wp:anchor>
        </w:drawing>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w:t>
      </w:r>
    </w:p>
    <w:p>
      <w:pPr>
        <w:ind w:left="5620"/>
        <w:spacing w:after="0"/>
        <w:rPr>
          <w:sz w:val="20"/>
          <w:szCs w:val="20"/>
          <w:color w:val="auto"/>
        </w:rPr>
      </w:pPr>
      <w:r>
        <w:rPr>
          <w:rFonts w:ascii="Times New Roman" w:cs="Times New Roman" w:eastAsia="Times New Roman" w:hAnsi="Times New Roman"/>
          <w:sz w:val="21"/>
          <w:szCs w:val="21"/>
          <w:color w:val="auto"/>
        </w:rPr>
        <w:t>Title:</w:t>
      </w: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16510</wp:posOffset>
            </wp:positionV>
            <wp:extent cx="2899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9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21"/>
          <w:szCs w:val="21"/>
          <w:color w:val="auto"/>
        </w:rPr>
        <w:t xml:space="preserve"> P</w:t>
      </w:r>
      <w:r>
        <w:rPr>
          <w:rFonts w:ascii="Times New Roman" w:cs="Times New Roman" w:eastAsia="Times New Roman" w:hAnsi="Times New Roman"/>
          <w:sz w:val="14"/>
          <w:szCs w:val="14"/>
          <w:color w:val="auto"/>
        </w:rPr>
        <w:t>age to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G</w:t>
      </w:r>
      <w:r>
        <w:rPr>
          <w:rFonts w:ascii="Times New Roman" w:cs="Times New Roman" w:eastAsia="Times New Roman" w:hAnsi="Times New Roman"/>
          <w:sz w:val="14"/>
          <w:szCs w:val="14"/>
          <w:color w:val="auto"/>
        </w:rPr>
        <w:t>rant</w:t>
      </w:r>
      <w:r>
        <w:rPr>
          <w:rFonts w:ascii="Times New Roman" w:cs="Times New Roman" w:eastAsia="Times New Roman" w:hAnsi="Times New Roman"/>
          <w:sz w:val="21"/>
          <w:szCs w:val="21"/>
          <w:color w:val="auto"/>
        </w:rPr>
        <w:t xml:space="preserve"> N</w:t>
      </w:r>
      <w:r>
        <w:rPr>
          <w:rFonts w:ascii="Times New Roman" w:cs="Times New Roman" w:eastAsia="Times New Roman" w:hAnsi="Times New Roman"/>
          <w:sz w:val="14"/>
          <w:szCs w:val="14"/>
          <w:color w:val="auto"/>
        </w:rPr>
        <w:t>otice for</w:t>
      </w:r>
    </w:p>
    <w:p>
      <w:pPr>
        <w:jc w:val="center"/>
        <w:spacing w:after="0"/>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1"/>
          <w:szCs w:val="21"/>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1"/>
          <w:szCs w:val="21"/>
          <w:color w:val="auto"/>
        </w:rPr>
        <w:t xml:space="preserve"> U</w:t>
      </w:r>
      <w:r>
        <w:rPr>
          <w:rFonts w:ascii="Times New Roman" w:cs="Times New Roman" w:eastAsia="Times New Roman" w:hAnsi="Times New Roman"/>
          <w:sz w:val="14"/>
          <w:szCs w:val="14"/>
          <w:color w:val="auto"/>
        </w:rPr>
        <w:t>nit</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767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PETCO HEALTH AND WELLNESS COMPANY,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2021 EQUITY INCENTIVE PLAN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STANDARD TERMS AND CONDITIONS FOR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STOCK UNITS</w:t>
      </w:r>
    </w:p>
    <w:p>
      <w:pPr>
        <w:spacing w:after="0" w:line="2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These Standard Terms and Conditions apply to the Award of performance stock units granted pursuant to the Petco Health and Wellness Company, Inc. 2021 Equity Incentive Plan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which are evidenced by a Grant Notice or an action of the Committee that specifically refers to these Standard Terms and Conditions. In addition to these Standard Terms and Conditions, the performance stock units shall be subject to the terms of the Plan, which are incorporated into these Standard Terms and Conditions by this reference. Capitalized terms not otherwise defined herein shall have the meaning set forth in the Plan.</w:t>
      </w:r>
    </w:p>
    <w:p>
      <w:pPr>
        <w:spacing w:after="0" w:line="164" w:lineRule="exact"/>
        <w:rPr>
          <w:sz w:val="20"/>
          <w:szCs w:val="20"/>
          <w:color w:val="auto"/>
        </w:rPr>
      </w:pPr>
    </w:p>
    <w:p>
      <w:pPr>
        <w:ind w:left="860" w:hanging="854"/>
        <w:spacing w:after="0"/>
        <w:tabs>
          <w:tab w:leader="none" w:pos="860" w:val="left"/>
        </w:tabs>
        <w:numPr>
          <w:ilvl w:val="0"/>
          <w:numId w:val="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TERMS OF PERFORMANCE STOCK UNITS</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Petco Health and Wellness Company,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granted to the Participant named in the Grant Notice provided to said Participant herewith (the “</w:t>
      </w:r>
      <w:r>
        <w:rPr>
          <w:rFonts w:ascii="Times New Roman" w:cs="Times New Roman" w:eastAsia="Times New Roman" w:hAnsi="Times New Roman"/>
          <w:sz w:val="21"/>
          <w:szCs w:val="21"/>
          <w:b w:val="1"/>
          <w:bCs w:val="1"/>
          <w:i w:val="1"/>
          <w:iCs w:val="1"/>
          <w:color w:val="auto"/>
        </w:rPr>
        <w:t>Grant Notice</w:t>
      </w:r>
      <w:r>
        <w:rPr>
          <w:rFonts w:ascii="Times New Roman" w:cs="Times New Roman" w:eastAsia="Times New Roman" w:hAnsi="Times New Roman"/>
          <w:sz w:val="21"/>
          <w:szCs w:val="21"/>
          <w:color w:val="auto"/>
        </w:rPr>
        <w:t>”) an award of performance stock units (the “</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i w:val="1"/>
          <w:iCs w:val="1"/>
          <w:color w:val="auto"/>
        </w:rPr>
        <w:t>PSUs</w:t>
      </w:r>
      <w:r>
        <w:rPr>
          <w:rFonts w:ascii="Times New Roman" w:cs="Times New Roman" w:eastAsia="Times New Roman" w:hAnsi="Times New Roman"/>
          <w:sz w:val="21"/>
          <w:szCs w:val="21"/>
          <w:color w:val="auto"/>
        </w:rPr>
        <w:t>”) specified in the Grant Notice, with each Earned PSU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65" w:lineRule="exact"/>
        <w:rPr>
          <w:sz w:val="20"/>
          <w:szCs w:val="20"/>
          <w:color w:val="auto"/>
        </w:rPr>
      </w:pPr>
    </w:p>
    <w:p>
      <w:pPr>
        <w:ind w:left="860" w:hanging="854"/>
        <w:spacing w:after="0"/>
        <w:tabs>
          <w:tab w:leader="none" w:pos="860" w:val="left"/>
        </w:tabs>
        <w:numPr>
          <w:ilvl w:val="0"/>
          <w:numId w:val="4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VESTING AND SETTLEMENT OF PERFORMANCE STOCK UNITS</w:t>
      </w:r>
    </w:p>
    <w:p>
      <w:pPr>
        <w:spacing w:after="0" w:line="121" w:lineRule="exact"/>
        <w:rPr>
          <w:rFonts w:ascii="Times New Roman" w:cs="Times New Roman" w:eastAsia="Times New Roman" w:hAnsi="Times New Roman"/>
          <w:sz w:val="21"/>
          <w:szCs w:val="21"/>
          <w:b w:val="1"/>
          <w:bCs w:val="1"/>
          <w:color w:val="auto"/>
        </w:rPr>
      </w:pPr>
    </w:p>
    <w:p>
      <w:pPr>
        <w:jc w:val="both"/>
        <w:ind w:firstLine="870"/>
        <w:spacing w:after="0" w:line="250" w:lineRule="auto"/>
        <w:tabs>
          <w:tab w:leader="none" w:pos="1739"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and earned as described in the Grant Notice with respect to the Target PSUs as set forth in the Grant Notice.</w:t>
      </w:r>
    </w:p>
    <w:p>
      <w:pPr>
        <w:spacing w:after="0" w:line="165" w:lineRule="exact"/>
        <w:rPr>
          <w:rFonts w:ascii="Times New Roman" w:cs="Times New Roman" w:eastAsia="Times New Roman" w:hAnsi="Times New Roman"/>
          <w:sz w:val="21"/>
          <w:szCs w:val="21"/>
          <w:color w:val="auto"/>
        </w:rPr>
      </w:pPr>
    </w:p>
    <w:p>
      <w:pPr>
        <w:jc w:val="both"/>
        <w:ind w:firstLine="870"/>
        <w:spacing w:after="0" w:line="256" w:lineRule="auto"/>
        <w:tabs>
          <w:tab w:leader="none" w:pos="175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soon as administratively practicable following the date a PSU becomes an Earned PSU pursuant to the Grant Notice and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but in no event later than two and one-half months following the Vesting Date, the Company shall deliver to the Participant a number of shares of Common Stock equal to the number of Earned PSUs.</w:t>
      </w:r>
    </w:p>
    <w:p>
      <w:pPr>
        <w:spacing w:after="0" w:line="159" w:lineRule="exact"/>
        <w:rPr>
          <w:rFonts w:ascii="Times New Roman" w:cs="Times New Roman" w:eastAsia="Times New Roman" w:hAnsi="Times New Roman"/>
          <w:sz w:val="21"/>
          <w:szCs w:val="21"/>
          <w:color w:val="auto"/>
        </w:rPr>
      </w:pPr>
    </w:p>
    <w:p>
      <w:pPr>
        <w:jc w:val="both"/>
        <w:ind w:firstLine="870"/>
        <w:spacing w:after="0" w:line="247" w:lineRule="auto"/>
        <w:tabs>
          <w:tab w:leader="none" w:pos="1739"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experiences a Termination of Employment as a result of the Participant’s death or Disability, then, subject to the Participant’s (or the Participant’s personal representative’s) execution and nonrevocation of a general release of claims in a form provided by the Company, the Service Requirement will be deemed satisfied with respect to all of the Target PSUs, such Target PSUs will remain outstanding and eligible to become Earned PSUs based on achievement of the Performance Goals and settlement of such Earned PSUs shall not be accelerated.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1"/>
          <w:szCs w:val="21"/>
          <w:color w:val="auto"/>
        </w:rPr>
        <w:t xml:space="preserve"> 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w:t>
      </w:r>
      <w:r>
        <w:rPr>
          <w:rFonts w:ascii="Times New Roman" w:cs="Times New Roman" w:eastAsia="Times New Roman" w:hAnsi="Times New Roman"/>
          <w:sz w:val="14"/>
          <w:szCs w:val="14"/>
          <w:color w:val="auto"/>
        </w:rPr>
        <w:t>tandard</w:t>
      </w:r>
      <w:r>
        <w:rPr>
          <w:rFonts w:ascii="Times New Roman" w:cs="Times New Roman" w:eastAsia="Times New Roman" w:hAnsi="Times New Roman"/>
          <w:sz w:val="21"/>
          <w:szCs w:val="21"/>
          <w:color w:val="auto"/>
        </w:rPr>
        <w:t xml:space="preserve"> T</w:t>
      </w:r>
      <w:r>
        <w:rPr>
          <w:rFonts w:ascii="Times New Roman" w:cs="Times New Roman" w:eastAsia="Times New Roman" w:hAnsi="Times New Roman"/>
          <w:sz w:val="14"/>
          <w:szCs w:val="14"/>
          <w:color w:val="auto"/>
        </w:rPr>
        <w:t>erms and</w:t>
      </w:r>
      <w:r>
        <w:rPr>
          <w:rFonts w:ascii="Times New Roman" w:cs="Times New Roman" w:eastAsia="Times New Roman" w:hAnsi="Times New Roman"/>
          <w:sz w:val="21"/>
          <w:szCs w:val="21"/>
          <w:color w:val="auto"/>
        </w:rPr>
        <w:t xml:space="preserve"> C</w:t>
      </w:r>
      <w:r>
        <w:rPr>
          <w:rFonts w:ascii="Times New Roman" w:cs="Times New Roman" w:eastAsia="Times New Roman" w:hAnsi="Times New Roman"/>
          <w:sz w:val="14"/>
          <w:szCs w:val="14"/>
          <w:color w:val="auto"/>
        </w:rPr>
        <w:t>onditions for</w:t>
      </w:r>
    </w:p>
    <w:p>
      <w:pPr>
        <w:jc w:val="center"/>
        <w:spacing w:after="0"/>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1"/>
          <w:szCs w:val="21"/>
          <w:color w:val="auto"/>
        </w:rPr>
        <w:t xml:space="preserve"> S</w:t>
      </w:r>
      <w:r>
        <w:rPr>
          <w:rFonts w:ascii="Times New Roman" w:cs="Times New Roman" w:eastAsia="Times New Roman" w:hAnsi="Times New Roman"/>
          <w:sz w:val="14"/>
          <w:szCs w:val="14"/>
          <w:color w:val="auto"/>
        </w:rPr>
        <w:t>tock</w:t>
      </w:r>
      <w:r>
        <w:rPr>
          <w:rFonts w:ascii="Times New Roman" w:cs="Times New Roman" w:eastAsia="Times New Roman" w:hAnsi="Times New Roman"/>
          <w:sz w:val="21"/>
          <w:szCs w:val="21"/>
          <w:color w:val="auto"/>
        </w:rPr>
        <w:t xml:space="preserve"> U</w:t>
      </w:r>
      <w:r>
        <w:rPr>
          <w:rFonts w:ascii="Times New Roman" w:cs="Times New Roman" w:eastAsia="Times New Roman" w:hAnsi="Times New Roman"/>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767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4" w:name="page45"/>
    <w:bookmarkEnd w:id="44"/>
    <w:p>
      <w:pPr>
        <w:jc w:val="both"/>
        <w:ind w:firstLine="870"/>
        <w:spacing w:after="0" w:line="245" w:lineRule="auto"/>
        <w:tabs>
          <w:tab w:leader="none" w:pos="175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within the last 12 months of the Performance Period the Participant experiences a Termination of Employment as a result of an Involuntary Termination (as defined below) at any time other than during a Change in Control Period (as defined in the Employment Agreement (as defined below)), then subject to the Participant’s execution and nonrevocation of a general release of claims in a form provided by the Company, the Service Requirement will be deemed satisfied with respect to all of the Target PSUs, such Target PSUs will remain outstanding and eligible to become Earned PSUs based on achievement of the Performance Goals, and settlement of such Earned PSUs shall not be accelerated.</w:t>
      </w:r>
    </w:p>
    <w:p>
      <w:pPr>
        <w:spacing w:after="0" w:line="171" w:lineRule="exact"/>
        <w:rPr>
          <w:rFonts w:ascii="Times New Roman" w:cs="Times New Roman" w:eastAsia="Times New Roman" w:hAnsi="Times New Roman"/>
          <w:sz w:val="21"/>
          <w:szCs w:val="21"/>
          <w:color w:val="auto"/>
        </w:rPr>
      </w:pPr>
    </w:p>
    <w:p>
      <w:pPr>
        <w:jc w:val="both"/>
        <w:ind w:firstLine="870"/>
        <w:spacing w:after="0" w:line="250" w:lineRule="auto"/>
        <w:tabs>
          <w:tab w:leader="none" w:pos="1739"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consummation of a Change in Control prior to the end of the Performance Period, (i) the Performance Goals will no longer be applicable, (ii) the Target PSUs shall become Earned PSUs on the third anniversary of the Grant Date, subject to the Participant’s continued employment by or service to the Company or its Subsidiaries through such date, and (iii) the Award shall convert to a Time-Based Award (as defined in the Employment Agreement).</w:t>
      </w:r>
    </w:p>
    <w:p>
      <w:pPr>
        <w:spacing w:after="0" w:line="165" w:lineRule="exact"/>
        <w:rPr>
          <w:rFonts w:ascii="Times New Roman" w:cs="Times New Roman" w:eastAsia="Times New Roman" w:hAnsi="Times New Roman"/>
          <w:sz w:val="21"/>
          <w:szCs w:val="21"/>
          <w:color w:val="auto"/>
        </w:rPr>
      </w:pPr>
    </w:p>
    <w:p>
      <w:pPr>
        <w:jc w:val="both"/>
        <w:ind w:firstLine="870"/>
        <w:spacing w:after="0" w:line="244" w:lineRule="auto"/>
        <w:tabs>
          <w:tab w:leader="none" w:pos="1716"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Participant experiences a Termination of Employment as a result of an Involuntary Termination during a Change in Control Period, then subject to the Participant’s execution and nonrevocation of a general release of claims in a form provided by the Company, (i) if such Change in Control occurred prior to the end of the Performance Period, the Target PSUs shall become Earned PSUs effective as of the date of such Termination of Employment and (ii) if such Change in Control occurred following the end of the Performance Period but prior to the Vesting Date, the Service Requirement will be deemed satisfied with respect to all of the Target PSUs, such Target PSUs will remain outstanding and eligible to become Earned PSUs based on achievement of the Performance Goals, and settlement of such Earned PSUs shall not be accelerated.</w:t>
      </w:r>
    </w:p>
    <w:p>
      <w:pPr>
        <w:spacing w:after="0" w:line="171" w:lineRule="exact"/>
        <w:rPr>
          <w:rFonts w:ascii="Times New Roman" w:cs="Times New Roman" w:eastAsia="Times New Roman" w:hAnsi="Times New Roman"/>
          <w:sz w:val="21"/>
          <w:szCs w:val="21"/>
          <w:color w:val="auto"/>
        </w:rPr>
      </w:pPr>
    </w:p>
    <w:p>
      <w:pPr>
        <w:ind w:firstLine="870"/>
        <w:spacing w:after="0" w:line="274" w:lineRule="auto"/>
        <w:tabs>
          <w:tab w:leader="none" w:pos="1751"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Participant’s Termination of Employment for any other reason not set forth in </w:t>
      </w:r>
      <w:r>
        <w:rPr>
          <w:rFonts w:ascii="Times New Roman" w:cs="Times New Roman" w:eastAsia="Times New Roman" w:hAnsi="Times New Roman"/>
          <w:sz w:val="21"/>
          <w:szCs w:val="21"/>
          <w:u w:val="single" w:color="auto"/>
          <w:color w:val="auto"/>
        </w:rPr>
        <w:t>Section 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2(d)</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2(f)</w:t>
      </w:r>
      <w:r>
        <w:rPr>
          <w:rFonts w:ascii="Times New Roman" w:cs="Times New Roman" w:eastAsia="Times New Roman" w:hAnsi="Times New Roman"/>
          <w:sz w:val="21"/>
          <w:szCs w:val="21"/>
          <w:color w:val="auto"/>
        </w:rPr>
        <w:t>, any PSUs that have not become Earned PSUs shall be forfeited and canceled as of the Termination Date.</w:t>
      </w:r>
    </w:p>
    <w:p>
      <w:pPr>
        <w:spacing w:after="0" w:line="140" w:lineRule="exact"/>
        <w:rPr>
          <w:rFonts w:ascii="Times New Roman" w:cs="Times New Roman" w:eastAsia="Times New Roman" w:hAnsi="Times New Roman"/>
          <w:sz w:val="21"/>
          <w:szCs w:val="21"/>
          <w:color w:val="auto"/>
        </w:rPr>
      </w:pPr>
    </w:p>
    <w:p>
      <w:pPr>
        <w:ind w:left="1760" w:hanging="890"/>
        <w:spacing w:after="0"/>
        <w:tabs>
          <w:tab w:leader="none" w:pos="176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w:t>
      </w:r>
    </w:p>
    <w:p>
      <w:pPr>
        <w:spacing w:after="0" w:line="205" w:lineRule="exact"/>
        <w:rPr>
          <w:rFonts w:ascii="Times New Roman" w:cs="Times New Roman" w:eastAsia="Times New Roman" w:hAnsi="Times New Roman"/>
          <w:sz w:val="21"/>
          <w:szCs w:val="21"/>
          <w:color w:val="auto"/>
        </w:rPr>
      </w:pPr>
    </w:p>
    <w:p>
      <w:pPr>
        <w:ind w:firstLine="1734"/>
        <w:spacing w:after="0" w:line="280" w:lineRule="auto"/>
        <w:tabs>
          <w:tab w:leader="none" w:pos="2568"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Employment Agreement</w:t>
      </w:r>
      <w:r>
        <w:rPr>
          <w:rFonts w:ascii="Times New Roman" w:cs="Times New Roman" w:eastAsia="Times New Roman" w:hAnsi="Times New Roman"/>
          <w:sz w:val="21"/>
          <w:szCs w:val="21"/>
          <w:color w:val="auto"/>
        </w:rPr>
        <w:t>” means that certain Amended and Restated Employment Agreement by and between the Company, Petco Animal Supplies Stores, Inc. and the Participant dated December 3, 2020.</w:t>
      </w:r>
    </w:p>
    <w:p>
      <w:pPr>
        <w:spacing w:after="0" w:line="128" w:lineRule="exact"/>
        <w:rPr>
          <w:rFonts w:ascii="Times New Roman" w:cs="Times New Roman" w:eastAsia="Times New Roman" w:hAnsi="Times New Roman"/>
          <w:sz w:val="21"/>
          <w:szCs w:val="21"/>
          <w:color w:val="auto"/>
        </w:rPr>
      </w:pPr>
    </w:p>
    <w:p>
      <w:pPr>
        <w:ind w:firstLine="1734"/>
        <w:spacing w:after="0" w:line="280" w:lineRule="auto"/>
        <w:tabs>
          <w:tab w:leader="none" w:pos="262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Involuntary Termination</w:t>
      </w:r>
      <w:r>
        <w:rPr>
          <w:rFonts w:ascii="Times New Roman" w:cs="Times New Roman" w:eastAsia="Times New Roman" w:hAnsi="Times New Roman"/>
          <w:sz w:val="21"/>
          <w:szCs w:val="21"/>
          <w:color w:val="auto"/>
        </w:rPr>
        <w:t>” means a Termination of Employment by the Company without Cause (and not as a result of death or Disability) or by the Participant for Good Reason (as defined in the Employment Agreement).</w:t>
      </w:r>
    </w:p>
    <w:p>
      <w:pPr>
        <w:spacing w:after="0" w:line="128" w:lineRule="exact"/>
        <w:rPr>
          <w:rFonts w:ascii="Times New Roman" w:cs="Times New Roman" w:eastAsia="Times New Roman" w:hAnsi="Times New Roman"/>
          <w:sz w:val="21"/>
          <w:szCs w:val="21"/>
          <w:color w:val="auto"/>
        </w:rPr>
      </w:pPr>
    </w:p>
    <w:p>
      <w:pPr>
        <w:ind w:left="2700" w:hanging="966"/>
        <w:spacing w:after="0"/>
        <w:tabs>
          <w:tab w:leader="none" w:pos="2700"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Termination Date</w:t>
      </w:r>
      <w:r>
        <w:rPr>
          <w:rFonts w:ascii="Times New Roman" w:cs="Times New Roman" w:eastAsia="Times New Roman" w:hAnsi="Times New Roman"/>
          <w:sz w:val="21"/>
          <w:szCs w:val="21"/>
          <w:color w:val="auto"/>
        </w:rPr>
        <w:t>” means the date of the Participant’s Termination of Employment.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45" w:name="page46"/>
    <w:bookmarkEnd w:id="45"/>
    <w:p>
      <w:pPr>
        <w:ind w:left="860" w:hanging="854"/>
        <w:spacing w:after="0"/>
        <w:tabs>
          <w:tab w:leader="none" w:pos="86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RIGHTS AS STOCKHOLDER; DIVIDEND EQUIVALENTS</w:t>
      </w:r>
    </w:p>
    <w:p>
      <w:pPr>
        <w:spacing w:after="0" w:line="121" w:lineRule="exact"/>
        <w:rPr>
          <w:rFonts w:ascii="Times New Roman" w:cs="Times New Roman" w:eastAsia="Times New Roman" w:hAnsi="Times New Roman"/>
          <w:sz w:val="21"/>
          <w:szCs w:val="21"/>
          <w:b w:val="1"/>
          <w:bCs w:val="1"/>
          <w:color w:val="auto"/>
        </w:rPr>
      </w:pPr>
    </w:p>
    <w:p>
      <w:pPr>
        <w:jc w:val="both"/>
        <w:ind w:firstLine="870"/>
        <w:spacing w:after="0" w:line="256" w:lineRule="auto"/>
        <w:tabs>
          <w:tab w:leader="none" w:pos="173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be, nor have any of the rights or privileges of, a stockholder of the Company in respect of any PSUs unless and until shares of Common Stock settled for Earned PSUs shall have been issued by the Company to Participant (as evidenced by the appropriate entry on the books of the Company or of a duly authorized transfer agent of the Company).</w:t>
      </w:r>
    </w:p>
    <w:p>
      <w:pPr>
        <w:spacing w:after="0" w:line="159" w:lineRule="exact"/>
        <w:rPr>
          <w:rFonts w:ascii="Times New Roman" w:cs="Times New Roman" w:eastAsia="Times New Roman" w:hAnsi="Times New Roman"/>
          <w:sz w:val="21"/>
          <w:szCs w:val="21"/>
          <w:color w:val="auto"/>
        </w:rPr>
      </w:pPr>
    </w:p>
    <w:p>
      <w:pPr>
        <w:jc w:val="both"/>
        <w:ind w:firstLine="870"/>
        <w:spacing w:after="0" w:line="242" w:lineRule="auto"/>
        <w:tabs>
          <w:tab w:leader="none" w:pos="1751"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from and after the Grant Date and until the earlier of (i) the Participant’s receipt of Common Stock upon payment of Earned PSUs and (ii) the time when the Participant’s right to receive Common Stock upon payment of PSUs is forfeited, on the date that the Company pays a cash dividend (if any) to holders of Common Stock generally, the Participant shall be entitled, as a Dividend Equivalent, to a number of additional whole Target PSUs determined by dividing (i) the product of (A) the dollar amount of the cash dividend paid per share of Common Stock on such date and (B) the total number of Target PSUs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Target PSUs to which the Dividend Equivalents were credited.</w:t>
      </w:r>
    </w:p>
    <w:p>
      <w:pPr>
        <w:spacing w:after="0" w:line="174" w:lineRule="exact"/>
        <w:rPr>
          <w:rFonts w:ascii="Times New Roman" w:cs="Times New Roman" w:eastAsia="Times New Roman" w:hAnsi="Times New Roman"/>
          <w:sz w:val="21"/>
          <w:szCs w:val="21"/>
          <w:color w:val="auto"/>
        </w:rPr>
      </w:pPr>
    </w:p>
    <w:p>
      <w:pPr>
        <w:ind w:left="860" w:hanging="854"/>
        <w:spacing w:after="0"/>
        <w:tabs>
          <w:tab w:leader="none" w:pos="860" w:val="left"/>
        </w:tabs>
        <w:numPr>
          <w:ilvl w:val="0"/>
          <w:numId w:val="4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RESTRICTIONS ON RESALES OF SHARES</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Earned PSUs,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64" w:lineRule="exact"/>
        <w:rPr>
          <w:sz w:val="20"/>
          <w:szCs w:val="20"/>
          <w:color w:val="auto"/>
        </w:rPr>
      </w:pPr>
    </w:p>
    <w:p>
      <w:pPr>
        <w:ind w:left="860" w:hanging="854"/>
        <w:spacing w:after="0"/>
        <w:tabs>
          <w:tab w:leader="none" w:pos="860"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INCOME TAXES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To the extent required by applicable federal, state, local or foreign law, the Participant shall make arrangements satisfactory to the Company for the satisfaction of any withholding tax obligations that arise by reason of the grant or vesting of the PSUs. The Company shall not be required to issue shares or to recognize the disposition of such shares until such obligations are satisfied.</w:t>
      </w:r>
    </w:p>
    <w:p>
      <w:pPr>
        <w:spacing w:after="0" w:line="155" w:lineRule="exact"/>
        <w:rPr>
          <w:sz w:val="20"/>
          <w:szCs w:val="20"/>
          <w:color w:val="auto"/>
        </w:rPr>
      </w:pPr>
    </w:p>
    <w:p>
      <w:pPr>
        <w:ind w:left="860" w:hanging="854"/>
        <w:spacing w:after="0"/>
        <w:tabs>
          <w:tab w:leader="none" w:pos="860"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NONTRANSFERABILITY­ OF AWARD</w:t>
      </w:r>
    </w:p>
    <w:p>
      <w:pPr>
        <w:spacing w:after="0" w:line="12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 Notwithstanding the foregoing, (a) the Participant shall be permitted to transfer the Award as a gift to an Assignee Entity in accordance with and subject to the limits of Section 17 of the Plan and (b) if not previously so transferred, any shares of Common Stock that become issuable hereunder but which otherwise remain unissued at the time of the Participant’s death shall be transferred to the Participant’s designated beneficiary or, if none, to the Participant’s estate.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6" w:name="page47"/>
    <w:bookmarkEnd w:id="46"/>
    <w:p>
      <w:pPr>
        <w:ind w:left="860" w:hanging="854"/>
        <w:spacing w:after="0"/>
        <w:tabs>
          <w:tab w:leader="none" w:pos="860" w:val="left"/>
        </w:tabs>
        <w:numPr>
          <w:ilvl w:val="0"/>
          <w:numId w:val="4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OTHER AGREEMENTS SUPERSEDED</w:t>
      </w:r>
    </w:p>
    <w:p>
      <w:pPr>
        <w:spacing w:after="0" w:line="12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64" w:lineRule="exact"/>
        <w:rPr>
          <w:sz w:val="20"/>
          <w:szCs w:val="20"/>
          <w:color w:val="auto"/>
        </w:rPr>
      </w:pPr>
    </w:p>
    <w:p>
      <w:pPr>
        <w:ind w:left="860" w:hanging="854"/>
        <w:spacing w:after="0"/>
        <w:tabs>
          <w:tab w:leader="none" w:pos="860" w:val="left"/>
        </w:tabs>
        <w:numPr>
          <w:ilvl w:val="0"/>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LIMITATION OF INTEREST IN SHARES SUBJECT TO PERFORMANCE STOCK UNITS</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68" w:lineRule="exact"/>
        <w:rPr>
          <w:sz w:val="20"/>
          <w:szCs w:val="20"/>
          <w:color w:val="auto"/>
        </w:rPr>
      </w:pPr>
    </w:p>
    <w:p>
      <w:pPr>
        <w:ind w:left="860" w:hanging="854"/>
        <w:spacing w:after="0"/>
        <w:tabs>
          <w:tab w:leader="none" w:pos="860"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121" w:lineRule="exact"/>
        <w:rPr>
          <w:rFonts w:ascii="Times New Roman" w:cs="Times New Roman" w:eastAsia="Times New Roman" w:hAnsi="Times New Roman"/>
          <w:sz w:val="21"/>
          <w:szCs w:val="21"/>
          <w:b w:val="1"/>
          <w:bCs w:val="1"/>
          <w:color w:val="auto"/>
        </w:rPr>
      </w:pPr>
    </w:p>
    <w:p>
      <w:pPr>
        <w:jc w:val="both"/>
        <w:ind w:firstLine="870"/>
        <w:spacing w:after="0" w:line="250" w:lineRule="auto"/>
        <w:tabs>
          <w:tab w:leader="none" w:pos="173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65" w:lineRule="exact"/>
        <w:rPr>
          <w:rFonts w:ascii="Times New Roman" w:cs="Times New Roman" w:eastAsia="Times New Roman" w:hAnsi="Times New Roman"/>
          <w:sz w:val="21"/>
          <w:szCs w:val="21"/>
          <w:color w:val="auto"/>
        </w:rPr>
      </w:pPr>
    </w:p>
    <w:p>
      <w:pPr>
        <w:jc w:val="both"/>
        <w:ind w:firstLine="870"/>
        <w:spacing w:after="0" w:line="242" w:lineRule="auto"/>
        <w:tabs>
          <w:tab w:leader="none" w:pos="175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4" w:lineRule="exact"/>
        <w:rPr>
          <w:rFonts w:ascii="Times New Roman" w:cs="Times New Roman" w:eastAsia="Times New Roman" w:hAnsi="Times New Roman"/>
          <w:sz w:val="21"/>
          <w:szCs w:val="21"/>
          <w:color w:val="auto"/>
        </w:rPr>
      </w:pPr>
    </w:p>
    <w:p>
      <w:pPr>
        <w:ind w:right="20" w:firstLine="870"/>
        <w:spacing w:after="0" w:line="274" w:lineRule="auto"/>
        <w:tabs>
          <w:tab w:leader="none" w:pos="1739"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Standard Terms and Conditions shall inure to the benefit of and be binding upon the parties hereto and their respective permitted heirs, beneficiaries, successors and assigns.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47" w:name="page48"/>
    <w:bookmarkEnd w:id="47"/>
    <w:p>
      <w:pPr>
        <w:ind w:firstLine="870"/>
        <w:spacing w:after="0" w:line="274" w:lineRule="auto"/>
        <w:tabs>
          <w:tab w:leader="none" w:pos="1751"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Standard Terms and Conditions shall be construed in accordance with and governed by the laws of the State of Delaware, without regard to principles of conflicts of law.</w:t>
      </w:r>
    </w:p>
    <w:p>
      <w:pPr>
        <w:spacing w:after="0" w:line="140" w:lineRule="exact"/>
        <w:rPr>
          <w:rFonts w:ascii="Times New Roman" w:cs="Times New Roman" w:eastAsia="Times New Roman" w:hAnsi="Times New Roman"/>
          <w:sz w:val="21"/>
          <w:szCs w:val="21"/>
          <w:color w:val="auto"/>
        </w:rPr>
      </w:pPr>
    </w:p>
    <w:p>
      <w:pPr>
        <w:jc w:val="both"/>
        <w:ind w:firstLine="870"/>
        <w:spacing w:after="0" w:line="256" w:lineRule="auto"/>
        <w:tabs>
          <w:tab w:leader="none" w:pos="173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59" w:lineRule="exact"/>
        <w:rPr>
          <w:rFonts w:ascii="Times New Roman" w:cs="Times New Roman" w:eastAsia="Times New Roman" w:hAnsi="Times New Roman"/>
          <w:sz w:val="21"/>
          <w:szCs w:val="21"/>
          <w:color w:val="auto"/>
        </w:rPr>
      </w:pPr>
    </w:p>
    <w:p>
      <w:pPr>
        <w:ind w:firstLine="870"/>
        <w:spacing w:after="0" w:line="274" w:lineRule="auto"/>
        <w:tabs>
          <w:tab w:leader="none" w:pos="171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questions arising under the Plan or under these Standard Terms and Conditions shall be decided by the Committee in its total and absolute discretion.</w:t>
      </w:r>
    </w:p>
    <w:p>
      <w:pPr>
        <w:spacing w:after="0" w:line="137" w:lineRule="exact"/>
        <w:rPr>
          <w:sz w:val="20"/>
          <w:szCs w:val="20"/>
          <w:color w:val="auto"/>
        </w:rPr>
      </w:pPr>
    </w:p>
    <w:p>
      <w:pPr>
        <w:ind w:left="860" w:hanging="854"/>
        <w:spacing w:after="0"/>
        <w:tabs>
          <w:tab w:leader="none" w:pos="860" w:val="left"/>
        </w:tabs>
        <w:numPr>
          <w:ilvl w:val="0"/>
          <w:numId w:val="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CLAWBACK</w:t>
      </w:r>
    </w:p>
    <w:p>
      <w:pPr>
        <w:spacing w:after="0" w:line="1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PSUs and any shares of Common Stock issued pursuant to the Earned PSUs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Award, the Participant is agreeing to be bound by any such clawback policy, as in effect or as may be adopted and/or modified from time to time by the Company in its discretion.</w:t>
      </w:r>
    </w:p>
    <w:p>
      <w:pPr>
        <w:spacing w:after="0" w:line="164" w:lineRule="exact"/>
        <w:rPr>
          <w:sz w:val="20"/>
          <w:szCs w:val="20"/>
          <w:color w:val="auto"/>
        </w:rPr>
      </w:pPr>
    </w:p>
    <w:p>
      <w:pPr>
        <w:ind w:left="860" w:hanging="854"/>
        <w:spacing w:after="0"/>
        <w:tabs>
          <w:tab w:leader="none" w:pos="860" w:val="left"/>
        </w:tabs>
        <w:numPr>
          <w:ilvl w:val="0"/>
          <w:numId w:val="5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ELECTRONIC DELIVERY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PSUs via Company web site or other electronic delivery.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CONFIDENTIALITY AND INVENTIONS AGREEMENT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55" w:lineRule="exact"/>
        <w:rPr>
          <w:sz w:val="20"/>
          <w:szCs w:val="20"/>
          <w:color w:val="auto"/>
        </w:rPr>
      </w:pPr>
    </w:p>
    <w:p>
      <w:pPr>
        <w:ind w:left="800" w:hanging="794"/>
        <w:spacing w:after="0"/>
        <w:tabs>
          <w:tab w:leader="none" w:pos="800" w:val="left"/>
        </w:tabs>
        <w:numPr>
          <w:ilvl w:val="0"/>
          <w:numId w:val="5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GENERAL</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8" w:lineRule="exact"/>
        <w:rPr>
          <w:sz w:val="20"/>
          <w:szCs w:val="20"/>
          <w:color w:val="auto"/>
        </w:rPr>
      </w:pPr>
    </w:p>
    <w:p>
      <w:pPr>
        <w:ind w:left="800" w:hanging="794"/>
        <w:spacing w:after="0"/>
        <w:tabs>
          <w:tab w:leader="none" w:pos="800"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Capitalized terms not otherwise defined herein shall have the meaning set forth in the Petco Health and Wellness Company,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2021 Equity Incentive Plan, as amended from time to time. For purposes of this Confidentiality and Inventions Agreement:</w:t>
      </w:r>
    </w:p>
    <w:p>
      <w:pPr>
        <w:spacing w:after="0" w:line="88" w:lineRule="exact"/>
        <w:rPr>
          <w:sz w:val="20"/>
          <w:szCs w:val="20"/>
          <w:color w:val="auto"/>
        </w:rPr>
      </w:pPr>
    </w:p>
    <w:p>
      <w:pPr>
        <w:jc w:val="both"/>
        <w:ind w:firstLine="870"/>
        <w:spacing w:after="0"/>
        <w:tabs>
          <w:tab w:leader="none" w:pos="1739"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Confidential Information</w:t>
      </w:r>
      <w:r>
        <w:rPr>
          <w:rFonts w:ascii="Times New Roman" w:cs="Times New Roman" w:eastAsia="Times New Roman" w:hAnsi="Times New Roman"/>
          <w:sz w:val="21"/>
          <w:szCs w:val="21"/>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9"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 TO THE PARTICIPANT ON A NON-CONFIDENTIAL BASIS FROM A THIRD PARTY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1"/>
          <w:szCs w:val="21"/>
          <w:color w:val="auto"/>
        </w:rPr>
        <w:t xml:space="preserve"> B</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w:t>
      </w:r>
      <w:r>
        <w:rPr>
          <w:rFonts w:ascii="Times New Roman" w:cs="Times New Roman" w:eastAsia="Times New Roman" w:hAnsi="Times New Roman"/>
          <w:sz w:val="14"/>
          <w:szCs w:val="14"/>
          <w:color w:val="auto"/>
        </w:rPr>
        <w:t>onfidentiality and</w:t>
      </w:r>
      <w:r>
        <w:rPr>
          <w:rFonts w:ascii="Times New Roman" w:cs="Times New Roman" w:eastAsia="Times New Roman" w:hAnsi="Times New Roman"/>
          <w:sz w:val="21"/>
          <w:szCs w:val="21"/>
          <w:color w:val="auto"/>
        </w:rPr>
        <w:t xml:space="preserve"> I</w:t>
      </w:r>
      <w:r>
        <w:rPr>
          <w:rFonts w:ascii="Times New Roman" w:cs="Times New Roman" w:eastAsia="Times New Roman" w:hAnsi="Times New Roman"/>
          <w:sz w:val="14"/>
          <w:szCs w:val="14"/>
          <w:color w:val="auto"/>
        </w:rPr>
        <w:t>nventions</w:t>
      </w:r>
      <w:r>
        <w:rPr>
          <w:rFonts w:ascii="Times New Roman" w:cs="Times New Roman" w:eastAsia="Times New Roman" w:hAnsi="Times New Roman"/>
          <w:sz w:val="21"/>
          <w:szCs w:val="21"/>
          <w:color w:val="auto"/>
        </w:rPr>
        <w:t xml:space="preserve"> A</w:t>
      </w:r>
      <w:r>
        <w:rPr>
          <w:rFonts w:ascii="Times New Roman" w:cs="Times New Roman" w:eastAsia="Times New Roman" w:hAnsi="Times New Roman"/>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1767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9" w:name="page50"/>
    <w:bookmarkEnd w:id="49"/>
    <w:p>
      <w:pPr>
        <w:jc w:val="both"/>
        <w:spacing w:after="0" w:line="247" w:lineRule="auto"/>
        <w:rPr>
          <w:sz w:val="20"/>
          <w:szCs w:val="20"/>
          <w:color w:val="auto"/>
        </w:rPr>
      </w:pPr>
      <w:r>
        <w:rPr>
          <w:rFonts w:ascii="Times New Roman" w:cs="Times New Roman" w:eastAsia="Times New Roman" w:hAnsi="Times New Roman"/>
          <w:sz w:val="21"/>
          <w:szCs w:val="21"/>
          <w:color w:val="auto"/>
        </w:rPr>
        <w:t>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62" w:lineRule="exact"/>
        <w:rPr>
          <w:sz w:val="20"/>
          <w:szCs w:val="20"/>
          <w:color w:val="auto"/>
        </w:rPr>
      </w:pPr>
    </w:p>
    <w:p>
      <w:pPr>
        <w:jc w:val="both"/>
        <w:ind w:firstLine="870"/>
        <w:spacing w:after="0" w:line="246" w:lineRule="auto"/>
        <w:tabs>
          <w:tab w:leader="none" w:pos="1751"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Work Product</w:t>
      </w:r>
      <w:r>
        <w:rPr>
          <w:rFonts w:ascii="Times New Roman" w:cs="Times New Roman" w:eastAsia="Times New Roman" w:hAnsi="Times New Roman"/>
          <w:sz w:val="21"/>
          <w:szCs w:val="21"/>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67" w:lineRule="exact"/>
        <w:rPr>
          <w:rFonts w:ascii="Times New Roman" w:cs="Times New Roman" w:eastAsia="Times New Roman" w:hAnsi="Times New Roman"/>
          <w:sz w:val="21"/>
          <w:szCs w:val="21"/>
          <w:color w:val="auto"/>
        </w:rPr>
      </w:pPr>
    </w:p>
    <w:p>
      <w:pPr>
        <w:ind w:left="800" w:hanging="794"/>
        <w:spacing w:after="0"/>
        <w:tabs>
          <w:tab w:leader="none" w:pos="800"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CONFIDENTIALITY</w:t>
      </w:r>
    </w:p>
    <w:p>
      <w:pPr>
        <w:spacing w:after="0" w:line="135" w:lineRule="exact"/>
        <w:rPr>
          <w:rFonts w:ascii="Times New Roman" w:cs="Times New Roman" w:eastAsia="Times New Roman" w:hAnsi="Times New Roman"/>
          <w:sz w:val="21"/>
          <w:szCs w:val="21"/>
          <w:b w:val="1"/>
          <w:bCs w:val="1"/>
          <w:color w:val="auto"/>
        </w:rPr>
      </w:pPr>
    </w:p>
    <w:p>
      <w:pPr>
        <w:jc w:val="both"/>
        <w:ind w:firstLine="870"/>
        <w:spacing w:after="0" w:line="241" w:lineRule="auto"/>
        <w:tabs>
          <w:tab w:leader="none" w:pos="173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Times New Roman" w:cs="Times New Roman" w:eastAsia="Times New Roman" w:hAnsi="Times New Roman"/>
          <w:sz w:val="21"/>
          <w:szCs w:val="21"/>
          <w:b w:val="1"/>
          <w:bCs w:val="1"/>
          <w:i w:val="1"/>
          <w:iCs w:val="1"/>
          <w:color w:val="auto"/>
        </w:rPr>
        <w:t>Purchaser</w:t>
      </w:r>
      <w:r>
        <w:rPr>
          <w:rFonts w:ascii="Times New Roman" w:cs="Times New Roman" w:eastAsia="Times New Roman" w:hAnsi="Times New Roman"/>
          <w:sz w:val="21"/>
          <w:szCs w:val="21"/>
          <w:color w:val="auto"/>
        </w:rPr>
        <w:t>”) of all or substantially all of the assets of a business (“</w:t>
      </w:r>
      <w:r>
        <w:rPr>
          <w:rFonts w:ascii="Times New Roman" w:cs="Times New Roman" w:eastAsia="Times New Roman" w:hAnsi="Times New Roman"/>
          <w:sz w:val="21"/>
          <w:szCs w:val="21"/>
          <w:b w:val="1"/>
          <w:bCs w:val="1"/>
          <w:i w:val="1"/>
          <w:iCs w:val="1"/>
          <w:color w:val="auto"/>
        </w:rPr>
        <w:t>Business</w:t>
      </w:r>
      <w:r>
        <w:rPr>
          <w:rFonts w:ascii="Times New Roman" w:cs="Times New Roman" w:eastAsia="Times New Roman" w:hAnsi="Times New Roman"/>
          <w:sz w:val="21"/>
          <w:szCs w:val="21"/>
          <w:color w:val="auto"/>
        </w:rPr>
        <w:t>”) of Company (an “</w:t>
      </w:r>
      <w:r>
        <w:rPr>
          <w:rFonts w:ascii="Times New Roman" w:cs="Times New Roman" w:eastAsia="Times New Roman" w:hAnsi="Times New Roman"/>
          <w:sz w:val="21"/>
          <w:szCs w:val="21"/>
          <w:b w:val="1"/>
          <w:bCs w:val="1"/>
          <w:i w:val="1"/>
          <w:iCs w:val="1"/>
          <w:color w:val="auto"/>
        </w:rPr>
        <w:t>Acquisition</w:t>
      </w:r>
      <w:r>
        <w:rPr>
          <w:rFonts w:ascii="Times New Roman" w:cs="Times New Roman" w:eastAsia="Times New Roman" w:hAnsi="Times New Roman"/>
          <w:sz w:val="21"/>
          <w:szCs w:val="21"/>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81" w:lineRule="exact"/>
        <w:rPr>
          <w:rFonts w:ascii="Times New Roman" w:cs="Times New Roman" w:eastAsia="Times New Roman" w:hAnsi="Times New Roman"/>
          <w:sz w:val="21"/>
          <w:szCs w:val="21"/>
          <w:color w:val="auto"/>
        </w:rPr>
      </w:pPr>
    </w:p>
    <w:p>
      <w:pPr>
        <w:jc w:val="both"/>
        <w:ind w:firstLine="870"/>
        <w:spacing w:after="0" w:line="244" w:lineRule="auto"/>
        <w:tabs>
          <w:tab w:leader="none" w:pos="1751"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71" w:lineRule="exact"/>
        <w:rPr>
          <w:rFonts w:ascii="Times New Roman" w:cs="Times New Roman" w:eastAsia="Times New Roman" w:hAnsi="Times New Roman"/>
          <w:sz w:val="21"/>
          <w:szCs w:val="21"/>
          <w:color w:val="auto"/>
        </w:rPr>
      </w:pPr>
    </w:p>
    <w:p>
      <w:pPr>
        <w:jc w:val="both"/>
        <w:ind w:firstLine="870"/>
        <w:spacing w:after="0" w:line="250" w:lineRule="auto"/>
        <w:tabs>
          <w:tab w:leader="none" w:pos="173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Trade Secrets Disclosure</w:t>
      </w:r>
      <w:r>
        <w:rPr>
          <w:rFonts w:ascii="Times New Roman" w:cs="Times New Roman" w:eastAsia="Times New Roman" w:hAnsi="Times New Roman"/>
          <w:sz w:val="21"/>
          <w:szCs w:val="21"/>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50" w:name="page51"/>
    <w:bookmarkEnd w:id="50"/>
    <w:p>
      <w:pPr>
        <w:jc w:val="both"/>
        <w:spacing w:after="0" w:line="243" w:lineRule="auto"/>
        <w:rPr>
          <w:sz w:val="20"/>
          <w:szCs w:val="20"/>
          <w:color w:val="auto"/>
        </w:rPr>
      </w:pPr>
      <w:r>
        <w:rPr>
          <w:rFonts w:ascii="Times New Roman" w:cs="Times New Roman" w:eastAsia="Times New Roman" w:hAnsi="Times New Roman"/>
          <w:sz w:val="21"/>
          <w:szCs w:val="21"/>
          <w:color w:val="auto"/>
        </w:rPr>
        <w:t>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w:t>
      </w:r>
    </w:p>
    <w:p>
      <w:pPr>
        <w:spacing w:after="0" w:line="170" w:lineRule="exact"/>
        <w:rPr>
          <w:sz w:val="20"/>
          <w:szCs w:val="20"/>
          <w:color w:val="auto"/>
        </w:rPr>
      </w:pPr>
    </w:p>
    <w:p>
      <w:pPr>
        <w:ind w:left="800" w:hanging="794"/>
        <w:spacing w:after="0"/>
        <w:tabs>
          <w:tab w:leader="none" w:pos="800" w:val="left"/>
        </w:tabs>
        <w:numPr>
          <w:ilvl w:val="0"/>
          <w:numId w:val="5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COMPANY PROPERTY</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77" w:lineRule="exact"/>
        <w:rPr>
          <w:sz w:val="20"/>
          <w:szCs w:val="20"/>
          <w:color w:val="auto"/>
        </w:rPr>
      </w:pPr>
    </w:p>
    <w:p>
      <w:pPr>
        <w:ind w:left="800" w:hanging="794"/>
        <w:spacing w:after="0"/>
        <w:tabs>
          <w:tab w:leader="none" w:pos="800" w:val="left"/>
        </w:tabs>
        <w:numPr>
          <w:ilvl w:val="0"/>
          <w:numId w:val="5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COMPANY WORK PRODUCT</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Times New Roman" w:cs="Times New Roman" w:eastAsia="Times New Roman" w:hAnsi="Times New Roman"/>
          <w:sz w:val="21"/>
          <w:szCs w:val="21"/>
          <w:b w:val="1"/>
          <w:bCs w:val="1"/>
          <w:i w:val="1"/>
          <w:iCs w:val="1"/>
          <w:color w:val="auto"/>
        </w:rPr>
        <w:t>Company Work Product</w:t>
      </w:r>
      <w:r>
        <w:rPr>
          <w:rFonts w:ascii="Times New Roman" w:cs="Times New Roman" w:eastAsia="Times New Roman" w:hAnsi="Times New Roman"/>
          <w:sz w:val="21"/>
          <w:szCs w:val="21"/>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51" w:name="page52"/>
    <w:bookmarkEnd w:id="51"/>
    <w:p>
      <w:pPr>
        <w:jc w:val="both"/>
        <w:spacing w:after="0" w:line="241" w:lineRule="auto"/>
        <w:rPr>
          <w:sz w:val="20"/>
          <w:szCs w:val="20"/>
          <w:color w:val="auto"/>
        </w:rPr>
      </w:pPr>
      <w:r>
        <w:rPr>
          <w:rFonts w:ascii="Times New Roman" w:cs="Times New Roman" w:eastAsia="Times New Roman" w:hAnsi="Times New Roman"/>
          <w:sz w:val="21"/>
          <w:szCs w:val="21"/>
          <w:color w:val="auto"/>
        </w:rPr>
        <w:t>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7" w:lineRule="exact"/>
        <w:rPr>
          <w:sz w:val="20"/>
          <w:szCs w:val="20"/>
          <w:color w:val="auto"/>
        </w:rPr>
      </w:pPr>
    </w:p>
    <w:p>
      <w:pPr>
        <w:ind w:left="800" w:hanging="794"/>
        <w:spacing w:after="0"/>
        <w:tabs>
          <w:tab w:leader="none" w:pos="800"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EXCEPTION TO ASSIGNMENTS</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64" w:lineRule="exact"/>
        <w:rPr>
          <w:sz w:val="20"/>
          <w:szCs w:val="20"/>
          <w:color w:val="auto"/>
        </w:rPr>
      </w:pPr>
    </w:p>
    <w:p>
      <w:pPr>
        <w:ind w:left="800" w:hanging="794"/>
        <w:spacing w:after="0"/>
        <w:tabs>
          <w:tab w:leader="none" w:pos="80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PRE-EMPLOYMENT WORK PRODUCT</w:t>
      </w:r>
    </w:p>
    <w:p>
      <w:pPr>
        <w:spacing w:after="0" w:line="121" w:lineRule="exact"/>
        <w:rPr>
          <w:rFonts w:ascii="Times New Roman" w:cs="Times New Roman" w:eastAsia="Times New Roman" w:hAnsi="Times New Roman"/>
          <w:sz w:val="21"/>
          <w:szCs w:val="21"/>
          <w:b w:val="1"/>
          <w:bCs w:val="1"/>
          <w:color w:val="auto"/>
        </w:rPr>
      </w:pPr>
    </w:p>
    <w:p>
      <w:pPr>
        <w:ind w:left="1740" w:hanging="870"/>
        <w:spacing w:after="0"/>
        <w:tabs>
          <w:tab w:leader="none" w:pos="174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Work Product includes only things done for the Company in performing work for the Company.</w:t>
      </w:r>
    </w:p>
    <w:p>
      <w:pPr>
        <w:spacing w:after="0" w:line="211" w:lineRule="exact"/>
        <w:rPr>
          <w:rFonts w:ascii="Times New Roman" w:cs="Times New Roman" w:eastAsia="Times New Roman" w:hAnsi="Times New Roman"/>
          <w:sz w:val="21"/>
          <w:szCs w:val="21"/>
          <w:color w:val="auto"/>
        </w:rPr>
      </w:pPr>
    </w:p>
    <w:p>
      <w:pPr>
        <w:jc w:val="both"/>
        <w:ind w:firstLine="870"/>
        <w:spacing w:after="0" w:line="242" w:lineRule="auto"/>
        <w:tabs>
          <w:tab w:leader="none" w:pos="1751"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4" w:lineRule="exact"/>
        <w:rPr>
          <w:rFonts w:ascii="Times New Roman" w:cs="Times New Roman" w:eastAsia="Times New Roman" w:hAnsi="Times New Roman"/>
          <w:sz w:val="21"/>
          <w:szCs w:val="21"/>
          <w:color w:val="auto"/>
        </w:rPr>
      </w:pPr>
    </w:p>
    <w:p>
      <w:pPr>
        <w:ind w:left="800" w:hanging="794"/>
        <w:spacing w:after="0"/>
        <w:tabs>
          <w:tab w:leader="none" w:pos="800" w:val="left"/>
        </w:tabs>
        <w:numPr>
          <w:ilvl w:val="0"/>
          <w:numId w:val="6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RECORDS</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color w:val="auto"/>
        </w:rPr>
        <w:t>The Participant agrees that he or he or she will keep and maintain adequate and current written records (in the form of notes, sketches, drawings or such other form(s) as may be specified by the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52" w:name="page53"/>
    <w:bookmarkEnd w:id="52"/>
    <w:p>
      <w:pPr>
        <w:spacing w:after="0" w:line="274" w:lineRule="auto"/>
        <w:rPr>
          <w:sz w:val="20"/>
          <w:szCs w:val="20"/>
          <w:color w:val="auto"/>
        </w:rPr>
      </w:pPr>
      <w:r>
        <w:rPr>
          <w:rFonts w:ascii="Times New Roman" w:cs="Times New Roman" w:eastAsia="Times New Roman" w:hAnsi="Times New Roman"/>
          <w:sz w:val="21"/>
          <w:szCs w:val="21"/>
          <w:color w:val="auto"/>
        </w:rPr>
        <w:t>Company) of all the Company Work Product made by the Participant during the term of his or his or her employment with the Company, which records shall be available at all times to the Company and shall remain the sole property of the Company.</w:t>
      </w:r>
    </w:p>
    <w:p>
      <w:pPr>
        <w:spacing w:after="0" w:line="137" w:lineRule="exact"/>
        <w:rPr>
          <w:sz w:val="20"/>
          <w:szCs w:val="20"/>
          <w:color w:val="auto"/>
        </w:rPr>
      </w:pPr>
    </w:p>
    <w:p>
      <w:pPr>
        <w:ind w:left="800" w:hanging="794"/>
        <w:spacing w:after="0"/>
        <w:tabs>
          <w:tab w:leader="none" w:pos="800"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PRESUMPTION</w:t>
      </w:r>
    </w:p>
    <w:p>
      <w:pPr>
        <w:spacing w:after="0" w:line="2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61" w:lineRule="exact"/>
        <w:rPr>
          <w:sz w:val="20"/>
          <w:szCs w:val="20"/>
          <w:color w:val="auto"/>
        </w:rPr>
      </w:pPr>
    </w:p>
    <w:p>
      <w:pPr>
        <w:ind w:left="920" w:hanging="914"/>
        <w:spacing w:after="0"/>
        <w:tabs>
          <w:tab w:leader="none" w:pos="920"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AGREEMENTS WITH THIRD PARTIES OR THE U.S. GOVERNMENT.</w:t>
      </w:r>
    </w:p>
    <w:p>
      <w:pPr>
        <w:spacing w:after="0" w:line="21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64" w:lineRule="exact"/>
        <w:rPr>
          <w:sz w:val="20"/>
          <w:szCs w:val="20"/>
          <w:color w:val="auto"/>
        </w:rPr>
      </w:pPr>
    </w:p>
    <w:p>
      <w:pPr>
        <w:ind w:left="900" w:hanging="894"/>
        <w:spacing w:after="0"/>
        <w:tabs>
          <w:tab w:leader="none" w:pos="900" w:val="left"/>
        </w:tabs>
        <w:numPr>
          <w:ilvl w:val="0"/>
          <w:numId w:val="6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INJUNCTIVE RELIEF</w:t>
      </w:r>
    </w:p>
    <w:p>
      <w:pPr>
        <w:spacing w:after="0" w:line="21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74" w:lineRule="exact"/>
        <w:rPr>
          <w:sz w:val="20"/>
          <w:szCs w:val="20"/>
          <w:color w:val="auto"/>
        </w:rPr>
      </w:pPr>
    </w:p>
    <w:p>
      <w:pPr>
        <w:ind w:left="920" w:hanging="914"/>
        <w:spacing w:after="0"/>
        <w:tabs>
          <w:tab w:leader="none" w:pos="920" w:val="left"/>
        </w:tabs>
        <w:numPr>
          <w:ilvl w:val="0"/>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DISCLOSURE OF OBLIGATIONS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53" w:name="page54"/>
    <w:bookmarkEnd w:id="53"/>
    <w:p>
      <w:pPr>
        <w:ind w:left="920" w:hanging="914"/>
        <w:spacing w:after="0"/>
        <w:tabs>
          <w:tab w:leader="none" w:pos="920"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JURISDICTION AND VENUE</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68" w:lineRule="exact"/>
        <w:rPr>
          <w:sz w:val="20"/>
          <w:szCs w:val="20"/>
          <w:color w:val="auto"/>
        </w:rPr>
      </w:pPr>
    </w:p>
    <w:p>
      <w:pPr>
        <w:ind w:left="920" w:hanging="914"/>
        <w:spacing w:after="0"/>
        <w:tabs>
          <w:tab w:leader="none" w:pos="920"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ASSIGNMENT; INUREMENT</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68" w:lineRule="exact"/>
        <w:rPr>
          <w:sz w:val="20"/>
          <w:szCs w:val="20"/>
          <w:color w:val="auto"/>
        </w:rPr>
      </w:pPr>
    </w:p>
    <w:p>
      <w:pPr>
        <w:ind w:left="920" w:hanging="914"/>
        <w:spacing w:after="0"/>
        <w:tabs>
          <w:tab w:leader="none" w:pos="92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SURVIVORSHIP</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1"/>
          <w:szCs w:val="21"/>
          <w:color w:val="auto"/>
        </w:rPr>
        <w:t>The rights and obligations of the parties to this Confidentiality and Inventions Agreement will survive termination of my employment with the Company.</w:t>
      </w:r>
    </w:p>
    <w:p>
      <w:pPr>
        <w:spacing w:after="0" w:line="137" w:lineRule="exact"/>
        <w:rPr>
          <w:sz w:val="20"/>
          <w:szCs w:val="20"/>
          <w:color w:val="auto"/>
        </w:rPr>
      </w:pPr>
    </w:p>
    <w:p>
      <w:pPr>
        <w:ind w:left="920" w:hanging="914"/>
        <w:spacing w:after="0"/>
        <w:tabs>
          <w:tab w:leader="none" w:pos="920" w:val="left"/>
        </w:tabs>
        <w:numPr>
          <w:ilvl w:val="0"/>
          <w:numId w:val="6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MISCELLANEOUS</w:t>
      </w:r>
    </w:p>
    <w:p>
      <w:pPr>
        <w:spacing w:after="0" w:line="2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68" w:lineRule="exact"/>
        <w:rPr>
          <w:sz w:val="20"/>
          <w:szCs w:val="20"/>
          <w:color w:val="auto"/>
        </w:rPr>
      </w:pPr>
    </w:p>
    <w:p>
      <w:pPr>
        <w:ind w:left="920" w:hanging="914"/>
        <w:spacing w:after="0"/>
        <w:tabs>
          <w:tab w:leader="none" w:pos="92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ACKNOWLEDGMENT</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71767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PERFORMANCE GOALS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w:t>
      </w:r>
      <w:r>
        <w:rPr>
          <w:rFonts w:ascii="Times New Roman" w:cs="Times New Roman" w:eastAsia="Times New Roman" w:hAnsi="Times New Roman"/>
          <w:sz w:val="14"/>
          <w:szCs w:val="14"/>
          <w:color w:val="auto"/>
        </w:rPr>
        <w:t>xhibit</w:t>
      </w:r>
      <w:r>
        <w:rPr>
          <w:rFonts w:ascii="Times New Roman" w:cs="Times New Roman" w:eastAsia="Times New Roman" w:hAnsi="Times New Roman"/>
          <w:sz w:val="21"/>
          <w:szCs w:val="21"/>
          <w:color w:val="auto"/>
        </w:rPr>
        <w:t xml:space="preserve"> 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w:t>
      </w:r>
      <w:r>
        <w:rPr>
          <w:rFonts w:ascii="Times New Roman" w:cs="Times New Roman" w:eastAsia="Times New Roman" w:hAnsi="Times New Roman"/>
          <w:sz w:val="14"/>
          <w:szCs w:val="14"/>
          <w:color w:val="auto"/>
        </w:rPr>
        <w:t>erformance</w:t>
      </w:r>
      <w:r>
        <w:rPr>
          <w:rFonts w:ascii="Times New Roman" w:cs="Times New Roman" w:eastAsia="Times New Roman" w:hAnsi="Times New Roman"/>
          <w:sz w:val="21"/>
          <w:szCs w:val="21"/>
          <w:color w:val="auto"/>
        </w:rPr>
        <w:t xml:space="preserve"> G</w:t>
      </w:r>
      <w:r>
        <w:rPr>
          <w:rFonts w:ascii="Times New Roman" w:cs="Times New Roman" w:eastAsia="Times New Roman" w:hAnsi="Times New Roman"/>
          <w:sz w:val="14"/>
          <w:szCs w:val="14"/>
          <w:color w:val="auto"/>
        </w:rPr>
        <w:t>oals</w:t>
      </w:r>
    </w:p>
    <w:p>
      <w:pPr>
        <w:sectPr>
          <w:pgSz w:w="11900" w:h="16838" w:orient="portrait"/>
          <w:cols w:equalWidth="0" w:num="1">
            <w:col w:w="9019"/>
          </w:cols>
          <w:pgMar w:left="1440" w:top="654" w:right="1440" w:bottom="1440" w:gutter="0" w:footer="0" w:header="0"/>
        </w:sectPr>
      </w:pPr>
    </w:p>
    <w:bookmarkStart w:id="55" w:name="page56"/>
    <w:bookmarkEnd w:id="55"/>
    <w:p>
      <w:pPr>
        <w:ind w:left="10160"/>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301625</wp:posOffset>
            </wp:positionV>
            <wp:extent cx="2856865" cy="7524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6865" cy="752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80"/>
        <w:spacing w:after="0"/>
        <w:tabs>
          <w:tab w:leader="none" w:pos="3480" w:val="left"/>
          <w:tab w:leader="none" w:pos="6760" w:val="left"/>
        </w:tabs>
        <w:rPr>
          <w:sz w:val="20"/>
          <w:szCs w:val="20"/>
          <w:color w:val="auto"/>
        </w:rPr>
      </w:pPr>
      <w:r>
        <w:rPr>
          <w:rFonts w:ascii="Times New Roman" w:cs="Times New Roman" w:eastAsia="Times New Roman" w:hAnsi="Times New Roman"/>
          <w:sz w:val="35"/>
          <w:szCs w:val="35"/>
          <w:color w:val="auto"/>
        </w:rPr>
        <w:t>•</w:t>
      </w:r>
      <w:r>
        <w:rPr>
          <w:rFonts w:ascii="Times New Roman" w:cs="Times New Roman" w:eastAsia="Times New Roman" w:hAnsi="Times New Roman"/>
          <w:sz w:val="17"/>
          <w:szCs w:val="17"/>
          <w:b w:val="1"/>
          <w:bCs w:val="1"/>
          <w:color w:val="auto"/>
        </w:rPr>
        <w:t>10850 Via Frontera</w:t>
      </w:r>
      <w:r>
        <w:rPr>
          <w:sz w:val="20"/>
          <w:szCs w:val="20"/>
          <w:color w:val="auto"/>
        </w:rPr>
        <w:tab/>
      </w:r>
      <w:r>
        <w:rPr>
          <w:rFonts w:ascii="Times New Roman" w:cs="Times New Roman" w:eastAsia="Times New Roman" w:hAnsi="Times New Roman"/>
          <w:sz w:val="35"/>
          <w:szCs w:val="35"/>
          <w:color w:val="auto"/>
        </w:rPr>
        <w:t>•</w:t>
      </w:r>
      <w:r>
        <w:rPr>
          <w:rFonts w:ascii="Times New Roman" w:cs="Times New Roman" w:eastAsia="Times New Roman" w:hAnsi="Times New Roman"/>
          <w:sz w:val="17"/>
          <w:szCs w:val="17"/>
          <w:b w:val="1"/>
          <w:bCs w:val="1"/>
          <w:color w:val="auto"/>
        </w:rPr>
        <w:t>San Diego, California 92127</w:t>
      </w:r>
      <w:r>
        <w:rPr>
          <w:sz w:val="20"/>
          <w:szCs w:val="20"/>
          <w:color w:val="auto"/>
        </w:rPr>
        <w:tab/>
      </w:r>
      <w:r>
        <w:rPr>
          <w:rFonts w:ascii="Times New Roman" w:cs="Times New Roman" w:eastAsia="Times New Roman" w:hAnsi="Times New Roman"/>
          <w:sz w:val="35"/>
          <w:szCs w:val="35"/>
          <w:color w:val="auto"/>
        </w:rPr>
        <w:t>•</w:t>
      </w:r>
      <w:r>
        <w:rPr>
          <w:rFonts w:ascii="Times New Roman" w:cs="Times New Roman" w:eastAsia="Times New Roman" w:hAnsi="Times New Roman"/>
          <w:sz w:val="17"/>
          <w:szCs w:val="17"/>
          <w:b w:val="1"/>
          <w:bCs w:val="1"/>
          <w:i w:val="1"/>
          <w:iCs w:val="1"/>
          <w:color w:val="auto"/>
        </w:rPr>
        <w:t>Phone</w:t>
      </w:r>
      <w:r>
        <w:rPr>
          <w:rFonts w:ascii="Times New Roman" w:cs="Times New Roman" w:eastAsia="Times New Roman" w:hAnsi="Times New Roman"/>
          <w:sz w:val="35"/>
          <w:szCs w:val="35"/>
          <w:color w:val="auto"/>
        </w:rPr>
        <w:t xml:space="preserve"> </w:t>
      </w:r>
      <w:r>
        <w:rPr>
          <w:rFonts w:ascii="Times New Roman" w:cs="Times New Roman" w:eastAsia="Times New Roman" w:hAnsi="Times New Roman"/>
          <w:sz w:val="17"/>
          <w:szCs w:val="17"/>
          <w:u w:val="single" w:color="auto"/>
          <w:color w:val="auto"/>
        </w:rPr>
        <w:t>858.453,7845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-240030</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August 21, 2016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John M. Zavada</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John,</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At Petco, we share a common vision of Healthier Pets. Happier People. Better World. and our success depends on our 26,000+ Partners across the country who are living our brand promise to nurture powerful relationships between pets and people.</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It's a great time to join us. We're in a fun and growing category, and we're COmmitted to our Petco 2020 goals and strategies. As we've learned more about you, we believe that you'll be a valued and important member of our senior leadership team.</w:t>
      </w:r>
    </w:p>
    <w:p>
      <w:pPr>
        <w:spacing w:after="0" w:line="1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behalf of Petco Animal Supplies Stores, Incorporated, ("Petco" or the "Company"), I am delighted to invite you to join the Petco senior leadership team and am pleased to extend a contingent offer of employment to you as Senior Vice President, Chief Information Officer, reporting directly to Mike Nuzzo, Executive Vice President &amp; Chief Financial Officer. Based on our discussions, your anticipated first day of work is Monday, September 19, 2016. Please take a moment to review the details of your offer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Compensation </w:t>
      </w:r>
      <w:r>
        <w:rPr>
          <w:rFonts w:ascii="Times New Roman" w:cs="Times New Roman" w:eastAsia="Times New Roman" w:hAnsi="Times New Roman"/>
          <w:sz w:val="20"/>
          <w:szCs w:val="20"/>
          <w:color w:val="auto"/>
        </w:rPr>
        <w:t>- Your compensation will be $450,000 per year, paid on a bi-weekly basis.</w:t>
      </w: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i w:val="1"/>
          <w:iCs w:val="1"/>
          <w:color w:val="auto"/>
        </w:rPr>
        <w:t xml:space="preserve">Annual Incentive </w:t>
      </w:r>
      <w:r>
        <w:rPr>
          <w:rFonts w:ascii="Times New Roman" w:cs="Times New Roman" w:eastAsia="Times New Roman" w:hAnsi="Times New Roman"/>
          <w:sz w:val="20"/>
          <w:szCs w:val="20"/>
          <w:color w:val="auto"/>
        </w:rPr>
        <w:t>- Provided the Board of Managers approves an incentive payment for the fiscal year, you will be eligible for incentive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consideration based on 50% of your annual base salary (prorated from your hire date to start of the next fiscal year). To be eligible for incentive consideration during your first year of employment, your start date must be before December 1. Incentive payments for senior executives are awarded based on achievement of annual company performance targets, and, if approved, are typically awarded in late April. You must be employed at Petco at the time the incentive is paid in order to be eligible to receive a payment, The Company reserves the right to modify or terminate the incentive plan at its sole discretion.</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Long Term Incentive </w:t>
      </w:r>
      <w:r>
        <w:rPr>
          <w:rFonts w:ascii="Times New Roman" w:cs="Times New Roman" w:eastAsia="Times New Roman" w:hAnsi="Times New Roman"/>
          <w:sz w:val="20"/>
          <w:szCs w:val="20"/>
          <w:color w:val="auto"/>
        </w:rPr>
        <w:t>- Following the commencement of employment with the Company and subject to Board approval and applicable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terms, you will receive an award of partnership profits interests in the form of 3,000,000 Performance Incentive Units (P Units). Following approval of your grant, you will receive from the Law Department important details about your award, including an Award Agreement and processing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328295</wp:posOffset>
            </wp:positionV>
            <wp:extent cx="71767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Relocation </w:t>
      </w:r>
      <w:r>
        <w:rPr>
          <w:rFonts w:ascii="Times New Roman" w:cs="Times New Roman" w:eastAsia="Times New Roman" w:hAnsi="Times New Roman"/>
          <w:sz w:val="20"/>
          <w:szCs w:val="20"/>
          <w:color w:val="auto"/>
        </w:rPr>
        <w:t>- To assist you with your move to your new position in San Diego, California, we are pleased to provide you with relocation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assistance through our third-party provider, Cartus. Please find the attached PDF for Package D-Homeowner that describes your benefits in detail. A Cartus representative will contact you directly within three business days after signing your offer letter.</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Benefits </w:t>
      </w:r>
      <w:r>
        <w:rPr>
          <w:rFonts w:ascii="Times New Roman" w:cs="Times New Roman" w:eastAsia="Times New Roman" w:hAnsi="Times New Roman"/>
          <w:sz w:val="20"/>
          <w:szCs w:val="20"/>
          <w:color w:val="auto"/>
        </w:rPr>
        <w:t>- Petco offers an excellent benefits package including medical, dental, vision, life insurance, nonqualified deferred compensation plan,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 informal time off work program and Petco merchandise and services discounts, You are eligible to begin your participation in our benefits program on your first day of employment. We also offer a 401(k) program that allows you to participate on the first day of the month following one year of service. Please see the attached Benefits-At-A-GIance document regarding the benefits package.</w:t>
      </w:r>
    </w:p>
    <w:p>
      <w:pPr>
        <w:spacing w:after="0" w:line="179" w:lineRule="exact"/>
        <w:rPr>
          <w:sz w:val="20"/>
          <w:szCs w:val="20"/>
          <w:color w:val="auto"/>
        </w:rPr>
      </w:pPr>
    </w:p>
    <w:p>
      <w:pPr>
        <w:jc w:val="both"/>
        <w:spacing w:after="0" w:line="319" w:lineRule="auto"/>
        <w:rPr>
          <w:sz w:val="20"/>
          <w:szCs w:val="20"/>
          <w:color w:val="auto"/>
        </w:rPr>
      </w:pPr>
      <w:r>
        <w:rPr>
          <w:rFonts w:ascii="Times New Roman" w:cs="Times New Roman" w:eastAsia="Times New Roman" w:hAnsi="Times New Roman"/>
          <w:sz w:val="18"/>
          <w:szCs w:val="18"/>
          <w:i w:val="1"/>
          <w:iCs w:val="1"/>
          <w:color w:val="auto"/>
        </w:rPr>
        <w:t xml:space="preserve">Financial and Tax Preparation Services </w:t>
      </w:r>
      <w:r>
        <w:rPr>
          <w:rFonts w:ascii="Times New Roman" w:cs="Times New Roman" w:eastAsia="Times New Roman" w:hAnsi="Times New Roman"/>
          <w:sz w:val="18"/>
          <w:szCs w:val="18"/>
          <w:color w:val="auto"/>
        </w:rPr>
        <w:t>- As a senior officer, you will be eligible for financial planning and tax preparation services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AYCO Financial Services, a Goldman Sachs company. This service is paid for by the Company, and treated as income to you for tax purposes.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Executive Physical </w:t>
      </w:r>
      <w:r>
        <w:rPr>
          <w:rFonts w:ascii="Times New Roman" w:cs="Times New Roman" w:eastAsia="Times New Roman" w:hAnsi="Times New Roman"/>
          <w:sz w:val="20"/>
          <w:szCs w:val="20"/>
          <w:color w:val="auto"/>
        </w:rPr>
        <w:t>- As a senior officer, you will be eligible to receive an annual comprehensive wellness exam provided through Scripps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Center for Executive Health. This service is paid for by the Company, and treated as income to you for tax purposes.</w:t>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offer is contingent upon our receipt and verification of various pre-employment screening elements including, but not limited to: educational record as you have stated on your application and/or resume; background check results; and assessments results/profiles. If you accept this contingent offer of employment, we suggest that you do not give notice to your current employer or make any other arrangements with respect to potential employment with the Company until you have been notified that we have successfully completed all components of this pre-employment process.</w:t>
      </w: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Petco is an "at will" employer and as such, employment with Petco is not for a fixed term or definite period and may be terminated at the will of either party, with or without cause, and without prior notice, No supervisor or other representative of the Company (except the Chief Executive Officer) has the authority to enter into any agreement for employment for any specified period of time, or to make any agreement contrary to the above. This is the final and complete agreement on this term. Any contrary representations which may have been made or which may be made to you are superseded by this offer, If you accept this contingent offer, the terms described in this letter shall be the terms of your employment.</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All Petco partners are expected to adhere to the Petco Code of Ethics and the corresponding policies and procedures as a condition of employment. You will be provided a copy of the Code of Ethics upon hire and are encouraged to read it thoroughly and notify your supervisor of any questions you may have pertaining to the Code of Ethics.</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John, we look forward to having you as a member of the Petco senior leadership team and to the contributions you will make. To acknowledge and accept the above-described offer, please sign, date, scan and email a copy of this letter to me at on or before August 22, 2016. If you have any questions, please call me at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Charles R. Piscitello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346075</wp:posOffset>
            </wp:positionV>
            <wp:extent cx="717677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5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Acknowledged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John Zavada</w:t>
            </w:r>
          </w:p>
        </w:tc>
        <w:tc>
          <w:tcPr>
            <w:tcW w:w="1960" w:type="dxa"/>
            <w:vAlign w:val="bottom"/>
          </w:tcPr>
          <w:p>
            <w:pPr>
              <w:ind w:left="1360"/>
              <w:spacing w:after="0"/>
              <w:rPr>
                <w:sz w:val="20"/>
                <w:szCs w:val="20"/>
                <w:color w:val="auto"/>
              </w:rPr>
            </w:pPr>
            <w:r>
              <w:rPr>
                <w:rFonts w:ascii="Times New Roman" w:cs="Times New Roman" w:eastAsia="Times New Roman" w:hAnsi="Times New Roman"/>
                <w:sz w:val="20"/>
                <w:szCs w:val="20"/>
                <w:color w:val="auto"/>
                <w:w w:val="94"/>
              </w:rPr>
              <w:t>8/21/16</w:t>
            </w:r>
          </w:p>
        </w:tc>
      </w:tr>
      <w:tr>
        <w:trPr>
          <w:trHeight w:val="445"/>
        </w:trPr>
        <w:tc>
          <w:tcPr>
            <w:tcW w:w="6240" w:type="dxa"/>
            <w:vAlign w:val="bottom"/>
          </w:tcPr>
          <w:p>
            <w:pPr>
              <w:spacing w:after="0"/>
              <w:rPr>
                <w:sz w:val="20"/>
                <w:szCs w:val="20"/>
                <w:color w:val="auto"/>
              </w:rPr>
            </w:pPr>
            <w:r>
              <w:rPr>
                <w:rFonts w:ascii="Times New Roman" w:cs="Times New Roman" w:eastAsia="Times New Roman" w:hAnsi="Times New Roman"/>
                <w:sz w:val="20"/>
                <w:szCs w:val="20"/>
                <w:i w:val="1"/>
                <w:iCs w:val="1"/>
                <w:color w:val="auto"/>
              </w:rPr>
              <w:t>Signature</w:t>
            </w:r>
          </w:p>
        </w:tc>
        <w:tc>
          <w:tcPr>
            <w:tcW w:w="1960" w:type="dxa"/>
            <w:vAlign w:val="bottom"/>
          </w:tcPr>
          <w:p>
            <w:pPr>
              <w:ind w:left="1360"/>
              <w:spacing w:after="0"/>
              <w:rPr>
                <w:sz w:val="20"/>
                <w:szCs w:val="20"/>
                <w:color w:val="auto"/>
              </w:rPr>
            </w:pPr>
            <w:r>
              <w:rPr>
                <w:rFonts w:ascii="Times New Roman" w:cs="Times New Roman" w:eastAsia="Times New Roman" w:hAnsi="Times New Roman"/>
                <w:sz w:val="20"/>
                <w:szCs w:val="20"/>
                <w:i w:val="1"/>
                <w:iCs w:val="1"/>
                <w:color w:val="auto"/>
              </w:rPr>
              <w:t>Date</w:t>
            </w:r>
          </w:p>
        </w:tc>
      </w:tr>
    </w:tbl>
    <w:p>
      <w:pPr>
        <w:jc w:val="right"/>
        <w:spacing w:after="0" w:line="236" w:lineRule="auto"/>
        <w:rPr>
          <w:sz w:val="20"/>
          <w:szCs w:val="20"/>
          <w:color w:val="auto"/>
        </w:rPr>
      </w:pPr>
      <w:r>
        <w:rPr>
          <w:rFonts w:ascii="Times New Roman" w:cs="Times New Roman" w:eastAsia="Times New Roman" w:hAnsi="Times New Roman"/>
          <w:sz w:val="20"/>
          <w:szCs w:val="20"/>
          <w:color w:val="auto"/>
        </w:rPr>
        <w:t>2 of 2</w:t>
      </w:r>
    </w:p>
    <w:p>
      <w:pPr>
        <w:jc w:val="right"/>
        <w:spacing w:after="0"/>
        <w:rPr>
          <w:sz w:val="20"/>
          <w:szCs w:val="20"/>
          <w:color w:val="auto"/>
        </w:rPr>
      </w:pPr>
      <w:r>
        <w:rPr>
          <w:rFonts w:ascii="Times New Roman" w:cs="Times New Roman" w:eastAsia="Times New Roman" w:hAnsi="Times New Roman"/>
          <w:sz w:val="20"/>
          <w:szCs w:val="20"/>
          <w:color w:val="auto"/>
        </w:rPr>
        <w:t>SENIOR OFFICER LEVEL</w:t>
      </w:r>
    </w:p>
    <w:p>
      <w:pPr>
        <w:sectPr>
          <w:pgSz w:w="11900" w:h="16838" w:orient="portrait"/>
          <w:cols w:equalWidth="0" w:num="1">
            <w:col w:w="10760"/>
          </w:cols>
          <w:pgMar w:left="320" w:top="769" w:right="8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21"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3"/>
          <w:szCs w:val="23"/>
          <w:b w:val="1"/>
          <w:bCs w:val="1"/>
          <w:color w:val="auto"/>
        </w:rPr>
        <w:t>SPECIAL RETENTION BONUS AGREEMENT</w:t>
      </w:r>
    </w:p>
    <w:p>
      <w:pPr>
        <w:spacing w:after="0" w:line="219" w:lineRule="exact"/>
        <w:rPr>
          <w:sz w:val="20"/>
          <w:szCs w:val="20"/>
          <w:color w:val="auto"/>
        </w:rPr>
      </w:pPr>
    </w:p>
    <w:p>
      <w:pPr>
        <w:ind w:firstLine="875"/>
        <w:spacing w:after="0" w:line="278" w:lineRule="auto"/>
        <w:rPr>
          <w:sz w:val="20"/>
          <w:szCs w:val="20"/>
          <w:color w:val="auto"/>
        </w:rPr>
      </w:pPr>
      <w:r>
        <w:rPr>
          <w:rFonts w:ascii="Times New Roman" w:cs="Times New Roman" w:eastAsia="Times New Roman" w:hAnsi="Times New Roman"/>
          <w:sz w:val="21"/>
          <w:szCs w:val="21"/>
          <w:color w:val="auto"/>
        </w:rPr>
        <w:t xml:space="preserve">THIS SPECIAL RETENTION BONUS AGREEMENT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xml:space="preserve">) is entered into as of August 31, 2018 between Petco Animal Supplies,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and John Zavada (the </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WHEREAS, the Employee is a key executive and is critical to the future success of the Company; and</w:t>
      </w:r>
    </w:p>
    <w:p>
      <w:pPr>
        <w:spacing w:after="0" w:line="211" w:lineRule="exact"/>
        <w:rPr>
          <w:sz w:val="20"/>
          <w:szCs w:val="20"/>
          <w:color w:val="auto"/>
        </w:rPr>
      </w:pPr>
    </w:p>
    <w:p>
      <w:pPr>
        <w:ind w:firstLine="875"/>
        <w:spacing w:after="0" w:line="274" w:lineRule="auto"/>
        <w:rPr>
          <w:sz w:val="20"/>
          <w:szCs w:val="20"/>
          <w:color w:val="auto"/>
        </w:rPr>
      </w:pPr>
      <w:r>
        <w:rPr>
          <w:rFonts w:ascii="Times New Roman" w:cs="Times New Roman" w:eastAsia="Times New Roman" w:hAnsi="Times New Roman"/>
          <w:sz w:val="21"/>
          <w:szCs w:val="21"/>
          <w:color w:val="auto"/>
        </w:rPr>
        <w:t>WHEREAS, the Company wishes to incentivize the Employee to remain with the Company in order to help drive the success of the Company.</w:t>
      </w:r>
    </w:p>
    <w:p>
      <w:pPr>
        <w:spacing w:after="0" w:line="141" w:lineRule="exact"/>
        <w:rPr>
          <w:sz w:val="20"/>
          <w:szCs w:val="20"/>
          <w:color w:val="auto"/>
        </w:rPr>
      </w:pPr>
    </w:p>
    <w:p>
      <w:pPr>
        <w:ind w:firstLine="875"/>
        <w:spacing w:after="0" w:line="274" w:lineRule="auto"/>
        <w:rPr>
          <w:sz w:val="20"/>
          <w:szCs w:val="20"/>
          <w:color w:val="auto"/>
        </w:rPr>
      </w:pPr>
      <w:r>
        <w:rPr>
          <w:rFonts w:ascii="Times New Roman" w:cs="Times New Roman" w:eastAsia="Times New Roman" w:hAnsi="Times New Roman"/>
          <w:sz w:val="21"/>
          <w:szCs w:val="21"/>
          <w:color w:val="auto"/>
        </w:rPr>
        <w:t>NOW, THEREFORE, in consideration of the mutual covenants contained herein and other good and valuable consideration, the receipt and sufficiency of which are hereby acknowledged, the parties hereto agree as follows:</w:t>
      </w:r>
    </w:p>
    <w:p>
      <w:pPr>
        <w:spacing w:after="0" w:line="154" w:lineRule="exact"/>
        <w:rPr>
          <w:sz w:val="20"/>
          <w:szCs w:val="20"/>
          <w:color w:val="auto"/>
        </w:rPr>
      </w:pPr>
    </w:p>
    <w:p>
      <w:pPr>
        <w:jc w:val="both"/>
        <w:ind w:left="20" w:right="40" w:firstLine="868"/>
        <w:spacing w:after="0" w:line="239" w:lineRule="auto"/>
        <w:tabs>
          <w:tab w:leader="none" w:pos="1702" w:val="left"/>
        </w:tabs>
        <w:numPr>
          <w:ilvl w:val="0"/>
          <w:numId w:val="70"/>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Cash Retention Bonuses</w:t>
      </w:r>
      <w:r>
        <w:rPr>
          <w:rFonts w:ascii="Times New Roman" w:cs="Times New Roman" w:eastAsia="Times New Roman" w:hAnsi="Times New Roman"/>
          <w:sz w:val="21"/>
          <w:szCs w:val="21"/>
          <w:color w:val="auto"/>
        </w:rPr>
        <w:t xml:space="preserve">. The Employee shall be eligible to receive cash retention bonuses in the aggregate amount $1,500,000 (collectively, the </w:t>
      </w:r>
      <w:r>
        <w:rPr>
          <w:rFonts w:ascii="Times New Roman" w:cs="Times New Roman" w:eastAsia="Times New Roman" w:hAnsi="Times New Roman"/>
          <w:sz w:val="21"/>
          <w:szCs w:val="21"/>
          <w:b w:val="1"/>
          <w:bCs w:val="1"/>
          <w:color w:val="auto"/>
        </w:rPr>
        <w:t>“Bonus”</w:t>
      </w:r>
      <w:r>
        <w:rPr>
          <w:rFonts w:ascii="Times New Roman" w:cs="Times New Roman" w:eastAsia="Times New Roman" w:hAnsi="Times New Roman"/>
          <w:sz w:val="21"/>
          <w:szCs w:val="21"/>
          <w:color w:val="auto"/>
        </w:rPr>
        <w:t>). Subject to the Employee’s continued employment through September 30, 2019, the Company shall pay the Employee one-third of the Bonus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$500,000) on the first payroll date following such date. In addition, subject to the Employee's continued employment through March 31, 2021, the Company shall pay the Employee two-thirds of the Bonus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$1,000,000) on the first payroll date following such date. Notwithstanding the foregoing, (a) if a Change in Control occurs prior to payment of the entire Bonus and the Employee remains employed by the Company through the date of such Change in Control, any unpaid portion of the Bonus shall be paid to him promptly following such Change in Control (and in no event later than March 15 of the year following the year in which the Change in Control occurs), or (b) if the Employee’s employment is terminated by the Company without Cause prior to the payment of the full amount of the Bonus, then a Pro Rata Bonus shall be paid to the Employee promptly following his execution and nonrevocation of a severance agreement and general release of claims presented by the Company (which such release of claims must be executed and returned by the Employee within 30 days following his termination date). For purposes of this Agreement, (i) </w:t>
      </w: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xml:space="preserve"> means (A) the Employee’s material breach of any agreement with the Company, which breach is not cured within thirty (30) days of receipt by the Employee of written notice from the Company specifying the breach; (B) the willful failure or refusal by the Employee to substantially perform his duties that has not been remedied within thirty (30) business days after written demand for substantial performance has been delivered to the Employee; (C) the conviction of the Employee of, or the entering of a plea of nolo contendere by the Employee with respect to, a felony or a misdemeanor involving moral turpitude; or (D) the Employee’s inability or failure to competently perform his duties in any material respect due to the use of drugs or alcohol; (ii) </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xml:space="preserve"> has the meaning specified in the Common Series C Unit Agreement between the Employee and Scooby LP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xml:space="preserve">); and (iii) </w:t>
      </w:r>
      <w:r>
        <w:rPr>
          <w:rFonts w:ascii="Times New Roman" w:cs="Times New Roman" w:eastAsia="Times New Roman" w:hAnsi="Times New Roman"/>
          <w:sz w:val="21"/>
          <w:szCs w:val="21"/>
          <w:b w:val="1"/>
          <w:bCs w:val="1"/>
          <w:color w:val="auto"/>
        </w:rPr>
        <w:t>“Pro Rata Bonus”</w:t>
      </w:r>
      <w:r>
        <w:rPr>
          <w:rFonts w:ascii="Times New Roman" w:cs="Times New Roman" w:eastAsia="Times New Roman" w:hAnsi="Times New Roman"/>
          <w:sz w:val="21"/>
          <w:szCs w:val="21"/>
          <w:color w:val="auto"/>
        </w:rPr>
        <w:t xml:space="preserve"> means (A) the product of the Bonus and a fraction, the numerator of which is the number of days from the date of this Agreement through the date of termination and the denominator of which is the number of days from the date of this Agreement through March 31, 2021, less (B) any portion of the Bonus previously paid (but in no event with the Pro Rata Bonus be a negative number). For the avoidance of doubt, no further payments of the Bonus shall be made if the Employee’s employment with the Company terminates for any reason prior to a vesting date or a Change in Control, as applicable, except as specifically provided in this Section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332105</wp:posOffset>
            </wp:positionV>
            <wp:extent cx="71767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p>
      <w:pPr>
        <w:jc w:val="both"/>
        <w:ind w:firstLine="882"/>
        <w:spacing w:after="0" w:line="243" w:lineRule="auto"/>
        <w:tabs>
          <w:tab w:leader="none" w:pos="1687"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Guaranteed Bonus for Current Fiscal Year</w:t>
      </w:r>
      <w:r>
        <w:rPr>
          <w:rFonts w:ascii="Times New Roman" w:cs="Times New Roman" w:eastAsia="Times New Roman" w:hAnsi="Times New Roman"/>
          <w:sz w:val="21"/>
          <w:szCs w:val="21"/>
          <w:color w:val="auto"/>
        </w:rPr>
        <w:t xml:space="preserve">. The annual cash bonus payable to the Employee for the Company’s fiscal year ending in January 2019 shall be no less than $168,750 (which is 75% of the Employee’s target bonus for the fiscal year) (the </w:t>
      </w:r>
      <w:r>
        <w:rPr>
          <w:rFonts w:ascii="Times New Roman" w:cs="Times New Roman" w:eastAsia="Times New Roman" w:hAnsi="Times New Roman"/>
          <w:sz w:val="21"/>
          <w:szCs w:val="21"/>
          <w:b w:val="1"/>
          <w:bCs w:val="1"/>
          <w:color w:val="auto"/>
        </w:rPr>
        <w:t>“Guaranteed Bonus”</w:t>
      </w:r>
      <w:r>
        <w:rPr>
          <w:rFonts w:ascii="Times New Roman" w:cs="Times New Roman" w:eastAsia="Times New Roman" w:hAnsi="Times New Roman"/>
          <w:sz w:val="21"/>
          <w:szCs w:val="21"/>
          <w:color w:val="auto"/>
        </w:rPr>
        <w:t>), regardless of performance. The Guaranteed Bonus will be paid at the same time as executive bonuses are paid generally for such fiscal year, and otherwise shall be subject to the continued employment and other terms and conditions to receive such annual bonuses. For the avoidance of doubt, the actual annual bonus for such fiscal year may exceed the Guaranteed Bonus based on actual performance relative to the applicable performance goals.</w:t>
      </w:r>
    </w:p>
    <w:p>
      <w:pPr>
        <w:spacing w:after="0" w:line="186" w:lineRule="exact"/>
        <w:rPr>
          <w:rFonts w:ascii="Times New Roman" w:cs="Times New Roman" w:eastAsia="Times New Roman" w:hAnsi="Times New Roman"/>
          <w:sz w:val="23"/>
          <w:szCs w:val="23"/>
          <w:color w:val="auto"/>
        </w:rPr>
      </w:pPr>
    </w:p>
    <w:p>
      <w:pPr>
        <w:jc w:val="both"/>
        <w:ind w:firstLine="882"/>
        <w:spacing w:after="0" w:line="244" w:lineRule="auto"/>
        <w:tabs>
          <w:tab w:leader="none" w:pos="1687"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IRS Golden Parachute Rules</w:t>
      </w:r>
      <w:r>
        <w:rPr>
          <w:rFonts w:ascii="Times New Roman" w:cs="Times New Roman" w:eastAsia="Times New Roman" w:hAnsi="Times New Roman"/>
          <w:sz w:val="21"/>
          <w:szCs w:val="21"/>
          <w:color w:val="auto"/>
        </w:rPr>
        <w:t>. Notwithstanding any provision of this Agreement to the contrary, if the Bonus is payable in connection with a Change in Control and such Bonus, when combined with all other payments that may be received by the Employee that are treated as having been made in connection with such Change in Control, equals or exceeds three times the Employee’s base amount (as such term is defined by Section 280G(b)(3) of the Internal Revenue Code), such payments will be subject to a shareholder vote meeting the requirements of Section 280G(b)(5) of the Internal Revenue Code.</w:t>
      </w:r>
    </w:p>
    <w:p>
      <w:pPr>
        <w:spacing w:after="0" w:line="186" w:lineRule="exact"/>
        <w:rPr>
          <w:rFonts w:ascii="Times New Roman" w:cs="Times New Roman" w:eastAsia="Times New Roman" w:hAnsi="Times New Roman"/>
          <w:sz w:val="23"/>
          <w:szCs w:val="23"/>
          <w:color w:val="auto"/>
        </w:rPr>
      </w:pPr>
    </w:p>
    <w:p>
      <w:pPr>
        <w:jc w:val="both"/>
        <w:ind w:firstLine="882"/>
        <w:spacing w:after="0" w:line="250" w:lineRule="auto"/>
        <w:tabs>
          <w:tab w:leader="none" w:pos="1687"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Short-Term Deferral Rule</w:t>
      </w:r>
      <w:r>
        <w:rPr>
          <w:rFonts w:ascii="Times New Roman" w:cs="Times New Roman" w:eastAsia="Times New Roman" w:hAnsi="Times New Roman"/>
          <w:sz w:val="21"/>
          <w:szCs w:val="21"/>
          <w:color w:val="auto"/>
        </w:rPr>
        <w:t>. The payments hereunder are intended to be exempt from coverage under Section 409A of the Internal Revenue Code pursuant to the “short-term deferral rule”, and the Agreement shall be interpreted and applied accordingly.</w:t>
      </w:r>
    </w:p>
    <w:p>
      <w:pPr>
        <w:spacing w:after="0" w:line="179" w:lineRule="exact"/>
        <w:rPr>
          <w:rFonts w:ascii="Times New Roman" w:cs="Times New Roman" w:eastAsia="Times New Roman" w:hAnsi="Times New Roman"/>
          <w:sz w:val="23"/>
          <w:szCs w:val="23"/>
          <w:color w:val="auto"/>
        </w:rPr>
      </w:pPr>
    </w:p>
    <w:p>
      <w:pPr>
        <w:ind w:left="1700" w:hanging="818"/>
        <w:spacing w:after="0"/>
        <w:tabs>
          <w:tab w:leader="none" w:pos="1700"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All payments hereunder are subject to all tax and other legally-required withholdings.</w:t>
      </w:r>
    </w:p>
    <w:p>
      <w:pPr>
        <w:spacing w:after="0" w:line="214" w:lineRule="exact"/>
        <w:rPr>
          <w:rFonts w:ascii="Times New Roman" w:cs="Times New Roman" w:eastAsia="Times New Roman" w:hAnsi="Times New Roman"/>
          <w:sz w:val="23"/>
          <w:szCs w:val="23"/>
          <w:color w:val="auto"/>
        </w:rPr>
      </w:pPr>
    </w:p>
    <w:p>
      <w:pPr>
        <w:jc w:val="both"/>
        <w:ind w:firstLine="882"/>
        <w:spacing w:after="0" w:line="250" w:lineRule="auto"/>
        <w:tabs>
          <w:tab w:leader="none" w:pos="1687"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Entire Agreement/Amendment</w:t>
      </w:r>
      <w:r>
        <w:rPr>
          <w:rFonts w:ascii="Times New Roman" w:cs="Times New Roman" w:eastAsia="Times New Roman" w:hAnsi="Times New Roman"/>
          <w:sz w:val="21"/>
          <w:szCs w:val="21"/>
          <w:color w:val="auto"/>
        </w:rPr>
        <w:t>. This Agreement supersedes any prior verbal or written agreement with respect to the subject matter hereof. The provisions of this Agreement may be amended or waived only with the prior written consent of the Company and the Employee.</w:t>
      </w:r>
    </w:p>
    <w:p>
      <w:pPr>
        <w:spacing w:after="0" w:line="179" w:lineRule="exact"/>
        <w:rPr>
          <w:rFonts w:ascii="Times New Roman" w:cs="Times New Roman" w:eastAsia="Times New Roman" w:hAnsi="Times New Roman"/>
          <w:sz w:val="23"/>
          <w:szCs w:val="23"/>
          <w:color w:val="auto"/>
        </w:rPr>
      </w:pPr>
    </w:p>
    <w:p>
      <w:pPr>
        <w:jc w:val="both"/>
        <w:ind w:firstLine="882"/>
        <w:spacing w:after="0" w:line="250" w:lineRule="auto"/>
        <w:tabs>
          <w:tab w:leader="none" w:pos="1687"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in accordance with, the internal laws of the State of California, without regard to the laws of any other jurisdiction that might be applied because of the conflicts of laws principles of the State of California.</w:t>
      </w:r>
    </w:p>
    <w:p>
      <w:pPr>
        <w:spacing w:after="0" w:line="179" w:lineRule="exact"/>
        <w:rPr>
          <w:rFonts w:ascii="Times New Roman" w:cs="Times New Roman" w:eastAsia="Times New Roman" w:hAnsi="Times New Roman"/>
          <w:sz w:val="23"/>
          <w:szCs w:val="23"/>
          <w:color w:val="auto"/>
        </w:rPr>
      </w:pPr>
    </w:p>
    <w:p>
      <w:pPr>
        <w:ind w:left="1700" w:hanging="818"/>
        <w:spacing w:after="0"/>
        <w:tabs>
          <w:tab w:leader="none" w:pos="1700"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in this Agreement are inserted for convenience only and shall not constitute a part</w:t>
      </w:r>
    </w:p>
    <w:p>
      <w:pPr>
        <w:spacing w:after="0" w:line="12" w:lineRule="exact"/>
        <w:rPr>
          <w:rFonts w:ascii="Times New Roman" w:cs="Times New Roman" w:eastAsia="Times New Roman" w:hAnsi="Times New Roman"/>
          <w:sz w:val="23"/>
          <w:szCs w:val="23"/>
          <w:color w:val="auto"/>
        </w:rPr>
      </w:pPr>
    </w:p>
    <w:p>
      <w:pPr>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hereof.</w:t>
      </w:r>
    </w:p>
    <w:p>
      <w:pPr>
        <w:spacing w:after="0" w:line="200" w:lineRule="exact"/>
        <w:rPr>
          <w:rFonts w:ascii="Times New Roman" w:cs="Times New Roman" w:eastAsia="Times New Roman" w:hAnsi="Times New Roman"/>
          <w:sz w:val="23"/>
          <w:szCs w:val="23"/>
          <w:color w:val="auto"/>
        </w:rPr>
      </w:pPr>
    </w:p>
    <w:p>
      <w:pPr>
        <w:jc w:val="both"/>
        <w:ind w:firstLine="882"/>
        <w:spacing w:after="0" w:line="250" w:lineRule="auto"/>
        <w:tabs>
          <w:tab w:leader="none" w:pos="1687"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Assignment; Third Party Beneficiary</w:t>
      </w:r>
      <w:r>
        <w:rPr>
          <w:rFonts w:ascii="Times New Roman" w:cs="Times New Roman" w:eastAsia="Times New Roman" w:hAnsi="Times New Roman"/>
          <w:sz w:val="21"/>
          <w:szCs w:val="21"/>
          <w:color w:val="auto"/>
        </w:rPr>
        <w:t>. This Agreement may not be assigned by any party hereto without the written consent of the other party hereto. This Agreement shall be binding upon, inure to the benefit of, and be enforceable by the patties hereto and their respective heirs, personal representatives, legatees, successors and permitted assigns.</w:t>
      </w:r>
    </w:p>
    <w:p>
      <w:pPr>
        <w:spacing w:after="0" w:line="179" w:lineRule="exact"/>
        <w:rPr>
          <w:rFonts w:ascii="Times New Roman" w:cs="Times New Roman" w:eastAsia="Times New Roman" w:hAnsi="Times New Roman"/>
          <w:sz w:val="23"/>
          <w:szCs w:val="23"/>
          <w:color w:val="auto"/>
        </w:rPr>
      </w:pPr>
    </w:p>
    <w:p>
      <w:pPr>
        <w:jc w:val="both"/>
        <w:ind w:firstLine="882"/>
        <w:spacing w:after="0" w:line="244" w:lineRule="auto"/>
        <w:tabs>
          <w:tab w:leader="none" w:pos="1802" w:val="left"/>
        </w:tabs>
        <w:numPr>
          <w:ilvl w:val="0"/>
          <w:numId w:val="71"/>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The provisions of this Agreement shall be deemed severable, and if any part of any provision is held illegal, void or invalid under applicable law, such provision may be changed to the extent reasonably necessary to make the provision, as so changed, legal, valid and binding. If any provision of this Agreement is held illegal, void or invalid in its entirety, the remaining provisions of this Agreement shall not in any way be affected or impaired but shall remain binding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326390</wp:posOffset>
            </wp:positionV>
            <wp:extent cx="71767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77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60" w:name="page61"/>
    <w:bookmarkEnd w:id="60"/>
    <w:p>
      <w:pPr>
        <w:jc w:val="both"/>
        <w:ind w:firstLine="882"/>
        <w:spacing w:after="0" w:line="246" w:lineRule="auto"/>
        <w:tabs>
          <w:tab w:leader="none" w:pos="1794" w:val="left"/>
        </w:tabs>
        <w:numPr>
          <w:ilvl w:val="0"/>
          <w:numId w:val="72"/>
        </w:numPr>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u w:val="single" w:color="auto"/>
          <w:color w:val="auto"/>
        </w:rPr>
        <w:t>Counterparts; Facsimiles</w:t>
      </w:r>
      <w:r>
        <w:rPr>
          <w:rFonts w:ascii="Times New Roman" w:cs="Times New Roman" w:eastAsia="Times New Roman" w:hAnsi="Times New Roman"/>
          <w:sz w:val="21"/>
          <w:szCs w:val="21"/>
          <w:color w:val="auto"/>
        </w:rPr>
        <w:t>. For the convenience of the parties, this Agreement may be executed in any number of counterparts, each such executed counterpart shall be deemed an original and all such counterparts together shall constitute one and the same instrument. Facsimile and electronic PDF transmission of any signed original counterpart transmission shall be deemed the same as the delivery of an original.</w:t>
      </w:r>
    </w:p>
    <w:p>
      <w:pPr>
        <w:spacing w:after="0" w:line="171" w:lineRule="exact"/>
        <w:rPr>
          <w:rFonts w:ascii="Times New Roman" w:cs="Times New Roman" w:eastAsia="Times New Roman" w:hAnsi="Times New Roman"/>
          <w:sz w:val="23"/>
          <w:szCs w:val="23"/>
          <w:color w:val="auto"/>
        </w:rPr>
      </w:pPr>
    </w:p>
    <w:p>
      <w:pPr>
        <w:ind w:left="5180"/>
        <w:spacing w:after="0"/>
        <w:rPr>
          <w:rFonts w:ascii="Times New Roman" w:cs="Times New Roman" w:eastAsia="Times New Roman" w:hAnsi="Times New Roman"/>
          <w:sz w:val="23"/>
          <w:szCs w:val="23"/>
          <w:color w:val="auto"/>
        </w:rPr>
      </w:pPr>
      <w:r>
        <w:rPr>
          <w:rFonts w:ascii="Times New Roman" w:cs="Times New Roman" w:eastAsia="Times New Roman" w:hAnsi="Times New Roman"/>
          <w:sz w:val="21"/>
          <w:szCs w:val="21"/>
          <w:color w:val="auto"/>
        </w:rPr>
        <w:t>* * * * * *</w:t>
      </w:r>
    </w:p>
    <w:p>
      <w:pPr>
        <w:spacing w:after="0" w:line="211" w:lineRule="exact"/>
        <w:rPr>
          <w:sz w:val="20"/>
          <w:szCs w:val="20"/>
          <w:color w:val="auto"/>
        </w:rPr>
      </w:pPr>
    </w:p>
    <w:p>
      <w:pPr>
        <w:ind w:firstLine="875"/>
        <w:spacing w:after="0" w:line="274" w:lineRule="auto"/>
        <w:rPr>
          <w:sz w:val="20"/>
          <w:szCs w:val="20"/>
          <w:color w:val="auto"/>
        </w:rPr>
      </w:pPr>
      <w:r>
        <w:rPr>
          <w:rFonts w:ascii="Times New Roman" w:cs="Times New Roman" w:eastAsia="Times New Roman" w:hAnsi="Times New Roman"/>
          <w:sz w:val="21"/>
          <w:szCs w:val="21"/>
          <w:color w:val="auto"/>
        </w:rPr>
        <w:t>IN WITNESS WHEREOF, the parties hereto have caused this Special Retention Bonus Agreement to be duly executed and delivered as of the date first written above.</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PETCO ANIMAL SUPPLIES, INC.</w:t>
      </w:r>
    </w:p>
    <w:p>
      <w:pPr>
        <w:spacing w:after="0" w:line="224"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21"/>
          <w:szCs w:val="21"/>
          <w:color w:val="auto"/>
        </w:rPr>
        <w:t>By:</w:t>
        <w:tab/>
        <w:t>/s/ Ronald Coughlin</w:t>
      </w:r>
    </w:p>
    <w:p>
      <w:pPr>
        <w:spacing w:after="0" w:line="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Name:Ronald Coughlin</w:t>
      </w:r>
    </w:p>
    <w:p>
      <w:pPr>
        <w:ind w:left="5500"/>
        <w:spacing w:after="0"/>
        <w:tabs>
          <w:tab w:leader="none" w:pos="6040" w:val="left"/>
        </w:tabs>
        <w:rPr>
          <w:sz w:val="20"/>
          <w:szCs w:val="20"/>
          <w:color w:val="auto"/>
        </w:rPr>
      </w:pPr>
      <w:r>
        <w:rPr>
          <w:rFonts w:ascii="Times New Roman" w:cs="Times New Roman" w:eastAsia="Times New Roman" w:hAnsi="Times New Roman"/>
          <w:sz w:val="21"/>
          <w:szCs w:val="21"/>
          <w:color w:val="auto"/>
        </w:rPr>
        <w:t>Its:</w:t>
        <w:tab/>
        <w:t>CEO</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EMPLOYEE:</w:t>
      </w:r>
    </w:p>
    <w:p>
      <w:pPr>
        <w:spacing w:after="0" w:line="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/s/ John Zavada</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John Zavada</w:t>
      </w:r>
    </w:p>
    <w:p>
      <w:pPr>
        <w:sectPr>
          <w:pgSz w:w="11900" w:h="16838" w:orient="portrait"/>
          <w:cols w:equalWidth="0" w:num="1">
            <w:col w:w="11240"/>
          </w:cols>
          <w:pgMar w:left="320" w:top="35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Summary of Severance Benefits for John Zavada</w:t>
      </w:r>
    </w:p>
    <w:p>
      <w:pPr>
        <w:spacing w:after="0" w:line="201"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0"/>
          <w:szCs w:val="20"/>
          <w:color w:val="auto"/>
        </w:rPr>
        <w:t>In the event John Zavada experiences an involuntary, not-for-cause termination, according to the definition of such term used by Petco Health and Wellness Company, Inc. (the “Company”), the Company will provide Mr. Zavada a severance payment equal to twelve (12) months of his base salary, subject to standard deductions and withholdings, and subject to his signing (and not revoking) a severance agreement and general release of claims in a form satisfactory to the Company.</w:t>
      </w:r>
    </w:p>
    <w:p>
      <w:pPr>
        <w:sectPr>
          <w:pgSz w:w="11900" w:h="16838" w:orient="portrait"/>
          <w:cols w:equalWidth="0" w:num="1">
            <w:col w:w="11240"/>
          </w:cols>
          <w:pgMar w:left="320" w:top="11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Coughlin, Jr., certify that:</w:t>
      </w:r>
    </w:p>
    <w:p>
      <w:pPr>
        <w:spacing w:after="0" w:line="219" w:lineRule="exact"/>
        <w:rPr>
          <w:sz w:val="20"/>
          <w:szCs w:val="20"/>
          <w:color w:val="auto"/>
        </w:rPr>
      </w:pPr>
    </w:p>
    <w:p>
      <w:pPr>
        <w:ind w:left="600" w:hanging="594"/>
        <w:spacing w:after="0"/>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18" w:lineRule="exact"/>
        <w:rPr>
          <w:rFonts w:ascii="Times New Roman" w:cs="Times New Roman" w:eastAsia="Times New Roman" w:hAnsi="Times New Roman"/>
          <w:sz w:val="18"/>
          <w:szCs w:val="18"/>
          <w:color w:val="auto"/>
        </w:rPr>
      </w:pPr>
    </w:p>
    <w:p>
      <w:pPr>
        <w:jc w:val="both"/>
        <w:ind w:left="600" w:right="320" w:hanging="594"/>
        <w:spacing w:after="0" w:line="261" w:lineRule="auto"/>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00" w:right="300" w:hanging="594"/>
        <w:spacing w:after="0" w:line="276" w:lineRule="auto"/>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00" w:right="320" w:hanging="594"/>
        <w:spacing w:after="0" w:line="261" w:lineRule="auto"/>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80" w:right="180" w:hanging="588"/>
        <w:spacing w:after="0" w:line="261" w:lineRule="auto"/>
        <w:tabs>
          <w:tab w:leader="none" w:pos="11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80" w:right="300" w:hanging="588"/>
        <w:spacing w:after="0" w:line="261" w:lineRule="auto"/>
        <w:tabs>
          <w:tab w:leader="none" w:pos="11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80" w:right="480" w:hanging="588"/>
        <w:spacing w:after="0" w:line="306" w:lineRule="auto"/>
        <w:tabs>
          <w:tab w:leader="none" w:pos="11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180" w:right="180" w:hanging="588"/>
        <w:spacing w:after="0" w:line="261" w:lineRule="auto"/>
        <w:tabs>
          <w:tab w:leader="none" w:pos="11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00" w:right="20" w:hanging="594"/>
        <w:spacing w:after="0" w:line="276" w:lineRule="auto"/>
        <w:tabs>
          <w:tab w:leader="none" w:pos="6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80" w:right="720" w:hanging="588"/>
        <w:spacing w:after="0" w:line="306" w:lineRule="auto"/>
        <w:tabs>
          <w:tab w:leader="none" w:pos="118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180" w:right="400" w:hanging="588"/>
        <w:spacing w:after="0" w:line="276" w:lineRule="auto"/>
        <w:tabs>
          <w:tab w:leader="none" w:pos="11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15240</wp:posOffset>
            </wp:positionV>
            <wp:extent cx="33134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Ronald Coughlin, Jr.</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11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LaRose, certify that:</w:t>
      </w:r>
    </w:p>
    <w:p>
      <w:pPr>
        <w:spacing w:after="0" w:line="219" w:lineRule="exact"/>
        <w:rPr>
          <w:sz w:val="20"/>
          <w:szCs w:val="20"/>
          <w:color w:val="auto"/>
        </w:rPr>
      </w:pPr>
    </w:p>
    <w:p>
      <w:pPr>
        <w:ind w:left="600" w:hanging="594"/>
        <w:spacing w:after="0"/>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Petco Health and Wellness Company, Inc.;</w:t>
      </w:r>
    </w:p>
    <w:p>
      <w:pPr>
        <w:spacing w:after="0" w:line="218" w:lineRule="exact"/>
        <w:rPr>
          <w:rFonts w:ascii="Times New Roman" w:cs="Times New Roman" w:eastAsia="Times New Roman" w:hAnsi="Times New Roman"/>
          <w:sz w:val="18"/>
          <w:szCs w:val="18"/>
          <w:color w:val="auto"/>
        </w:rPr>
      </w:pPr>
    </w:p>
    <w:p>
      <w:pPr>
        <w:jc w:val="both"/>
        <w:ind w:left="600" w:right="320" w:hanging="594"/>
        <w:spacing w:after="0" w:line="261" w:lineRule="auto"/>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00" w:right="300" w:hanging="594"/>
        <w:spacing w:after="0" w:line="276" w:lineRule="auto"/>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600" w:right="320" w:hanging="594"/>
        <w:spacing w:after="0" w:line="261" w:lineRule="auto"/>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180" w:right="180" w:hanging="588"/>
        <w:spacing w:after="0" w:line="261" w:lineRule="auto"/>
        <w:tabs>
          <w:tab w:leader="none" w:pos="1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180" w:right="300" w:hanging="588"/>
        <w:spacing w:after="0" w:line="261" w:lineRule="auto"/>
        <w:tabs>
          <w:tab w:leader="none" w:pos="1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180" w:right="480" w:hanging="588"/>
        <w:spacing w:after="0" w:line="306" w:lineRule="auto"/>
        <w:tabs>
          <w:tab w:leader="none" w:pos="11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180" w:right="180" w:hanging="588"/>
        <w:spacing w:after="0" w:line="261" w:lineRule="auto"/>
        <w:tabs>
          <w:tab w:leader="none" w:pos="1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00" w:right="20" w:hanging="594"/>
        <w:spacing w:after="0" w:line="276" w:lineRule="auto"/>
        <w:tabs>
          <w:tab w:leader="none" w:pos="6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80" w:right="720" w:hanging="588"/>
        <w:spacing w:after="0" w:line="306" w:lineRule="auto"/>
        <w:tabs>
          <w:tab w:leader="none" w:pos="118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180" w:right="400" w:hanging="588"/>
        <w:spacing w:after="0" w:line="276" w:lineRule="auto"/>
        <w:tabs>
          <w:tab w:leader="none" w:pos="11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15240</wp:posOffset>
            </wp:positionV>
            <wp:extent cx="3313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11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April 30, 2022,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77" w:lineRule="exact"/>
        <w:rPr>
          <w:sz w:val="20"/>
          <w:szCs w:val="20"/>
          <w:color w:val="auto"/>
        </w:rPr>
      </w:pPr>
    </w:p>
    <w:p>
      <w:pPr>
        <w:ind w:left="1020" w:hanging="508"/>
        <w:spacing w:after="0"/>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8" w:lineRule="exact"/>
        <w:rPr>
          <w:rFonts w:ascii="Times New Roman" w:cs="Times New Roman" w:eastAsia="Times New Roman" w:hAnsi="Times New Roman"/>
          <w:sz w:val="18"/>
          <w:szCs w:val="18"/>
          <w:color w:val="auto"/>
        </w:rPr>
      </w:pPr>
    </w:p>
    <w:p>
      <w:pPr>
        <w:ind w:left="1020" w:right="760" w:hanging="508"/>
        <w:spacing w:after="0" w:line="276" w:lineRule="auto"/>
        <w:tabs>
          <w:tab w:leader="none" w:pos="10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3"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15240</wp:posOffset>
            </wp:positionV>
            <wp:extent cx="33134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Ronald Coughlin, Jr.</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240"/>
          </w:cols>
          <w:pgMar w:left="320" w:top="34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jc w:val="both"/>
        <w:ind w:right="200" w:firstLine="510"/>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Petco Health and Wellness Company, Inc. (the “Company”) for the quarter ended April 30, 2022,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77" w:lineRule="exact"/>
        <w:rPr>
          <w:sz w:val="20"/>
          <w:szCs w:val="20"/>
          <w:color w:val="auto"/>
        </w:rPr>
      </w:pPr>
    </w:p>
    <w:p>
      <w:pPr>
        <w:ind w:left="1020" w:hanging="508"/>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18" w:lineRule="exact"/>
        <w:rPr>
          <w:rFonts w:ascii="Times New Roman" w:cs="Times New Roman" w:eastAsia="Times New Roman" w:hAnsi="Times New Roman"/>
          <w:sz w:val="18"/>
          <w:szCs w:val="18"/>
          <w:color w:val="auto"/>
        </w:rPr>
      </w:pPr>
    </w:p>
    <w:p>
      <w:pPr>
        <w:ind w:left="1020" w:right="760" w:hanging="508"/>
        <w:spacing w:after="0" w:line="276"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3" w:lineRule="exact"/>
        <w:rPr>
          <w:sz w:val="20"/>
          <w:szCs w:val="20"/>
          <w:color w:val="auto"/>
        </w:rPr>
      </w:pPr>
    </w:p>
    <w:p>
      <w:pPr>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June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15240</wp:posOffset>
            </wp:positionV>
            <wp:extent cx="33134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Brian LaRose</w:t>
      </w:r>
    </w:p>
    <w:p>
      <w:pPr>
        <w:spacing w:after="0" w:line="2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9"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Financial Officer and</w:t>
      </w:r>
    </w:p>
    <w:p>
      <w:pPr>
        <w:spacing w:after="0" w:line="6"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sectPr>
      <w:pgSz w:w="11900" w:h="16838" w:orient="portrait"/>
      <w:cols w:equalWidth="0" w:num="1">
        <w:col w:w="11240"/>
      </w:cols>
      <w:pgMar w:left="320" w:top="3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1)"/>
      <w:numFmt w:val="lowerRoman"/>
      <w:start w:val="13"/>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1)"/>
      <w:numFmt w:val="decimal"/>
      <w:start w:val="2"/>
    </w:lvl>
  </w:abstractNum>
  <w:abstractNum w:abstractNumId="6">
    <w:nsid w:val="3855585C"/>
    <w:multiLevelType w:val="hybridMultilevel"/>
    <w:lvl w:ilvl="0">
      <w:lvlJc w:val="left"/>
      <w:lvlText w:val="(%1)"/>
      <w:numFmt w:val="decimal"/>
      <w:start w:val="1"/>
    </w:lvl>
  </w:abstractNum>
  <w:abstractNum w:abstractNumId="7">
    <w:nsid w:val="70A64E2A"/>
    <w:multiLevelType w:val="hybridMultilevel"/>
    <w:lvl w:ilvl="0">
      <w:lvlJc w:val="left"/>
      <w:lvlText w:val="*"/>
      <w:numFmt w:val="bullet"/>
      <w:start w:val="1"/>
    </w:lvl>
    <w:lvl w:ilvl="1">
      <w:lvlJc w:val="left"/>
      <w:lvlText w:val="%2"/>
      <w:numFmt w:val="decimal"/>
      <w:start w:val="104"/>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1."/>
      <w:numFmt w:val="decimal"/>
      <w:start w:val="1"/>
    </w:lvl>
  </w:abstractNum>
  <w:abstractNum w:abstractNumId="10">
    <w:nsid w:val="1D4ED43B"/>
    <w:multiLevelType w:val="hybridMultilevel"/>
    <w:lvl w:ilvl="0">
      <w:lvlJc w:val="left"/>
      <w:lvlText w:val="%1."/>
      <w:numFmt w:val="decimal"/>
      <w:start w:val="2"/>
    </w:lvl>
    <w:lvl w:ilvl="1">
      <w:lvlJc w:val="left"/>
      <w:lvlText w:val="(%2)"/>
      <w:numFmt w:val="lowerLetter"/>
      <w:start w:val="1"/>
    </w:lvl>
  </w:abstractNum>
  <w:abstractNum w:abstractNumId="11">
    <w:nsid w:val="725A06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2">
    <w:nsid w:val="2CD89A3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
    <w:nsid w:val="57E4CCAF"/>
    <w:multiLevelType w:val="hybridMultilevel"/>
    <w:lvl w:ilvl="0">
      <w:lvlJc w:val="left"/>
      <w:lvlText w:val="%1."/>
      <w:numFmt w:val="decimal"/>
      <w:start w:val="4"/>
    </w:lvl>
  </w:abstractNum>
  <w:abstractNum w:abstractNumId="14">
    <w:nsid w:val="7A6D8D3C"/>
    <w:multiLevelType w:val="hybridMultilevel"/>
    <w:lvl w:ilvl="0">
      <w:lvlJc w:val="left"/>
      <w:lvlText w:val="%1."/>
      <w:numFmt w:val="decimal"/>
      <w:start w:val="5"/>
    </w:lvl>
  </w:abstractNum>
  <w:abstractNum w:abstractNumId="15">
    <w:nsid w:val="4B588F54"/>
    <w:multiLevelType w:val="hybridMultilevel"/>
    <w:lvl w:ilvl="0">
      <w:lvlJc w:val="left"/>
      <w:lvlText w:val="%1."/>
      <w:numFmt w:val="decimal"/>
      <w:start w:val="6"/>
    </w:lvl>
  </w:abstractNum>
  <w:abstractNum w:abstractNumId="16">
    <w:nsid w:val="542289EC"/>
    <w:multiLevelType w:val="hybridMultilevel"/>
    <w:lvl w:ilvl="0">
      <w:lvlJc w:val="left"/>
      <w:lvlText w:val="%1."/>
      <w:numFmt w:val="decimal"/>
      <w:start w:val="7"/>
    </w:lvl>
  </w:abstractNum>
  <w:abstractNum w:abstractNumId="17">
    <w:nsid w:val="6DE91B18"/>
    <w:multiLevelType w:val="hybridMultilevel"/>
    <w:lvl w:ilvl="0">
      <w:lvlJc w:val="left"/>
      <w:lvlText w:val="%1."/>
      <w:numFmt w:val="decimal"/>
      <w:start w:val="8"/>
    </w:lvl>
  </w:abstractNum>
  <w:abstractNum w:abstractNumId="18">
    <w:nsid w:val="38437FDB"/>
    <w:multiLevelType w:val="hybridMultilevel"/>
    <w:lvl w:ilvl="0">
      <w:lvlJc w:val="left"/>
      <w:lvlText w:val="%1."/>
      <w:numFmt w:val="decimal"/>
      <w:start w:val="9"/>
    </w:lvl>
    <w:lvl w:ilvl="1">
      <w:lvlJc w:val="left"/>
      <w:lvlText w:val="(%2)"/>
      <w:numFmt w:val="lowerLetter"/>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1."/>
      <w:numFmt w:val="decimal"/>
      <w:start w:val="2"/>
    </w:lvl>
  </w:abstractNum>
  <w:abstractNum w:abstractNumId="21">
    <w:nsid w:val="684A481A"/>
    <w:multiLevelType w:val="hybridMultilevel"/>
    <w:lvl w:ilvl="0">
      <w:lvlJc w:val="left"/>
      <w:lvlText w:val="%1"/>
      <w:numFmt w:val="upperLetter"/>
      <w:start w:val="1"/>
    </w:lvl>
    <w:lvl w:ilvl="1">
      <w:lvlJc w:val="left"/>
      <w:lvlText w:val="(%2)"/>
      <w:numFmt w:val="lowerLetter"/>
      <w:start w:val="1"/>
    </w:lvl>
  </w:abstractNum>
  <w:abstractNum w:abstractNumId="22">
    <w:nsid w:val="579478FE"/>
    <w:multiLevelType w:val="hybridMultilevel"/>
    <w:lvl w:ilvl="0">
      <w:lvlJc w:val="left"/>
      <w:lvlText w:val="(%1)"/>
      <w:numFmt w:val="upperLetter"/>
      <w:start w:val="9"/>
    </w:lvl>
    <w:lvl w:ilvl="1">
      <w:lvlJc w:val="left"/>
      <w:lvlText w:val="%2"/>
      <w:numFmt w:val="lowerLetter"/>
      <w:start w:val="1"/>
    </w:lvl>
  </w:abstractNum>
  <w:abstractNum w:abstractNumId="23">
    <w:nsid w:val="749ABB43"/>
    <w:multiLevelType w:val="hybridMultilevel"/>
    <w:lvl w:ilvl="0">
      <w:lvlJc w:val="left"/>
      <w:lvlText w:val="%1"/>
      <w:numFmt w:val="decimal"/>
      <w:start w:val="1"/>
    </w:lvl>
    <w:lvl w:ilvl="1">
      <w:lvlJc w:val="left"/>
      <w:lvlText w:val="(%2)"/>
      <w:numFmt w:val="lowerLetter"/>
      <w:start w:val="2"/>
    </w:lvl>
  </w:abstractNum>
  <w:abstractNum w:abstractNumId="24">
    <w:nsid w:val="3DC240FB"/>
    <w:multiLevelType w:val="hybridMultilevel"/>
    <w:lvl w:ilvl="0">
      <w:lvlJc w:val="left"/>
      <w:lvlText w:val="%1."/>
      <w:numFmt w:val="decimal"/>
      <w:start w:val="3"/>
    </w:lvl>
    <w:lvl w:ilvl="1">
      <w:lvlJc w:val="left"/>
      <w:lvlText w:val="(%2)"/>
      <w:numFmt w:val="lowerLetter"/>
      <w:start w:val="1"/>
    </w:lvl>
  </w:abstractNum>
  <w:abstractNum w:abstractNumId="25">
    <w:nsid w:val="1BA026FA"/>
    <w:multiLevelType w:val="hybridMultilevel"/>
    <w:lvl w:ilvl="0">
      <w:lvlJc w:val="left"/>
      <w:lvlText w:val="%1."/>
      <w:numFmt w:val="decimal"/>
      <w:start w:val="4"/>
    </w:lvl>
  </w:abstractNum>
  <w:abstractNum w:abstractNumId="26">
    <w:nsid w:val="79A1DEAA"/>
    <w:multiLevelType w:val="hybridMultilevel"/>
    <w:lvl w:ilvl="0">
      <w:lvlJc w:val="left"/>
      <w:lvlText w:val="%1."/>
      <w:numFmt w:val="decimal"/>
      <w:start w:val="5"/>
    </w:lvl>
  </w:abstractNum>
  <w:abstractNum w:abstractNumId="27">
    <w:nsid w:val="75C6C33A"/>
    <w:multiLevelType w:val="hybridMultilevel"/>
    <w:lvl w:ilvl="0">
      <w:lvlJc w:val="left"/>
      <w:lvlText w:val="%1."/>
      <w:numFmt w:val="decimal"/>
      <w:start w:val="6"/>
    </w:lvl>
  </w:abstractNum>
  <w:abstractNum w:abstractNumId="28">
    <w:nsid w:val="12E685FB"/>
    <w:multiLevelType w:val="hybridMultilevel"/>
    <w:lvl w:ilvl="0">
      <w:lvlJc w:val="left"/>
      <w:lvlText w:val="%1."/>
      <w:numFmt w:val="decimal"/>
      <w:start w:val="7"/>
    </w:lvl>
    <w:lvl w:ilvl="1">
      <w:lvlJc w:val="left"/>
      <w:lvlText w:val="(%2)"/>
      <w:numFmt w:val="lowerLetter"/>
      <w:start w:val="1"/>
    </w:lvl>
  </w:abstractNum>
  <w:abstractNum w:abstractNumId="29">
    <w:nsid w:val="70C6A529"/>
    <w:multiLevelType w:val="hybridMultilevel"/>
    <w:lvl w:ilvl="0">
      <w:lvlJc w:val="left"/>
      <w:lvlText w:val="%1."/>
      <w:numFmt w:val="decimal"/>
      <w:start w:val="8"/>
    </w:lvl>
  </w:abstractNum>
  <w:abstractNum w:abstractNumId="30">
    <w:nsid w:val="520EEDD1"/>
    <w:multiLevelType w:val="hybridMultilevel"/>
    <w:lvl w:ilvl="0">
      <w:lvlJc w:val="left"/>
      <w:lvlText w:val="%1."/>
      <w:numFmt w:val="decimal"/>
      <w:start w:val="9"/>
    </w:lvl>
  </w:abstractNum>
  <w:abstractNum w:abstractNumId="31">
    <w:nsid w:val="374A3FE6"/>
    <w:multiLevelType w:val="hybridMultilevel"/>
    <w:lvl w:ilvl="0">
      <w:lvlJc w:val="left"/>
      <w:lvlText w:val="%1."/>
      <w:numFmt w:val="decimal"/>
      <w:start w:val="10"/>
    </w:lvl>
  </w:abstractNum>
  <w:abstractNum w:abstractNumId="32">
    <w:nsid w:val="4F4EF005"/>
    <w:multiLevelType w:val="hybridMultilevel"/>
    <w:lvl w:ilvl="0">
      <w:lvlJc w:val="left"/>
      <w:lvlText w:val="%1."/>
      <w:numFmt w:val="decimal"/>
      <w:start w:val="11"/>
    </w:lvl>
  </w:abstractNum>
  <w:abstractNum w:abstractNumId="33">
    <w:nsid w:val="23F9C13C"/>
    <w:multiLevelType w:val="hybridMultilevel"/>
    <w:lvl w:ilvl="0">
      <w:lvlJc w:val="left"/>
      <w:lvlText w:val="%1."/>
      <w:numFmt w:val="decimal"/>
      <w:start w:val="12"/>
    </w:lvl>
  </w:abstractNum>
  <w:abstractNum w:abstractNumId="34">
    <w:nsid w:val="649BB77C"/>
    <w:multiLevelType w:val="hybridMultilevel"/>
    <w:lvl w:ilvl="0">
      <w:lvlJc w:val="left"/>
      <w:lvlText w:val="%1."/>
      <w:numFmt w:val="decimal"/>
      <w:start w:val="13"/>
    </w:lvl>
  </w:abstractNum>
  <w:abstractNum w:abstractNumId="35">
    <w:nsid w:val="275AC794"/>
    <w:multiLevelType w:val="hybridMultilevel"/>
    <w:lvl w:ilvl="0">
      <w:lvlJc w:val="left"/>
      <w:lvlText w:val="%1."/>
      <w:numFmt w:val="decimal"/>
      <w:start w:val="14"/>
    </w:lvl>
  </w:abstractNum>
  <w:abstractNum w:abstractNumId="36">
    <w:nsid w:val="39386575"/>
    <w:multiLevelType w:val="hybridMultilevel"/>
    <w:lvl w:ilvl="0">
      <w:lvlJc w:val="left"/>
      <w:lvlText w:val="%1."/>
      <w:numFmt w:val="decimal"/>
      <w:start w:val="15"/>
    </w:lvl>
  </w:abstractNum>
  <w:abstractNum w:abstractNumId="37">
    <w:nsid w:val="1CF10FD8"/>
    <w:multiLevelType w:val="hybridMultilevel"/>
    <w:lvl w:ilvl="0">
      <w:lvlJc w:val="left"/>
      <w:lvlText w:val="%1."/>
      <w:numFmt w:val="decimal"/>
      <w:start w:val="16"/>
    </w:lvl>
  </w:abstractNum>
  <w:abstractNum w:abstractNumId="38">
    <w:nsid w:val="180115BE"/>
    <w:multiLevelType w:val="hybridMultilevel"/>
    <w:lvl w:ilvl="0">
      <w:lvlJc w:val="left"/>
      <w:lvlText w:val="%1."/>
      <w:numFmt w:val="decimal"/>
      <w:start w:val="17"/>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2"/>
    </w:lvl>
    <w:lvl w:ilvl="1">
      <w:lvlJc w:val="left"/>
      <w:lvlText w:val="(%2)"/>
      <w:numFmt w:val="lowerLetter"/>
      <w:start w:val="1"/>
    </w:lvl>
  </w:abstractNum>
  <w:abstractNum w:abstractNumId="41">
    <w:nsid w:val="354FE9F9"/>
    <w:multiLevelType w:val="hybridMultilevel"/>
    <w:lvl w:ilvl="0">
      <w:lvlJc w:val="left"/>
      <w:lvlText w:val="(%1)"/>
      <w:numFmt w:val="lowerLetter"/>
      <w:start w:val="4"/>
    </w:lvl>
    <w:lvl w:ilvl="1">
      <w:lvlJc w:val="left"/>
      <w:lvlText w:val="(%2)"/>
      <w:numFmt w:val="lowerRoman"/>
      <w:start w:val="1"/>
    </w:lvl>
  </w:abstractNum>
  <w:abstractNum w:abstractNumId="42">
    <w:nsid w:val="15B5AF5C"/>
    <w:multiLevelType w:val="hybridMultilevel"/>
    <w:lvl w:ilvl="0">
      <w:lvlJc w:val="left"/>
      <w:lvlText w:val="%1."/>
      <w:numFmt w:val="decimal"/>
      <w:start w:val="3"/>
    </w:lvl>
    <w:lvl w:ilvl="1">
      <w:lvlJc w:val="left"/>
      <w:lvlText w:val="(%2)"/>
      <w:numFmt w:val="lowerLetter"/>
      <w:start w:val="1"/>
    </w:lvl>
  </w:abstractNum>
  <w:abstractNum w:abstractNumId="43">
    <w:nsid w:val="741226BB"/>
    <w:multiLevelType w:val="hybridMultilevel"/>
    <w:lvl w:ilvl="0">
      <w:lvlJc w:val="left"/>
      <w:lvlText w:val="%1."/>
      <w:numFmt w:val="decimal"/>
      <w:start w:val="5"/>
    </w:lvl>
  </w:abstractNum>
  <w:abstractNum w:abstractNumId="44">
    <w:nsid w:val="D34B6A8"/>
    <w:multiLevelType w:val="hybridMultilevel"/>
    <w:lvl w:ilvl="0">
      <w:lvlJc w:val="left"/>
      <w:lvlText w:val="%1."/>
      <w:numFmt w:val="decimal"/>
      <w:start w:val="6"/>
    </w:lvl>
  </w:abstractNum>
  <w:abstractNum w:abstractNumId="45">
    <w:nsid w:val="10233C99"/>
    <w:multiLevelType w:val="hybridMultilevel"/>
    <w:lvl w:ilvl="0">
      <w:lvlJc w:val="left"/>
      <w:lvlText w:val="%1."/>
      <w:numFmt w:val="decimal"/>
      <w:start w:val="7"/>
    </w:lvl>
  </w:abstractNum>
  <w:abstractNum w:abstractNumId="46">
    <w:nsid w:val="3F6AB60F"/>
    <w:multiLevelType w:val="hybridMultilevel"/>
    <w:lvl w:ilvl="0">
      <w:lvlJc w:val="left"/>
      <w:lvlText w:val="%1."/>
      <w:numFmt w:val="decimal"/>
      <w:start w:val="8"/>
    </w:lvl>
  </w:abstractNum>
  <w:abstractNum w:abstractNumId="47">
    <w:nsid w:val="61574095"/>
    <w:multiLevelType w:val="hybridMultilevel"/>
    <w:lvl w:ilvl="0">
      <w:lvlJc w:val="left"/>
      <w:lvlText w:val="%1."/>
      <w:numFmt w:val="decimal"/>
      <w:start w:val="9"/>
    </w:lvl>
    <w:lvl w:ilvl="1">
      <w:lvlJc w:val="left"/>
      <w:lvlText w:val="(%2)"/>
      <w:numFmt w:val="lowerLetter"/>
      <w:start w:val="1"/>
    </w:lvl>
  </w:abstractNum>
  <w:abstractNum w:abstractNumId="48">
    <w:nsid w:val="7E0C57B1"/>
    <w:multiLevelType w:val="hybridMultilevel"/>
    <w:lvl w:ilvl="0">
      <w:lvlJc w:val="left"/>
      <w:lvlText w:val="(%1)"/>
      <w:numFmt w:val="lowerLetter"/>
      <w:start w:val="4"/>
    </w:lvl>
  </w:abstractNum>
  <w:abstractNum w:abstractNumId="49">
    <w:nsid w:val="77AE35EB"/>
    <w:multiLevelType w:val="hybridMultilevel"/>
    <w:lvl w:ilvl="0">
      <w:lvlJc w:val="left"/>
      <w:lvlText w:val="%1."/>
      <w:numFmt w:val="decimal"/>
      <w:start w:val="10"/>
    </w:lvl>
  </w:abstractNum>
  <w:abstractNum w:abstractNumId="50">
    <w:nsid w:val="579BE4F1"/>
    <w:multiLevelType w:val="hybridMultilevel"/>
    <w:lvl w:ilvl="0">
      <w:lvlJc w:val="left"/>
      <w:lvlText w:val="%1."/>
      <w:numFmt w:val="decimal"/>
      <w:start w:val="11"/>
    </w:lvl>
  </w:abstractNum>
  <w:abstractNum w:abstractNumId="51">
    <w:nsid w:val="310C50B3"/>
    <w:multiLevelType w:val="hybridMultilevel"/>
    <w:lvl w:ilvl="0">
      <w:lvlJc w:val="left"/>
      <w:lvlText w:val="%1."/>
      <w:numFmt w:val="decimal"/>
      <w:start w:val="1"/>
    </w:lvl>
  </w:abstractNum>
  <w:abstractNum w:abstractNumId="52">
    <w:nsid w:val="5FF87E05"/>
    <w:multiLevelType w:val="hybridMultilevel"/>
    <w:lvl w:ilvl="0">
      <w:lvlJc w:val="left"/>
      <w:lvlText w:val="%1."/>
      <w:numFmt w:val="decimal"/>
      <w:start w:val="2"/>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decimal"/>
      <w:start w:val="1"/>
    </w:lvl>
    <w:lvl w:ilvl="1">
      <w:lvlJc w:val="left"/>
      <w:lvlText w:val="(%2)"/>
      <w:numFmt w:val="lowerLetter"/>
      <w:start w:val="2"/>
    </w:lvl>
  </w:abstractNum>
  <w:abstractNum w:abstractNumId="55">
    <w:nsid w:val="1DBABF00"/>
    <w:multiLevelType w:val="hybridMultilevel"/>
    <w:lvl w:ilvl="0">
      <w:lvlJc w:val="left"/>
      <w:lvlText w:val="%1."/>
      <w:numFmt w:val="decimal"/>
      <w:start w:val="3"/>
    </w:lvl>
    <w:lvl w:ilvl="1">
      <w:lvlJc w:val="left"/>
      <w:lvlText w:val="(%2)"/>
      <w:numFmt w:val="lowerLetter"/>
      <w:start w:val="1"/>
    </w:lvl>
  </w:abstractNum>
  <w:abstractNum w:abstractNumId="56">
    <w:nsid w:val="4AD084E9"/>
    <w:multiLevelType w:val="hybridMultilevel"/>
    <w:lvl w:ilvl="0">
      <w:lvlJc w:val="left"/>
      <w:lvlText w:val="%1."/>
      <w:numFmt w:val="decimal"/>
      <w:start w:val="4"/>
    </w:lvl>
  </w:abstractNum>
  <w:abstractNum w:abstractNumId="57">
    <w:nsid w:val="1F48EAA1"/>
    <w:multiLevelType w:val="hybridMultilevel"/>
    <w:lvl w:ilvl="0">
      <w:lvlJc w:val="left"/>
      <w:lvlText w:val="%1."/>
      <w:numFmt w:val="decimal"/>
      <w:start w:val="5"/>
    </w:lvl>
  </w:abstractNum>
  <w:abstractNum w:abstractNumId="58">
    <w:nsid w:val="1381823A"/>
    <w:multiLevelType w:val="hybridMultilevel"/>
    <w:lvl w:ilvl="0">
      <w:lvlJc w:val="left"/>
      <w:lvlText w:val="%1."/>
      <w:numFmt w:val="decimal"/>
      <w:start w:val="6"/>
    </w:lvl>
  </w:abstractNum>
  <w:abstractNum w:abstractNumId="59">
    <w:nsid w:val="5DB70AE5"/>
    <w:multiLevelType w:val="hybridMultilevel"/>
    <w:lvl w:ilvl="0">
      <w:lvlJc w:val="left"/>
      <w:lvlText w:val="%1."/>
      <w:numFmt w:val="decimal"/>
      <w:start w:val="7"/>
    </w:lvl>
    <w:lvl w:ilvl="1">
      <w:lvlJc w:val="left"/>
      <w:lvlText w:val="(%2)"/>
      <w:numFmt w:val="lowerLetter"/>
      <w:start w:val="1"/>
    </w:lvl>
  </w:abstractNum>
  <w:abstractNum w:abstractNumId="60">
    <w:nsid w:val="100F8FCA"/>
    <w:multiLevelType w:val="hybridMultilevel"/>
    <w:lvl w:ilvl="0">
      <w:lvlJc w:val="left"/>
      <w:lvlText w:val="%1."/>
      <w:numFmt w:val="decimal"/>
      <w:start w:val="9"/>
    </w:lvl>
  </w:abstractNum>
  <w:abstractNum w:abstractNumId="61">
    <w:nsid w:val="6590700B"/>
    <w:multiLevelType w:val="hybridMultilevel"/>
    <w:lvl w:ilvl="0">
      <w:lvlJc w:val="left"/>
      <w:lvlText w:val="%1."/>
      <w:numFmt w:val="decimal"/>
      <w:start w:val="10"/>
    </w:lvl>
  </w:abstractNum>
  <w:abstractNum w:abstractNumId="62">
    <w:nsid w:val="15014ACB"/>
    <w:multiLevelType w:val="hybridMultilevel"/>
    <w:lvl w:ilvl="0">
      <w:lvlJc w:val="left"/>
      <w:lvlText w:val="%1."/>
      <w:numFmt w:val="decimal"/>
      <w:start w:val="11"/>
    </w:lvl>
  </w:abstractNum>
  <w:abstractNum w:abstractNumId="63">
    <w:nsid w:val="5F5E7FD0"/>
    <w:multiLevelType w:val="hybridMultilevel"/>
    <w:lvl w:ilvl="0">
      <w:lvlJc w:val="left"/>
      <w:lvlText w:val="%1."/>
      <w:numFmt w:val="decimal"/>
      <w:start w:val="12"/>
    </w:lvl>
  </w:abstractNum>
  <w:abstractNum w:abstractNumId="64">
    <w:nsid w:val="98A3148"/>
    <w:multiLevelType w:val="hybridMultilevel"/>
    <w:lvl w:ilvl="0">
      <w:lvlJc w:val="left"/>
      <w:lvlText w:val="%1."/>
      <w:numFmt w:val="decimal"/>
      <w:start w:val="13"/>
    </w:lvl>
  </w:abstractNum>
  <w:abstractNum w:abstractNumId="65">
    <w:nsid w:val="799D0247"/>
    <w:multiLevelType w:val="hybridMultilevel"/>
    <w:lvl w:ilvl="0">
      <w:lvlJc w:val="left"/>
      <w:lvlText w:val="%1."/>
      <w:numFmt w:val="decimal"/>
      <w:start w:val="14"/>
    </w:lvl>
  </w:abstractNum>
  <w:abstractNum w:abstractNumId="66">
    <w:nsid w:val="6B94764"/>
    <w:multiLevelType w:val="hybridMultilevel"/>
    <w:lvl w:ilvl="0">
      <w:lvlJc w:val="left"/>
      <w:lvlText w:val="%1."/>
      <w:numFmt w:val="decimal"/>
      <w:start w:val="15"/>
    </w:lvl>
  </w:abstractNum>
  <w:abstractNum w:abstractNumId="67">
    <w:nsid w:val="42C296BD"/>
    <w:multiLevelType w:val="hybridMultilevel"/>
    <w:lvl w:ilvl="0">
      <w:lvlJc w:val="left"/>
      <w:lvlText w:val="%1."/>
      <w:numFmt w:val="decimal"/>
      <w:start w:val="16"/>
    </w:lvl>
  </w:abstractNum>
  <w:abstractNum w:abstractNumId="68">
    <w:nsid w:val="168E121F"/>
    <w:multiLevelType w:val="hybridMultilevel"/>
    <w:lvl w:ilvl="0">
      <w:lvlJc w:val="left"/>
      <w:lvlText w:val="%1."/>
      <w:numFmt w:val="decimal"/>
      <w:start w:val="17"/>
    </w:lvl>
  </w:abstractNum>
  <w:abstractNum w:abstractNumId="69">
    <w:nsid w:val="1EBA5D23"/>
    <w:multiLevelType w:val="hybridMultilevel"/>
    <w:lvl w:ilvl="0">
      <w:lvlJc w:val="left"/>
      <w:lvlText w:val="%1."/>
      <w:numFmt w:val="decimal"/>
      <w:start w:val="1"/>
    </w:lvl>
  </w:abstractNum>
  <w:abstractNum w:abstractNumId="70">
    <w:nsid w:val="661E3F1E"/>
    <w:multiLevelType w:val="hybridMultilevel"/>
    <w:lvl w:ilvl="0">
      <w:lvlJc w:val="left"/>
      <w:lvlText w:val="%1."/>
      <w:numFmt w:val="decimal"/>
      <w:start w:val="2"/>
    </w:lvl>
  </w:abstractNum>
  <w:abstractNum w:abstractNumId="71">
    <w:nsid w:val="5DC79EA8"/>
    <w:multiLevelType w:val="hybridMultilevel"/>
    <w:lvl w:ilvl="0">
      <w:lvlJc w:val="left"/>
      <w:lvlText w:val="%1."/>
      <w:numFmt w:val="decimal"/>
      <w:start w:val="11"/>
    </w:lvl>
    <w:lvl w:ilvl="1">
      <w:lvlJc w:val="left"/>
      <w:lvlText w:val="*"/>
      <w:numFmt w:val="bullet"/>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2022-06-09T06:33:51Z</dcterms:created>
  <dcterms:modified xsi:type="dcterms:W3CDTF">2022-06-09T06:33:51Z</dcterms:modified>
</cp:coreProperties>
</file>