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Insana Giovanni</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660"/>
        <w:spacing w:after="0" w:line="294" w:lineRule="auto"/>
        <w:rPr>
          <w:sz w:val="20"/>
          <w:szCs w:val="20"/>
          <w:color w:val="auto"/>
        </w:rPr>
      </w:pPr>
      <w:r>
        <w:rPr>
          <w:rFonts w:ascii="Times New Roman" w:cs="Times New Roman" w:eastAsia="Times New Roman" w:hAnsi="Times New Roman"/>
          <w:sz w:val="17"/>
          <w:szCs w:val="17"/>
          <w:color w:val="0000FF"/>
        </w:rPr>
        <w:t>C/O PETCO HEALTH AND WELLNESS COMPANY,</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INC., 10850 VIA FRONTERA</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SAN DIEGO</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92127</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Petco Health &amp; Wellness Company, Inc. </w:t>
              </w:r>
            </w:hyperlink>
            <w:r>
              <w:rPr>
                <w:rFonts w:ascii="Times New Roman" w:cs="Times New Roman" w:eastAsia="Times New Roman" w:hAnsi="Times New Roman"/>
                <w:sz w:val="16"/>
                <w:szCs w:val="16"/>
                <w:color w:val="000000"/>
              </w:rPr>
              <w:t>[</w:t>
            </w:r>
          </w:p>
        </w:tc>
        <w:tc>
          <w:tcPr>
            <w:tcW w:w="214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3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140" w:type="dxa"/>
            <w:vAlign w:val="bottom"/>
            <w:vMerge w:val="continue"/>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3300" w:type="dxa"/>
            <w:vAlign w:val="bottom"/>
            <w:tcBorders>
              <w:bottom w:val="single" w:sz="8" w:color="0000EE"/>
            </w:tcBorders>
          </w:tcPr>
          <w:p>
            <w:pPr>
              <w:spacing w:after="0"/>
              <w:rPr>
                <w:sz w:val="3"/>
                <w:szCs w:val="3"/>
                <w:color w:val="auto"/>
              </w:rPr>
            </w:pPr>
          </w:p>
        </w:tc>
        <w:tc>
          <w:tcPr>
            <w:tcW w:w="320" w:type="dxa"/>
            <w:vAlign w:val="bottom"/>
          </w:tcPr>
          <w:p>
            <w:pPr>
              <w:spacing w:after="0"/>
              <w:rPr>
                <w:sz w:val="3"/>
                <w:szCs w:val="3"/>
                <w:color w:val="auto"/>
              </w:rPr>
            </w:pPr>
          </w:p>
        </w:tc>
        <w:tc>
          <w:tcPr>
            <w:tcW w:w="21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37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WOOF </w:t>
            </w:r>
            <w:r>
              <w:rPr>
                <w:rFonts w:ascii="Times New Roman" w:cs="Times New Roman" w:eastAsia="Times New Roman" w:hAnsi="Times New Roman"/>
                <w:sz w:val="21"/>
                <w:szCs w:val="21"/>
                <w:color w:val="000000"/>
              </w:rPr>
              <w:t>]</w:t>
            </w:r>
          </w:p>
        </w:tc>
        <w:tc>
          <w:tcPr>
            <w:tcW w:w="214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40" w:type="dxa"/>
            <w:vAlign w:val="bottom"/>
            <w:gridSpan w:val="3"/>
            <w:vMerge w:val="continue"/>
          </w:tcPr>
          <w:p>
            <w:pPr>
              <w:spacing w:after="0"/>
              <w:rPr>
                <w:sz w:val="12"/>
                <w:szCs w:val="12"/>
                <w:color w:val="auto"/>
              </w:rPr>
            </w:pPr>
          </w:p>
        </w:tc>
        <w:tc>
          <w:tcPr>
            <w:tcW w:w="21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40" w:type="dxa"/>
            <w:vAlign w:val="bottom"/>
            <w:vMerge w:val="continue"/>
          </w:tcPr>
          <w:p>
            <w:pPr>
              <w:spacing w:after="0"/>
              <w:rPr>
                <w:sz w:val="2"/>
                <w:szCs w:val="2"/>
                <w:color w:val="auto"/>
              </w:rPr>
            </w:pPr>
          </w:p>
        </w:tc>
        <w:tc>
          <w:tcPr>
            <w:tcW w:w="11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140" w:type="dxa"/>
            <w:vAlign w:val="bottom"/>
          </w:tcPr>
          <w:p>
            <w:pPr>
              <w:ind w:left="600"/>
              <w:spacing w:after="0"/>
              <w:rPr>
                <w:sz w:val="20"/>
                <w:szCs w:val="20"/>
                <w:color w:val="auto"/>
              </w:rPr>
            </w:pPr>
            <w:r>
              <w:rPr>
                <w:rFonts w:ascii="Arial" w:cs="Arial" w:eastAsia="Arial" w:hAnsi="Arial"/>
                <w:sz w:val="13"/>
                <w:szCs w:val="13"/>
                <w:color w:val="auto"/>
              </w:rPr>
              <w:t>below)</w:t>
            </w:r>
          </w:p>
        </w:tc>
        <w:tc>
          <w:tcPr>
            <w:tcW w:w="1160" w:type="dxa"/>
            <w:vAlign w:val="bottom"/>
          </w:tcPr>
          <w:p>
            <w:pPr>
              <w:ind w:left="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33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2140" w:type="dxa"/>
            <w:vAlign w:val="bottom"/>
            <w:vMerge w:val="restart"/>
          </w:tcPr>
          <w:p>
            <w:pPr>
              <w:ind w:left="1200"/>
              <w:spacing w:after="0"/>
              <w:rPr>
                <w:sz w:val="20"/>
                <w:szCs w:val="20"/>
                <w:color w:val="auto"/>
              </w:rPr>
            </w:pPr>
            <w:r>
              <w:rPr>
                <w:rFonts w:ascii="Times New Roman" w:cs="Times New Roman" w:eastAsia="Times New Roman" w:hAnsi="Times New Roman"/>
                <w:sz w:val="17"/>
                <w:szCs w:val="17"/>
                <w:color w:val="0000FF"/>
              </w:rPr>
              <w:t>See Remarks</w:t>
            </w: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140" w:type="dxa"/>
            <w:vAlign w:val="bottom"/>
            <w:vMerge w:val="continue"/>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0" w:type="dxa"/>
            <w:vAlign w:val="bottom"/>
            <w:gridSpan w:val="2"/>
            <w:vMerge w:val="continue"/>
          </w:tcPr>
          <w:p>
            <w:pPr>
              <w:spacing w:after="0"/>
              <w:rPr>
                <w:sz w:val="2"/>
                <w:szCs w:val="2"/>
                <w:color w:val="auto"/>
              </w:rPr>
            </w:pPr>
          </w:p>
        </w:tc>
        <w:tc>
          <w:tcPr>
            <w:tcW w:w="3620" w:type="dxa"/>
            <w:vAlign w:val="bottom"/>
            <w:gridSpan w:val="2"/>
            <w:vMerge w:val="continue"/>
          </w:tcPr>
          <w:p>
            <w:pPr>
              <w:spacing w:after="0"/>
              <w:rPr>
                <w:sz w:val="2"/>
                <w:szCs w:val="2"/>
                <w:color w:val="auto"/>
              </w:rPr>
            </w:pPr>
          </w:p>
        </w:tc>
        <w:tc>
          <w:tcPr>
            <w:tcW w:w="2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35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04/10/2026</w:t>
            </w:r>
          </w:p>
        </w:tc>
        <w:tc>
          <w:tcPr>
            <w:tcW w:w="3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3300" w:type="dxa"/>
            <w:vAlign w:val="bottom"/>
            <w:tcBorders>
              <w:bottom w:val="single" w:sz="8" w:color="2C2C2C"/>
            </w:tcBorders>
          </w:tcPr>
          <w:p>
            <w:pPr>
              <w:spacing w:after="0"/>
              <w:rPr>
                <w:sz w:val="19"/>
                <w:szCs w:val="19"/>
                <w:color w:val="auto"/>
              </w:rPr>
            </w:pPr>
          </w:p>
        </w:tc>
        <w:tc>
          <w:tcPr>
            <w:tcW w:w="320" w:type="dxa"/>
            <w:vAlign w:val="bottom"/>
            <w:tcBorders>
              <w:bottom w:val="single" w:sz="8" w:color="2C2C2C"/>
            </w:tcBorders>
          </w:tcPr>
          <w:p>
            <w:pPr>
              <w:spacing w:after="0"/>
              <w:rPr>
                <w:sz w:val="19"/>
                <w:szCs w:val="19"/>
                <w:color w:val="auto"/>
              </w:rPr>
            </w:pPr>
          </w:p>
        </w:tc>
        <w:tc>
          <w:tcPr>
            <w:tcW w:w="3300" w:type="dxa"/>
            <w:vAlign w:val="bottom"/>
            <w:tcBorders>
              <w:bottom w:val="single" w:sz="8" w:color="2C2C2C"/>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04/10/2026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1,549</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2.84</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419,655</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reported reflects the withholding of restricted stock units ("RSUs") in satisfaction of the Reporting Person's tax liability. The RSUs were granted to the Reporting Person on April 10, 2023 pursuant to the Petco Health and Wellness Company, Inc. 2021 Equity Incentive Plan (as amended, the "2021 Plan"), and a portion vested on April 10, 2026.</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258,112 outstanding RSUs granted under the 2021 Plan. Each RSU represents the right to receive one share of Class A common stock of the Issuer.</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Chief Legal Officer and Secretary</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Giovanni Insana</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04/14/2026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98625" TargetMode="External"/><Relationship Id="rId14" Type="http://schemas.openxmlformats.org/officeDocument/2006/relationships/hyperlink" Target="http://www.sec.gov/cgi-bin/browse-edgar?action=getcompany&amp;CIK=00018264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2026-04-14T16:39:52Z</dcterms:created>
  <dcterms:modified xsi:type="dcterms:W3CDTF">2026-04-14T16:39:52Z</dcterms:modified>
</cp:coreProperties>
</file>