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 Holly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DIEGO</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92127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04/15/2026</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04/15/2026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139,976</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1,819,843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04/15/2026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41,976</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1,777,867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reflects the withholding of restricted stock units ("RSUs") in satisfaction of the Reporting Person's tax liability. The two RSU grants were granted to the Reporting Person on April 15, 2024 pursuant to the Petco Health and Wellness Company, Inc. 2021 Equity Incentive Plan (as amended, the "2021 Plan"), and a portion of each grant vested on April 15,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1,326,218 outstanding RSUs granted under the 2021 Plan. Each RSU represents the right to receive one share of Class A common stock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Giovanni Insana,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009"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2026-04-17T18:13:52Z</dcterms:created>
  <dcterms:modified xsi:type="dcterms:W3CDTF">2026-04-17T18:13:52Z</dcterms:modified>
</cp:coreProperties>
</file>