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900" w:right="1620" w:hanging="3879"/>
        <w:spacing w:after="0" w:line="30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July 29,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20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27" w:lineRule="exact"/>
        <w:rPr>
          <w:sz w:val="24"/>
          <w:szCs w:val="24"/>
          <w:color w:val="auto"/>
        </w:rPr>
      </w:pPr>
    </w:p>
    <w:p>
      <w:pPr>
        <w:sectPr>
          <w:pgSz w:w="11900" w:h="16838" w:orient="portrait"/>
          <w:cols w:equalWidth="0" w:num="2">
            <w:col w:w="7220" w:space="720"/>
            <w:col w:w="3300"/>
          </w:cols>
          <w:pgMar w:left="320" w:top="422"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18"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tcPr>
          <w:p>
            <w:pPr>
              <w:jc w:val="center"/>
              <w:spacing w:after="0"/>
              <w:rPr>
                <w:sz w:val="20"/>
                <w:szCs w:val="20"/>
                <w:color w:val="auto"/>
              </w:rPr>
            </w:pPr>
            <w:r>
              <w:rPr>
                <w:rFonts w:ascii="Arial" w:cs="Arial" w:eastAsia="Arial" w:hAnsi="Arial"/>
                <w:sz w:val="15"/>
                <w:szCs w:val="15"/>
                <w:color w:val="auto"/>
                <w:w w:val="91"/>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5"/>
                <w:szCs w:val="15"/>
                <w:color w:val="auto"/>
                <w:w w:val="98"/>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51"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A Common Stock outstanding as of August 30, 2023 was 229,974,364.</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B-1 Common Stock outstanding as of August 30, 2023 was 37,790,781.</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B-2 Common Stock outstanding as of August 30, 2023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7"/>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39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gridSpan w:val="3"/>
          </w:tcPr>
          <w:p>
            <w:pPr>
              <w:spacing w:after="0"/>
              <w:rPr>
                <w:sz w:val="18"/>
                <w:szCs w:val="18"/>
                <w:color w:val="auto"/>
              </w:rPr>
            </w:pPr>
          </w:p>
        </w:tc>
        <w:tc>
          <w:tcPr>
            <w:tcW w:w="68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5"/>
          </w:tcPr>
          <w:p>
            <w:pPr>
              <w:spacing w:after="0"/>
              <w:rPr>
                <w:sz w:val="20"/>
                <w:szCs w:val="20"/>
                <w:color w:val="auto"/>
              </w:rPr>
            </w:pPr>
            <w:r>
              <w:rPr>
                <w:rFonts w:ascii="Arial" w:cs="Arial" w:eastAsia="Arial" w:hAnsi="Arial"/>
                <w:sz w:val="18"/>
                <w:szCs w:val="18"/>
                <w:color w:val="0000FF"/>
              </w:rPr>
              <w:t>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90"/>
              </w:rPr>
              <w:t>Consolidated Statements of Comprehensive Income</w:t>
            </w:r>
          </w:p>
        </w:tc>
        <w:tc>
          <w:tcPr>
            <w:tcW w:w="55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Consolidated Statements of Equity</w:t>
            </w:r>
          </w:p>
        </w:tc>
        <w:tc>
          <w:tcPr>
            <w:tcW w:w="20" w:type="dxa"/>
            <w:vAlign w:val="bottom"/>
            <w:tcBorders>
              <w:bottom w:val="single" w:sz="8" w:color="0000EE"/>
            </w:tcBorders>
          </w:tcPr>
          <w:p>
            <w:pPr>
              <w:spacing w:after="0"/>
              <w:rPr>
                <w:sz w:val="18"/>
                <w:szCs w:val="18"/>
                <w:color w:val="auto"/>
              </w:rPr>
            </w:pPr>
          </w:p>
        </w:tc>
        <w:tc>
          <w:tcPr>
            <w:tcW w:w="67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Statements of Cash Flows</w:t>
            </w:r>
          </w:p>
        </w:tc>
        <w:tc>
          <w:tcPr>
            <w:tcW w:w="20" w:type="dxa"/>
            <w:vAlign w:val="bottom"/>
            <w:tcBorders>
              <w:bottom w:val="single" w:sz="8" w:color="0000EE"/>
            </w:tcBorders>
          </w:tcPr>
          <w:p>
            <w:pPr>
              <w:spacing w:after="0"/>
              <w:rPr>
                <w:sz w:val="18"/>
                <w:szCs w:val="18"/>
                <w:color w:val="auto"/>
              </w:rPr>
            </w:pPr>
          </w:p>
        </w:tc>
        <w:tc>
          <w:tcPr>
            <w:tcW w:w="64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24"/>
          </w:tcPr>
          <w:p>
            <w:pPr>
              <w:ind w:left="4420"/>
              <w:spacing w:after="0"/>
              <w:rPr>
                <w:sz w:val="20"/>
                <w:szCs w:val="20"/>
                <w:color w:val="auto"/>
              </w:rPr>
            </w:pPr>
            <w:r>
              <w:rPr>
                <w:rFonts w:ascii="Arial" w:cs="Arial" w:eastAsia="Arial" w:hAnsi="Arial"/>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83"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60"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58" w:lineRule="exact"/>
        <w:rPr>
          <w:sz w:val="20"/>
          <w:szCs w:val="20"/>
          <w:color w:val="auto"/>
        </w:rPr>
      </w:pPr>
    </w:p>
    <w:p>
      <w:pPr>
        <w:ind w:right="60" w:firstLine="749"/>
        <w:spacing w:after="0" w:line="285" w:lineRule="auto"/>
        <w:rPr>
          <w:sz w:val="20"/>
          <w:szCs w:val="20"/>
          <w:color w:val="auto"/>
        </w:rPr>
      </w:pPr>
      <w:r>
        <w:rPr>
          <w:rFonts w:ascii="Arial" w:cs="Arial" w:eastAsia="Arial" w:hAnsi="Arial"/>
          <w:sz w:val="16"/>
          <w:szCs w:val="16"/>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w:t>
      </w:r>
    </w:p>
    <w:p>
      <w:pPr>
        <w:spacing w:after="0" w:line="2" w:lineRule="exact"/>
        <w:rPr>
          <w:sz w:val="20"/>
          <w:szCs w:val="20"/>
          <w:color w:val="auto"/>
        </w:rPr>
      </w:pPr>
    </w:p>
    <w:p>
      <w:pPr>
        <w:ind w:right="60" w:firstLine="8"/>
        <w:spacing w:after="0" w:line="281" w:lineRule="auto"/>
        <w:tabs>
          <w:tab w:leader="none" w:pos="355"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(xiv) our ability to maintain positive brand perception and recognition; (xv) product safety and quality concerns;</w:t>
      </w:r>
    </w:p>
    <w:p>
      <w:pPr>
        <w:spacing w:after="0" w:line="2" w:lineRule="exact"/>
        <w:rPr>
          <w:rFonts w:ascii="Arial" w:cs="Arial" w:eastAsia="Arial" w:hAnsi="Arial"/>
          <w:sz w:val="16"/>
          <w:szCs w:val="16"/>
          <w:color w:val="auto"/>
        </w:rPr>
      </w:pPr>
    </w:p>
    <w:p>
      <w:pPr>
        <w:ind w:right="140" w:firstLine="8"/>
        <w:spacing w:after="0" w:line="253" w:lineRule="auto"/>
        <w:tabs>
          <w:tab w:leader="none" w:pos="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labor or employment laws or regulations; (xvii) our ability to effectively manage our real estate portfolio; (xviii) constraints in the capital markets or our vendor credit terms; (xix) changes in our credit ratings; and (xx)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39"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76" w:lineRule="exact"/>
        <w:rPr>
          <w:sz w:val="20"/>
          <w:szCs w:val="20"/>
          <w:color w:val="auto"/>
        </w:rPr>
      </w:pPr>
    </w:p>
    <w:p>
      <w:pPr>
        <w:jc w:val="both"/>
        <w:ind w:right="100" w:firstLine="749"/>
        <w:spacing w:after="0" w:line="301" w:lineRule="auto"/>
        <w:rPr>
          <w:sz w:val="20"/>
          <w:szCs w:val="20"/>
          <w:color w:val="auto"/>
        </w:rPr>
      </w:pPr>
      <w:r>
        <w:rPr>
          <w:rFonts w:ascii="Arial" w:cs="Arial" w:eastAsia="Arial" w:hAnsi="Arial"/>
          <w:sz w:val="16"/>
          <w:szCs w:val="16"/>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7"/>
              </w:rPr>
              <w:t>July 29,</w:t>
            </w:r>
          </w:p>
        </w:tc>
        <w:tc>
          <w:tcPr>
            <w:tcW w:w="28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January 28,</w:t>
            </w:r>
          </w:p>
        </w:tc>
      </w:tr>
      <w:tr>
        <w:trPr>
          <w:trHeight w:val="165"/>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89"/>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r>
      <w:tr>
        <w:trPr>
          <w:trHeight w:val="170"/>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Arial" w:cs="Arial" w:eastAsia="Arial" w:hAnsi="Arial"/>
                <w:sz w:val="14"/>
                <w:szCs w:val="14"/>
                <w:color w:val="auto"/>
                <w:w w:val="95"/>
              </w:rPr>
              <w:t>(Unaudited)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173,014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201,901</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Receivables, less allowance for credit losses ($1,164 and $952, respectively)</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66,258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49,580</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Merchandise inventories,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675,441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652,430</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54,880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51,274</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55,247</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60,809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1,024,840</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1,015,994</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Fixed assets</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2,090,367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1,987,560</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(1,270,141 )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(1,184,233 )</w:t>
            </w:r>
          </w:p>
        </w:tc>
      </w:tr>
      <w:tr>
        <w:trPr>
          <w:trHeight w:val="169"/>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Fixed assets, net</w:t>
            </w: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820,226</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803,327</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1,401,834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1,397,761</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2,196,664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2,193,941</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Trade name</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1,025,000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00" w:type="dxa"/>
            <w:vAlign w:val="bottom"/>
          </w:tcPr>
          <w:p>
            <w:pPr>
              <w:spacing w:after="0"/>
              <w:rPr>
                <w:sz w:val="15"/>
                <w:szCs w:val="15"/>
                <w:color w:val="auto"/>
              </w:rPr>
            </w:pP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193,698</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176,806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6,662,262</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 and book overdrafts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477,748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381,213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Accrued salaries and employee benefits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90,796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89,929</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219,910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217,556</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281,415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309,766</w:t>
            </w:r>
          </w:p>
        </w:tc>
        <w:tc>
          <w:tcPr>
            <w:tcW w:w="100" w:type="dxa"/>
            <w:vAlign w:val="bottom"/>
          </w:tcPr>
          <w:p>
            <w:pPr>
              <w:spacing w:after="0"/>
              <w:rPr>
                <w:sz w:val="15"/>
                <w:szCs w:val="15"/>
                <w:color w:val="auto"/>
              </w:rPr>
            </w:pPr>
          </w:p>
        </w:tc>
      </w:tr>
      <w:tr>
        <w:trPr>
          <w:trHeight w:val="17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5,077</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22,794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1,074,946</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1,021,258</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Senior secured credit facilities, net, excluding current portion</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1,588,523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1,628,331</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Operating lease liabilities, excluding current portion</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1,159,696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1,148,155</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294,094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303,121</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130,239</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130,487</w:t>
            </w:r>
          </w:p>
        </w:tc>
        <w:tc>
          <w:tcPr>
            <w:tcW w:w="100" w:type="dxa"/>
            <w:vAlign w:val="bottom"/>
          </w:tcPr>
          <w:p>
            <w:pPr>
              <w:spacing w:after="0"/>
              <w:rPr>
                <w:sz w:val="15"/>
                <w:szCs w:val="15"/>
                <w:color w:val="auto"/>
              </w:rPr>
            </w:pP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4,247,498</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4,231,352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(Notes 3 and 7)</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720" w:type="dxa"/>
            <w:vAlign w:val="bottom"/>
          </w:tcPr>
          <w:p>
            <w:pPr>
              <w:ind w:left="20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20" w:type="dxa"/>
            <w:vAlign w:val="bottom"/>
          </w:tcPr>
          <w:p>
            <w:pPr>
              <w:ind w:left="340"/>
              <w:spacing w:after="0"/>
              <w:rPr>
                <w:sz w:val="20"/>
                <w:szCs w:val="20"/>
                <w:color w:val="auto"/>
              </w:rPr>
            </w:pPr>
            <w:r>
              <w:rPr>
                <w:rFonts w:ascii="Arial" w:cs="Arial" w:eastAsia="Arial" w:hAnsi="Arial"/>
                <w:sz w:val="14"/>
                <w:szCs w:val="14"/>
                <w:color w:val="auto"/>
              </w:rPr>
              <w:t>Issued and outstanding - 229.8 million and 228.3 million shares, respectively</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5"/>
                <w:szCs w:val="15"/>
                <w:color w:val="auto"/>
              </w:rPr>
            </w:pPr>
          </w:p>
        </w:tc>
      </w:tr>
      <w:tr>
        <w:trPr>
          <w:trHeight w:val="143"/>
        </w:trPr>
        <w:tc>
          <w:tcPr>
            <w:tcW w:w="77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5"/>
                <w:szCs w:val="15"/>
                <w:color w:val="auto"/>
              </w:rPr>
            </w:pPr>
          </w:p>
        </w:tc>
      </w:tr>
      <w:tr>
        <w:trPr>
          <w:trHeight w:val="143"/>
        </w:trPr>
        <w:tc>
          <w:tcPr>
            <w:tcW w:w="7720" w:type="dxa"/>
            <w:vAlign w:val="bottom"/>
          </w:tcPr>
          <w:p>
            <w:pPr>
              <w:ind w:left="20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20" w:type="dxa"/>
            <w:vAlign w:val="bottom"/>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60" w:type="dxa"/>
            <w:vAlign w:val="bottom"/>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none</w:t>
            </w:r>
          </w:p>
        </w:tc>
        <w:tc>
          <w:tcPr>
            <w:tcW w:w="2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2,196,235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2,152,342</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216,470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232,967</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1,791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(4,098 )</w:t>
            </w: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2,414,764</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2,381,477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6,662,262</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-4191000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-3274060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-2348230</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-1653540</wp:posOffset>
            </wp:positionV>
            <wp:extent cx="6858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90"/>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01"/>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1,530,734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3,086,642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2,956,788</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1,889,156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1,754,637</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593,004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594,477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1,197,486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1,202,151</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568,967</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544,472</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1,145,832</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1,102,207</w:t>
            </w:r>
          </w:p>
        </w:tc>
        <w:tc>
          <w:tcPr>
            <w:tcW w:w="100" w:type="dxa"/>
            <w:vAlign w:val="bottom"/>
            <w:tcBorders>
              <w:bottom w:val="single" w:sz="8" w:color="CFF0FC"/>
            </w:tcBorders>
          </w:tcPr>
          <w:p>
            <w:pPr>
              <w:spacing w:after="0"/>
              <w:rPr>
                <w:sz w:val="20"/>
                <w:szCs w:val="20"/>
                <w:color w:val="auto"/>
              </w:rPr>
            </w:pPr>
          </w:p>
        </w:tc>
      </w:tr>
      <w:tr>
        <w:trPr>
          <w:trHeight w:val="24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99,944</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(764 )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(137 )</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(1,940 )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(157 )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74,694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41,454</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Loss on partial extinguishment of debt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(income) loss</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(1,795 )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(4,614 )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00" w:type="dxa"/>
            <w:vAlign w:val="bottom"/>
            <w:shd w:val="clear" w:color="auto" w:fill="CFF0FC"/>
          </w:tcPr>
          <w:p>
            <w:pPr>
              <w:spacing w:after="0"/>
              <w:rPr>
                <w:sz w:val="21"/>
                <w:szCs w:val="21"/>
                <w:color w:val="auto"/>
              </w:rPr>
            </w:pPr>
          </w:p>
        </w:tc>
      </w:tr>
      <w:tr>
        <w:trPr>
          <w:trHeight w:val="215"/>
        </w:trPr>
        <w:tc>
          <w:tcPr>
            <w:tcW w:w="58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7"/>
        </w:trPr>
        <w:tc>
          <w:tcPr>
            <w:tcW w:w="5840" w:type="dxa"/>
            <w:vAlign w:val="bottom"/>
          </w:tcPr>
          <w:p>
            <w:pPr>
              <w:ind w:left="520"/>
              <w:spacing w:after="0"/>
              <w:rPr>
                <w:sz w:val="20"/>
                <w:szCs w:val="20"/>
                <w:color w:val="auto"/>
              </w:rPr>
            </w:pPr>
            <w:r>
              <w:rPr>
                <w:rFonts w:ascii="Arial" w:cs="Arial" w:eastAsia="Arial" w:hAnsi="Arial"/>
                <w:sz w:val="18"/>
                <w:szCs w:val="18"/>
                <w:color w:val="auto"/>
              </w:rPr>
              <w:t>from equity method investees</w:t>
            </w:r>
          </w:p>
        </w:tc>
        <w:tc>
          <w:tcPr>
            <w:tcW w:w="22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(11,202 )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(17,232 )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48,702</w:t>
            </w:r>
          </w:p>
        </w:tc>
        <w:tc>
          <w:tcPr>
            <w:tcW w:w="100" w:type="dxa"/>
            <w:vAlign w:val="bottom"/>
          </w:tcPr>
          <w:p>
            <w:pPr>
              <w:spacing w:after="0"/>
              <w:rPr>
                <w:sz w:val="20"/>
                <w:szCs w:val="20"/>
                <w:color w:val="auto"/>
              </w:rPr>
            </w:pPr>
          </w:p>
        </w:tc>
      </w:tr>
      <w:tr>
        <w:trPr>
          <w:trHeight w:val="25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(3,328 )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(2,031 )</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(6,458 )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(5,194 )</w:t>
            </w:r>
          </w:p>
        </w:tc>
      </w:tr>
      <w:tr>
        <w:trPr>
          <w:trHeight w:val="24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(891 )</w:t>
            </w:r>
          </w:p>
        </w:tc>
      </w:tr>
      <w:tr>
        <w:trPr>
          <w:trHeight w:val="215"/>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58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(14,606 )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(16,498 )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38,149</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Class A and B-1 common share: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(0.05 )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(0.06 )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(0.06 )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-2622550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-2622550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-2622550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-1842135</wp:posOffset>
            </wp:positionV>
            <wp:extent cx="6858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-1842135</wp:posOffset>
            </wp:positionV>
            <wp:extent cx="6858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-1842135</wp:posOffset>
            </wp:positionV>
            <wp:extent cx="6858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42" w:lineRule="exact"/>
        <w:rPr>
          <w:sz w:val="20"/>
          <w:szCs w:val="20"/>
          <w:color w:val="auto"/>
        </w:rPr>
      </w:pPr>
    </w:p>
    <w:p>
      <w:pPr>
        <w:ind w:left="200" w:right="1860" w:hanging="179"/>
        <w:spacing w:after="0" w:line="299" w:lineRule="auto"/>
        <w:rPr>
          <w:sz w:val="20"/>
          <w:szCs w:val="20"/>
          <w:color w:val="auto"/>
        </w:rPr>
      </w:pPr>
      <w:r>
        <w:rPr>
          <w:rFonts w:ascii="Arial" w:cs="Arial" w:eastAsia="Arial" w:hAnsi="Arial"/>
          <w:sz w:val="16"/>
          <w:szCs w:val="16"/>
          <w:color w:val="auto"/>
        </w:rPr>
        <w:t>Weighted average shares used in computing net (loss) income per Class A and B-1 common share: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310"/>
              <w:spacing w:after="0"/>
              <w:rPr>
                <w:sz w:val="20"/>
                <w:szCs w:val="20"/>
                <w:color w:val="auto"/>
              </w:rPr>
            </w:pPr>
            <w:r>
              <w:rPr>
                <w:rFonts w:ascii="Arial" w:cs="Arial" w:eastAsia="Arial" w:hAnsi="Arial"/>
                <w:sz w:val="18"/>
                <w:szCs w:val="18"/>
                <w:color w:val="auto"/>
                <w:w w:val="86"/>
              </w:rPr>
              <w:t>267,163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265,431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266,824</w:t>
            </w:r>
          </w:p>
        </w:tc>
        <w:tc>
          <w:tcPr>
            <w:tcW w:w="980" w:type="dxa"/>
            <w:vAlign w:val="bottom"/>
          </w:tcPr>
          <w:p>
            <w:pPr>
              <w:jc w:val="right"/>
              <w:spacing w:after="0"/>
              <w:rPr>
                <w:sz w:val="20"/>
                <w:szCs w:val="20"/>
                <w:color w:val="auto"/>
              </w:rPr>
            </w:pPr>
            <w:r>
              <w:rPr>
                <w:rFonts w:ascii="Arial" w:cs="Arial" w:eastAsia="Arial" w:hAnsi="Arial"/>
                <w:sz w:val="18"/>
                <w:szCs w:val="18"/>
                <w:color w:val="auto"/>
              </w:rPr>
              <w:t>265,241</w:t>
            </w:r>
          </w:p>
        </w:tc>
      </w:tr>
      <w:tr>
        <w:trPr>
          <w:trHeight w:val="270"/>
        </w:trPr>
        <w:tc>
          <w:tcPr>
            <w:tcW w:w="980" w:type="dxa"/>
            <w:vAlign w:val="bottom"/>
          </w:tcPr>
          <w:p>
            <w:pPr>
              <w:jc w:val="right"/>
              <w:ind w:right="310"/>
              <w:spacing w:after="0"/>
              <w:rPr>
                <w:sz w:val="20"/>
                <w:szCs w:val="20"/>
                <w:color w:val="auto"/>
              </w:rPr>
            </w:pPr>
            <w:r>
              <w:rPr>
                <w:rFonts w:ascii="Arial" w:cs="Arial" w:eastAsia="Arial" w:hAnsi="Arial"/>
                <w:sz w:val="18"/>
                <w:szCs w:val="18"/>
                <w:color w:val="auto"/>
                <w:w w:val="86"/>
              </w:rPr>
              <w:t>267,163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265,835</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266,824</w:t>
            </w:r>
          </w:p>
        </w:tc>
        <w:tc>
          <w:tcPr>
            <w:tcW w:w="980" w:type="dxa"/>
            <w:vAlign w:val="bottom"/>
          </w:tcPr>
          <w:p>
            <w:pPr>
              <w:jc w:val="right"/>
              <w:spacing w:after="0"/>
              <w:rPr>
                <w:sz w:val="20"/>
                <w:szCs w:val="20"/>
                <w:color w:val="auto"/>
              </w:rPr>
            </w:pPr>
            <w:r>
              <w:rPr>
                <w:rFonts w:ascii="Arial" w:cs="Arial" w:eastAsia="Arial" w:hAnsi="Arial"/>
                <w:sz w:val="18"/>
                <w:szCs w:val="18"/>
                <w:color w:val="auto"/>
              </w:rPr>
              <w:t>265,777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-608330</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-162560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337" w:right="339" w:bottom="1440" w:gutter="0" w:footer="0" w:header="0"/>
          <w:type w:val="continuous"/>
        </w:sect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40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90"/>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01"/>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attributable to Class A and B-1</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stockholders</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(14,606 )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(16,498 )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(775 )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(2,373 )</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on derivatives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Losses on derivatives reclassified to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(9,223 )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(10,609 )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00"/>
              <w:spacing w:after="0"/>
              <w:rPr>
                <w:sz w:val="20"/>
                <w:szCs w:val="20"/>
                <w:color w:val="auto"/>
              </w:rPr>
            </w:pPr>
            <w:r>
              <w:rPr>
                <w:rFonts w:ascii="Arial" w:cs="Arial" w:eastAsia="Arial" w:hAnsi="Arial"/>
                <w:sz w:val="18"/>
                <w:szCs w:val="18"/>
                <w:color w:val="auto"/>
              </w:rPr>
              <w:t>Comprehensive loss attributable to noncontrolling</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30"/>
        </w:trPr>
        <w:tc>
          <w:tcPr>
            <w:tcW w:w="58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 attributable to Class A and</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(9,223 )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12,681</w:t>
            </w:r>
          </w:p>
        </w:tc>
        <w:tc>
          <w:tcPr>
            <w:tcW w:w="24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(10,609 )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B-1 common stockholders</w:t>
            </w:r>
          </w:p>
        </w:tc>
        <w:tc>
          <w:tcPr>
            <w:tcW w:w="22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-899795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-899795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-899795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4"/>
              </w:rPr>
              <w:t>other</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1"/>
              </w:rPr>
              <w:t>Class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Class</w:t>
            </w:r>
          </w:p>
        </w:tc>
        <w:tc>
          <w:tcPr>
            <w:tcW w:w="24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Class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comprehensiv</w:t>
            </w: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Total</w:t>
            </w:r>
          </w:p>
        </w:tc>
        <w:tc>
          <w:tcPr>
            <w:tcW w:w="8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Noncontrollin</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10"/>
                <w:szCs w:val="10"/>
                <w:color w:val="auto"/>
              </w:rPr>
            </w:pPr>
          </w:p>
        </w:tc>
        <w:tc>
          <w:tcPr>
            <w:tcW w:w="5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0"/>
              </w:rPr>
              <w:t>B-1</w:t>
            </w:r>
          </w:p>
        </w:tc>
        <w:tc>
          <w:tcPr>
            <w:tcW w:w="24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rPr>
              <w:t>B-2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4"/>
              </w:rPr>
              <w:t>paid-in</w:t>
            </w:r>
          </w:p>
        </w:tc>
        <w:tc>
          <w:tcPr>
            <w:tcW w:w="120" w:type="dxa"/>
            <w:vAlign w:val="bottom"/>
          </w:tcPr>
          <w:p>
            <w:pPr>
              <w:spacing w:after="0"/>
              <w:rPr>
                <w:sz w:val="10"/>
                <w:szCs w:val="10"/>
                <w:color w:val="auto"/>
              </w:rPr>
            </w:pPr>
          </w:p>
        </w:tc>
        <w:tc>
          <w:tcPr>
            <w:tcW w:w="82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w w:val="98"/>
              </w:rPr>
              <w:t>Retained</w:t>
            </w:r>
          </w:p>
        </w:tc>
        <w:tc>
          <w:tcPr>
            <w:tcW w:w="14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7"/>
              </w:rPr>
              <w:t>e</w:t>
            </w:r>
          </w:p>
        </w:tc>
        <w:tc>
          <w:tcPr>
            <w:tcW w:w="90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stockholders’</w:t>
            </w:r>
          </w:p>
        </w:tc>
        <w:tc>
          <w:tcPr>
            <w:tcW w:w="100" w:type="dxa"/>
            <w:vAlign w:val="bottom"/>
          </w:tcPr>
          <w:p>
            <w:pPr>
              <w:spacing w:after="0"/>
              <w:rPr>
                <w:sz w:val="10"/>
                <w:szCs w:val="10"/>
                <w:color w:val="auto"/>
              </w:rPr>
            </w:pPr>
          </w:p>
        </w:tc>
        <w:tc>
          <w:tcPr>
            <w:tcW w:w="78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g</w:t>
            </w: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40" w:type="dxa"/>
            <w:vAlign w:val="bottom"/>
          </w:tcPr>
          <w:p>
            <w:pPr>
              <w:spacing w:after="0"/>
              <w:rPr>
                <w:sz w:val="12"/>
                <w:szCs w:val="12"/>
                <w:color w:val="auto"/>
              </w:rPr>
            </w:pPr>
          </w:p>
        </w:tc>
        <w:tc>
          <w:tcPr>
            <w:tcW w:w="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1"/>
              </w:rPr>
              <w:t>capital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(loss) income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6"/>
              </w:rPr>
              <w:t>equity</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5"/>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2"/>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January 28, 2023</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228,338</w:t>
            </w: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266</w:t>
            </w:r>
          </w:p>
        </w:tc>
        <w:tc>
          <w:tcPr>
            <w:tcW w:w="30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2,152,342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232,967</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1"/>
                <w:szCs w:val="11"/>
                <w:color w:val="auto"/>
                <w:w w:val="97"/>
              </w:rPr>
              <w:t>$</w:t>
            </w: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(4,098 )</w:t>
            </w: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Equity-based compensation expense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(Note 6)</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22,282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(1,892 )</w:t>
            </w:r>
          </w:p>
        </w:tc>
        <w:tc>
          <w:tcPr>
            <w:tcW w:w="14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(1,892 )</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(1,892 )</w:t>
            </w: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adjustment, net of tax</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Unrealized loss on derivatives (Note 4),</w:t>
            </w:r>
          </w:p>
        </w:tc>
        <w:tc>
          <w:tcPr>
            <w:tcW w:w="46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net of tax</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(984 )</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(984 )</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(984 )</w:t>
            </w: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Losses on derivatives reclassified to</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income (Note 4), net of tax</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727</w:t>
            </w: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5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(1,254 )</w:t>
            </w: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(1,253 )</w:t>
            </w:r>
          </w:p>
        </w:tc>
        <w:tc>
          <w:tcPr>
            <w:tcW w:w="1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(1,253 )</w:t>
            </w:r>
          </w:p>
        </w:tc>
        <w:tc>
          <w:tcPr>
            <w:tcW w:w="0" w:type="dxa"/>
            <w:vAlign w:val="bottom"/>
          </w:tcPr>
          <w:p>
            <w:pPr>
              <w:spacing w:after="0"/>
              <w:rPr>
                <w:sz w:val="1"/>
                <w:szCs w:val="1"/>
                <w:color w:val="auto"/>
              </w:rPr>
            </w:pPr>
          </w:p>
        </w:tc>
      </w:tr>
      <w:tr>
        <w:trPr>
          <w:trHeight w:val="131"/>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780" w:type="dxa"/>
            <w:vAlign w:val="bottom"/>
          </w:tcPr>
          <w:p>
            <w:pPr>
              <w:ind w:left="20"/>
              <w:spacing w:after="0"/>
              <w:rPr>
                <w:sz w:val="20"/>
                <w:szCs w:val="20"/>
                <w:color w:val="auto"/>
              </w:rPr>
            </w:pPr>
            <w:r>
              <w:rPr>
                <w:rFonts w:ascii="Arial" w:cs="Arial" w:eastAsia="Arial" w:hAnsi="Arial"/>
                <w:sz w:val="11"/>
                <w:szCs w:val="11"/>
                <w:b w:val="1"/>
                <w:bCs w:val="1"/>
                <w:color w:val="auto"/>
              </w:rPr>
              <w:t>Balance at April 29, 2023</w:t>
            </w:r>
          </w:p>
        </w:tc>
        <w:tc>
          <w:tcPr>
            <w:tcW w:w="460" w:type="dxa"/>
            <w:vAlign w:val="bottom"/>
          </w:tcPr>
          <w:p>
            <w:pPr>
              <w:jc w:val="right"/>
              <w:spacing w:after="0"/>
              <w:rPr>
                <w:sz w:val="20"/>
                <w:szCs w:val="20"/>
                <w:color w:val="auto"/>
              </w:rPr>
            </w:pPr>
            <w:r>
              <w:rPr>
                <w:rFonts w:ascii="Arial" w:cs="Arial" w:eastAsia="Arial" w:hAnsi="Arial"/>
                <w:sz w:val="11"/>
                <w:szCs w:val="11"/>
                <w:color w:val="auto"/>
              </w:rPr>
              <w:t>229,065</w:t>
            </w:r>
          </w:p>
        </w:tc>
        <w:tc>
          <w:tcPr>
            <w:tcW w:w="2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37,791</w:t>
            </w:r>
          </w:p>
        </w:tc>
        <w:tc>
          <w:tcPr>
            <w:tcW w:w="24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37,791</w:t>
            </w:r>
          </w:p>
        </w:tc>
        <w:tc>
          <w:tcPr>
            <w:tcW w:w="240" w:type="dxa"/>
            <w:vAlign w:val="bottom"/>
            <w:gridSpan w:val="2"/>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267</w:t>
            </w:r>
          </w:p>
        </w:tc>
        <w:tc>
          <w:tcPr>
            <w:tcW w:w="2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2,173,370</w:t>
            </w:r>
          </w:p>
        </w:tc>
        <w:tc>
          <w:tcPr>
            <w:tcW w:w="1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231,075</w:t>
            </w:r>
          </w:p>
        </w:tc>
        <w:tc>
          <w:tcPr>
            <w:tcW w:w="200" w:type="dxa"/>
            <w:vAlign w:val="bottom"/>
          </w:tcPr>
          <w:p>
            <w:pPr>
              <w:spacing w:after="0"/>
              <w:rPr>
                <w:sz w:val="11"/>
                <w:szCs w:val="11"/>
                <w:color w:val="auto"/>
              </w:rPr>
            </w:pPr>
          </w:p>
        </w:tc>
        <w:tc>
          <w:tcPr>
            <w:tcW w:w="140" w:type="dxa"/>
            <w:vAlign w:val="bottom"/>
          </w:tcPr>
          <w:p>
            <w:pPr>
              <w:jc w:val="right"/>
              <w:ind w:right="13"/>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(3,592 )</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2,401,120</w:t>
            </w:r>
          </w:p>
        </w:tc>
        <w:tc>
          <w:tcPr>
            <w:tcW w:w="2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2,401,120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780" w:type="dxa"/>
            <w:vAlign w:val="bottom"/>
            <w:tcBorders>
              <w:right w:val="single" w:sz="8" w:color="CFF0FC"/>
            </w:tcBorders>
            <w:shd w:val="clear" w:color="auto" w:fill="CFF0FC"/>
          </w:tcPr>
          <w:p>
            <w:pPr>
              <w:ind w:left="20"/>
              <w:spacing w:after="0" w:line="110" w:lineRule="exact"/>
              <w:rPr>
                <w:sz w:val="20"/>
                <w:szCs w:val="20"/>
                <w:color w:val="auto"/>
              </w:rPr>
            </w:pPr>
            <w:r>
              <w:rPr>
                <w:rFonts w:ascii="Arial" w:cs="Arial" w:eastAsia="Arial" w:hAnsi="Arial"/>
                <w:sz w:val="11"/>
                <w:szCs w:val="11"/>
                <w:color w:val="auto"/>
              </w:rPr>
              <w:t>Equity-based compensation expense</w:t>
            </w:r>
          </w:p>
        </w:tc>
        <w:tc>
          <w:tcPr>
            <w:tcW w:w="46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(Note 6)</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24,322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24,322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(14,606 )</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(14,606 )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(14,606 )</w:t>
            </w: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46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adjustment, net of tax</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1,107</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1,107</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Unrealized gain on derivatives (Note 4),</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net of tax</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Losses on derivatives reclassified to</w:t>
            </w:r>
          </w:p>
        </w:tc>
        <w:tc>
          <w:tcPr>
            <w:tcW w:w="46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income (Note 4), net of tax</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761</w:t>
            </w:r>
          </w:p>
        </w:tc>
        <w:tc>
          <w:tcPr>
            <w:tcW w:w="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(1,457 )</w:t>
            </w:r>
          </w:p>
        </w:tc>
        <w:tc>
          <w:tcPr>
            <w:tcW w:w="1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(1,456 )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(1,456 )</w:t>
            </w:r>
          </w:p>
        </w:tc>
        <w:tc>
          <w:tcPr>
            <w:tcW w:w="0" w:type="dxa"/>
            <w:vAlign w:val="bottom"/>
          </w:tcPr>
          <w:p>
            <w:pPr>
              <w:spacing w:after="0"/>
              <w:rPr>
                <w:sz w:val="1"/>
                <w:szCs w:val="1"/>
                <w:color w:val="auto"/>
              </w:rPr>
            </w:pPr>
          </w:p>
        </w:tc>
      </w:tr>
      <w:tr>
        <w:trPr>
          <w:trHeight w:val="131"/>
        </w:trPr>
        <w:tc>
          <w:tcPr>
            <w:tcW w:w="2780" w:type="dxa"/>
            <w:vAlign w:val="bottom"/>
          </w:tcPr>
          <w:p>
            <w:pPr>
              <w:ind w:left="100"/>
              <w:spacing w:after="0"/>
              <w:rPr>
                <w:sz w:val="20"/>
                <w:szCs w:val="20"/>
                <w:color w:val="auto"/>
              </w:rPr>
            </w:pPr>
            <w:r>
              <w:rPr>
                <w:rFonts w:ascii="Arial" w:cs="Arial" w:eastAsia="Arial" w:hAnsi="Arial"/>
                <w:sz w:val="11"/>
                <w:szCs w:val="11"/>
                <w:color w:val="auto"/>
              </w:rPr>
              <w:t>net of tax withholdings</w:t>
            </w: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7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July 29, 2023</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229,826</w:t>
            </w:r>
          </w:p>
        </w:tc>
        <w:tc>
          <w:tcPr>
            <w:tcW w:w="260" w:type="dxa"/>
            <w:vAlign w:val="bottom"/>
            <w:tcBorders>
              <w:bottom w:val="single" w:sz="8" w:color="CFF0FC"/>
              <w:right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268</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2,196,235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216,470</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1,791</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2,414,764</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2,414,764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27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Class</w:t>
            </w:r>
          </w:p>
        </w:tc>
        <w:tc>
          <w:tcPr>
            <w:tcW w:w="26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1"/>
              </w:rPr>
              <w:t>Class</w:t>
            </w:r>
          </w:p>
        </w:tc>
        <w:tc>
          <w:tcPr>
            <w:tcW w:w="240" w:type="dxa"/>
            <w:vAlign w:val="bottom"/>
          </w:tcPr>
          <w:p>
            <w:pPr>
              <w:spacing w:after="0"/>
              <w:rPr>
                <w:sz w:val="10"/>
                <w:szCs w:val="10"/>
                <w:color w:val="auto"/>
              </w:rPr>
            </w:pPr>
          </w:p>
        </w:tc>
        <w:tc>
          <w:tcPr>
            <w:tcW w:w="5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1"/>
              </w:rPr>
              <w:t>Class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comprehensiv</w:t>
            </w:r>
          </w:p>
        </w:tc>
        <w:tc>
          <w:tcPr>
            <w:tcW w:w="120" w:type="dxa"/>
            <w:vAlign w:val="bottom"/>
          </w:tcPr>
          <w:p>
            <w:pPr>
              <w:spacing w:after="0"/>
              <w:rPr>
                <w:sz w:val="10"/>
                <w:szCs w:val="10"/>
                <w:color w:val="auto"/>
              </w:rPr>
            </w:pPr>
          </w:p>
        </w:tc>
        <w:tc>
          <w:tcPr>
            <w:tcW w:w="78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Total</w:t>
            </w:r>
          </w:p>
        </w:tc>
        <w:tc>
          <w:tcPr>
            <w:tcW w:w="8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Noncontrollin</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B-1</w:t>
            </w:r>
          </w:p>
        </w:tc>
        <w:tc>
          <w:tcPr>
            <w:tcW w:w="240" w:type="dxa"/>
            <w:vAlign w:val="bottom"/>
          </w:tcPr>
          <w:p>
            <w:pPr>
              <w:spacing w:after="0"/>
              <w:rPr>
                <w:sz w:val="10"/>
                <w:szCs w:val="10"/>
                <w:color w:val="auto"/>
              </w:rPr>
            </w:pPr>
          </w:p>
        </w:tc>
        <w:tc>
          <w:tcPr>
            <w:tcW w:w="5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B-2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w w:val="94"/>
              </w:rPr>
              <w:t>paid-in</w:t>
            </w:r>
          </w:p>
        </w:tc>
        <w:tc>
          <w:tcPr>
            <w:tcW w:w="120" w:type="dxa"/>
            <w:vAlign w:val="bottom"/>
          </w:tcPr>
          <w:p>
            <w:pPr>
              <w:spacing w:after="0"/>
              <w:rPr>
                <w:sz w:val="10"/>
                <w:szCs w:val="10"/>
                <w:color w:val="auto"/>
              </w:rPr>
            </w:pPr>
          </w:p>
        </w:tc>
        <w:tc>
          <w:tcPr>
            <w:tcW w:w="82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w w:val="86"/>
              </w:rPr>
              <w:t>Retained</w:t>
            </w:r>
          </w:p>
        </w:tc>
        <w:tc>
          <w:tcPr>
            <w:tcW w:w="140" w:type="dxa"/>
            <w:vAlign w:val="bottom"/>
          </w:tcPr>
          <w:p>
            <w:pPr>
              <w:spacing w:after="0"/>
              <w:rPr>
                <w:sz w:val="10"/>
                <w:szCs w:val="10"/>
                <w:color w:val="auto"/>
              </w:rPr>
            </w:pPr>
          </w:p>
        </w:tc>
        <w:tc>
          <w:tcPr>
            <w:tcW w:w="7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7"/>
              </w:rPr>
              <w:t>e</w:t>
            </w:r>
          </w:p>
        </w:tc>
        <w:tc>
          <w:tcPr>
            <w:tcW w:w="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stockholders’</w:t>
            </w:r>
          </w:p>
        </w:tc>
        <w:tc>
          <w:tcPr>
            <w:tcW w:w="100" w:type="dxa"/>
            <w:vAlign w:val="bottom"/>
          </w:tcPr>
          <w:p>
            <w:pPr>
              <w:spacing w:after="0"/>
              <w:rPr>
                <w:sz w:val="10"/>
                <w:szCs w:val="10"/>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71"/>
              </w:rPr>
              <w:t>g</w:t>
            </w: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8"/>
              </w:rPr>
              <w:t>(shares)</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4"/>
              </w:rPr>
              <w:t>(shares)</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8"/>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capital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7"/>
              </w:rPr>
              <w:t>earnings</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81"/>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8"/>
              </w:rPr>
              <w:t>equity</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0"/>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2"/>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80" w:type="dxa"/>
            <w:vAlign w:val="bottom"/>
            <w:tcBorders>
              <w:right w:val="single" w:sz="8" w:color="CFF0FC"/>
            </w:tcBorders>
            <w:shd w:val="clear" w:color="auto" w:fill="CFF0FC"/>
          </w:tcPr>
          <w:p>
            <w:pPr>
              <w:ind w:left="20"/>
              <w:spacing w:after="0" w:line="123" w:lineRule="exact"/>
              <w:rPr>
                <w:sz w:val="20"/>
                <w:szCs w:val="20"/>
                <w:color w:val="auto"/>
              </w:rPr>
            </w:pPr>
            <w:r>
              <w:rPr>
                <w:rFonts w:ascii="Arial" w:cs="Arial" w:eastAsia="Arial" w:hAnsi="Arial"/>
                <w:sz w:val="11"/>
                <w:szCs w:val="11"/>
                <w:b w:val="1"/>
                <w:bCs w:val="1"/>
                <w:color w:val="auto"/>
              </w:rPr>
              <w:t>Balance at January 29, 2022</w:t>
            </w:r>
          </w:p>
        </w:tc>
        <w:tc>
          <w:tcPr>
            <w:tcW w:w="46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227,18</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760" w:type="dxa"/>
            <w:vAlign w:val="bottom"/>
            <w:tcBorders>
              <w:right w:val="single" w:sz="8" w:color="CFF0FC"/>
            </w:tcBorders>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37,791</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2,133,821</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142,166</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(2,238 )</w:t>
            </w:r>
          </w:p>
        </w:tc>
        <w:tc>
          <w:tcPr>
            <w:tcW w:w="120" w:type="dxa"/>
            <w:vAlign w:val="bottom"/>
            <w:shd w:val="clear" w:color="auto" w:fill="CFF0FC"/>
          </w:tcPr>
          <w:p>
            <w:pPr>
              <w:jc w:val="right"/>
              <w:ind w:right="38"/>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2,274,014</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(18,195 )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2,255,819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Equity-based compensation expense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(Note 6)</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12,055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24,693</w:t>
            </w: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24,693</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(891 )</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100"/>
              <w:spacing w:after="0"/>
              <w:rPr>
                <w:sz w:val="20"/>
                <w:szCs w:val="20"/>
                <w:color w:val="auto"/>
              </w:rPr>
            </w:pPr>
            <w:r>
              <w:rPr>
                <w:rFonts w:ascii="Arial" w:cs="Arial" w:eastAsia="Arial" w:hAnsi="Arial"/>
                <w:sz w:val="11"/>
                <w:szCs w:val="11"/>
                <w:color w:val="auto"/>
              </w:rPr>
              <w:t>adjustment, net of tax</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(1,598 )</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(1,598 )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(1,598 )</w:t>
            </w: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291</w:t>
            </w: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(2,371 )</w:t>
            </w: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(2,371 )</w:t>
            </w:r>
          </w:p>
        </w:tc>
        <w:tc>
          <w:tcPr>
            <w:tcW w:w="1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(2,371 )</w:t>
            </w:r>
          </w:p>
        </w:tc>
        <w:tc>
          <w:tcPr>
            <w:tcW w:w="0" w:type="dxa"/>
            <w:vAlign w:val="bottom"/>
          </w:tcPr>
          <w:p>
            <w:pPr>
              <w:spacing w:after="0"/>
              <w:rPr>
                <w:sz w:val="1"/>
                <w:szCs w:val="1"/>
                <w:color w:val="auto"/>
              </w:rPr>
            </w:pPr>
          </w:p>
        </w:tc>
      </w:tr>
      <w:tr>
        <w:trPr>
          <w:trHeight w:val="131"/>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78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April 30, 2022</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227,47</w:t>
            </w:r>
          </w:p>
        </w:tc>
        <w:tc>
          <w:tcPr>
            <w:tcW w:w="26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w:t>
            </w:r>
          </w:p>
        </w:tc>
        <w:tc>
          <w:tcPr>
            <w:tcW w:w="760" w:type="dxa"/>
            <w:vAlign w:val="bottom"/>
            <w:gridSpan w:val="2"/>
          </w:tcPr>
          <w:p>
            <w:pPr>
              <w:jc w:val="right"/>
              <w:ind w:right="26"/>
              <w:spacing w:after="0"/>
              <w:rPr>
                <w:sz w:val="20"/>
                <w:szCs w:val="20"/>
                <w:color w:val="auto"/>
              </w:rPr>
            </w:pPr>
            <w:r>
              <w:rPr>
                <w:rFonts w:ascii="Arial" w:cs="Arial" w:eastAsia="Arial" w:hAnsi="Arial"/>
                <w:sz w:val="11"/>
                <w:szCs w:val="11"/>
                <w:color w:val="auto"/>
              </w:rPr>
              <w:t>37,791</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37,791</w:t>
            </w:r>
          </w:p>
        </w:tc>
        <w:tc>
          <w:tcPr>
            <w:tcW w:w="1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2"/>
                <w:szCs w:val="12"/>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2,143,505</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166,859</w:t>
            </w:r>
          </w:p>
        </w:tc>
        <w:tc>
          <w:tcPr>
            <w:tcW w:w="200" w:type="dxa"/>
            <w:vAlign w:val="bottom"/>
          </w:tcPr>
          <w:p>
            <w:pPr>
              <w:spacing w:after="0"/>
              <w:rPr>
                <w:sz w:val="12"/>
                <w:szCs w:val="12"/>
                <w:color w:val="auto"/>
              </w:rPr>
            </w:pPr>
          </w:p>
        </w:tc>
        <w:tc>
          <w:tcPr>
            <w:tcW w:w="14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(3,836 )</w:t>
            </w:r>
          </w:p>
        </w:tc>
        <w:tc>
          <w:tcPr>
            <w:tcW w:w="12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2,306,793</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(19,086 )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2,287,707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780" w:type="dxa"/>
            <w:vAlign w:val="bottom"/>
            <w:tcBorders>
              <w:right w:val="single" w:sz="8" w:color="CFF0FC"/>
            </w:tcBorders>
            <w:shd w:val="clear" w:color="auto" w:fill="CFF0FC"/>
          </w:tcPr>
          <w:p>
            <w:pPr>
              <w:ind w:left="20"/>
              <w:spacing w:after="0" w:line="110" w:lineRule="exact"/>
              <w:rPr>
                <w:sz w:val="20"/>
                <w:szCs w:val="20"/>
                <w:color w:val="auto"/>
              </w:rPr>
            </w:pPr>
            <w:r>
              <w:rPr>
                <w:rFonts w:ascii="Arial" w:cs="Arial" w:eastAsia="Arial" w:hAnsi="Arial"/>
                <w:sz w:val="11"/>
                <w:szCs w:val="11"/>
                <w:color w:val="auto"/>
              </w:rPr>
              <w:t>Equity-based compensation expense</w:t>
            </w:r>
          </w:p>
        </w:tc>
        <w:tc>
          <w:tcPr>
            <w:tcW w:w="46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(Note 6)</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13,422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jc w:val="right"/>
              <w:ind w:right="38"/>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13,422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13,456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46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adjustment, net of tax</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(775 )</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(775 )</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(775 )</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Arial" w:cs="Arial" w:eastAsia="Arial" w:hAnsi="Arial"/>
                <w:sz w:val="11"/>
                <w:szCs w:val="11"/>
                <w:color w:val="auto"/>
              </w:rPr>
              <w:t>Investment in veterinary joint venture</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(54,086 )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(54,086 )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19,086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(35,000 )</w:t>
            </w:r>
          </w:p>
        </w:tc>
        <w:tc>
          <w:tcPr>
            <w:tcW w:w="0" w:type="dxa"/>
            <w:vAlign w:val="bottom"/>
          </w:tcPr>
          <w:p>
            <w:pPr>
              <w:spacing w:after="0"/>
              <w:rPr>
                <w:sz w:val="1"/>
                <w:szCs w:val="1"/>
                <w:color w:val="auto"/>
              </w:rPr>
            </w:pPr>
          </w:p>
        </w:tc>
      </w:tr>
      <w:tr>
        <w:trPr>
          <w:trHeight w:val="130"/>
        </w:trPr>
        <w:tc>
          <w:tcPr>
            <w:tcW w:w="2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431</w:t>
            </w: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335</w:t>
            </w: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8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net of tax withholdings</w:t>
            </w:r>
          </w:p>
        </w:tc>
        <w:tc>
          <w:tcPr>
            <w:tcW w:w="46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right w:val="single" w:sz="8" w:color="CFF0FC"/>
            </w:tcBorders>
            <w:shd w:val="clear" w:color="auto" w:fill="CFF0FC"/>
          </w:tcPr>
          <w:p>
            <w:pPr>
              <w:spacing w:after="0"/>
              <w:rPr>
                <w:sz w:val="11"/>
                <w:szCs w:val="11"/>
                <w:color w:val="auto"/>
              </w:rPr>
            </w:pPr>
          </w:p>
        </w:tc>
        <w:tc>
          <w:tcPr>
            <w:tcW w:w="50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4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62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0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78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Balance at July 30, 2022</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227,90</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w:t>
            </w:r>
          </w:p>
        </w:tc>
        <w:tc>
          <w:tcPr>
            <w:tcW w:w="760" w:type="dxa"/>
            <w:vAlign w:val="bottom"/>
            <w:gridSpan w:val="2"/>
          </w:tcPr>
          <w:p>
            <w:pPr>
              <w:jc w:val="right"/>
              <w:ind w:right="26"/>
              <w:spacing w:after="0"/>
              <w:rPr>
                <w:sz w:val="20"/>
                <w:szCs w:val="20"/>
                <w:color w:val="auto"/>
              </w:rPr>
            </w:pPr>
            <w:r>
              <w:rPr>
                <w:rFonts w:ascii="Arial" w:cs="Arial" w:eastAsia="Arial" w:hAnsi="Arial"/>
                <w:sz w:val="11"/>
                <w:szCs w:val="11"/>
                <w:color w:val="auto"/>
              </w:rPr>
              <w:t>37,791</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37,791</w:t>
            </w:r>
          </w:p>
        </w:tc>
        <w:tc>
          <w:tcPr>
            <w:tcW w:w="1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w:t>
            </w:r>
          </w:p>
        </w:tc>
        <w:tc>
          <w:tcPr>
            <w:tcW w:w="80" w:type="dxa"/>
            <w:vAlign w:val="bottom"/>
          </w:tcPr>
          <w:p>
            <w:pPr>
              <w:spacing w:after="0"/>
              <w:rPr>
                <w:sz w:val="12"/>
                <w:szCs w:val="12"/>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2,103,176</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180,315</w:t>
            </w:r>
          </w:p>
        </w:tc>
        <w:tc>
          <w:tcPr>
            <w:tcW w:w="200" w:type="dxa"/>
            <w:vAlign w:val="bottom"/>
          </w:tcPr>
          <w:p>
            <w:pPr>
              <w:spacing w:after="0"/>
              <w:rPr>
                <w:sz w:val="12"/>
                <w:szCs w:val="12"/>
                <w:color w:val="auto"/>
              </w:rPr>
            </w:pPr>
          </w:p>
        </w:tc>
        <w:tc>
          <w:tcPr>
            <w:tcW w:w="14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(4,611 )</w:t>
            </w:r>
          </w:p>
        </w:tc>
        <w:tc>
          <w:tcPr>
            <w:tcW w:w="120" w:type="dxa"/>
            <w:vAlign w:val="bottom"/>
          </w:tcPr>
          <w:p>
            <w:pPr>
              <w:jc w:val="right"/>
              <w:ind w:right="38"/>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2,279,146</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2,279,146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-3745230</wp:posOffset>
            </wp:positionV>
            <wp:extent cx="7683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-3745230</wp:posOffset>
            </wp:positionV>
            <wp:extent cx="7683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-3745230</wp:posOffset>
            </wp:positionV>
            <wp:extent cx="7683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-3745230</wp:posOffset>
            </wp:positionV>
            <wp:extent cx="7747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-3745230</wp:posOffset>
            </wp:positionV>
            <wp:extent cx="685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-3745230</wp:posOffset>
            </wp:positionV>
            <wp:extent cx="685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-3745230</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-3745230</wp:posOffset>
            </wp:positionV>
            <wp:extent cx="6858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-3745230</wp:posOffset>
            </wp:positionV>
            <wp:extent cx="6858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-2571115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-2553970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-2571115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-2553970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-2571115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-2553970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-2571115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-2553970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-2571115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-2553970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-2571115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-2553970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-2571115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-2553970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-2571115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-2553970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-1104900</wp:posOffset>
            </wp:positionV>
            <wp:extent cx="7683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-1104900</wp:posOffset>
            </wp:positionV>
            <wp:extent cx="7683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-1104900</wp:posOffset>
            </wp:positionV>
            <wp:extent cx="7683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-1104900</wp:posOffset>
            </wp:positionV>
            <wp:extent cx="7683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-1104900</wp:posOffset>
            </wp:positionV>
            <wp:extent cx="6858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-1104900</wp:posOffset>
            </wp:positionV>
            <wp:extent cx="6858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-1104900</wp:posOffset>
            </wp:positionV>
            <wp:extent cx="6858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-1104900</wp:posOffset>
            </wp:positionV>
            <wp:extent cx="6858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-1104900</wp:posOffset>
            </wp:positionV>
            <wp:extent cx="6858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-205105</wp:posOffset>
            </wp:positionV>
            <wp:extent cx="7683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-205105</wp:posOffset>
            </wp:positionV>
            <wp:extent cx="7683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-205105</wp:posOffset>
            </wp:positionV>
            <wp:extent cx="7683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-205105</wp:posOffset>
            </wp:positionV>
            <wp:extent cx="7683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-205105</wp:posOffset>
            </wp:positionV>
            <wp:extent cx="6858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-205105</wp:posOffset>
            </wp:positionV>
            <wp:extent cx="6858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6858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-205105</wp:posOffset>
            </wp:positionV>
            <wp:extent cx="6858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5"/>
              </w:rPr>
              <w:t>Twenty-six 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July 29,</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jc w:val="right"/>
              <w:ind w:right="513"/>
              <w:spacing w:after="0" w:line="125" w:lineRule="exact"/>
              <w:rPr>
                <w:sz w:val="20"/>
                <w:szCs w:val="20"/>
                <w:color w:val="auto"/>
              </w:rPr>
            </w:pPr>
            <w:r>
              <w:rPr>
                <w:rFonts w:ascii="Arial" w:cs="Arial" w:eastAsia="Arial" w:hAnsi="Arial"/>
                <w:sz w:val="13"/>
                <w:szCs w:val="13"/>
                <w:b w:val="1"/>
                <w:bCs w:val="1"/>
                <w:color w:val="auto"/>
                <w:w w:val="92"/>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Net (loss) income</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(16,498 )</w:t>
            </w: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37,258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Adjustments to reconcile net (loss) income to net cash provided by operating</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97,919</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95,570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debt discounts and issuance costs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2,446</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Provision for deferred taxes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(11,002 )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Equity-based compensation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46,248</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partial extinguishment of debt</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Amounts reclassified out of accumulated other comprehensive income (loss)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Income from equity method investees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(6,458 )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(5,194 )</w:t>
            </w: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Non-cash operating lease costs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211,576</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210,946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non-operating (income) loss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(4,614 )</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3"/>
                <w:szCs w:val="13"/>
                <w:color w:val="auto"/>
              </w:rPr>
              <w:t>Changes in assets and liabilities: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Receivables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(16,679 )</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3"/>
                <w:szCs w:val="13"/>
                <w:color w:val="auto"/>
              </w:rPr>
              <w:t>Merchandise inventories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(23,011 )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(48,225 )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(14,237 )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(21,932 )</w:t>
            </w: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3"/>
                <w:szCs w:val="13"/>
                <w:color w:val="auto"/>
              </w:rPr>
              <w:t>Accounts payable and book overdrafts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97,062</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12,626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salaries and employee benefits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(37,345 )</w:t>
            </w: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3"/>
                <w:szCs w:val="13"/>
                <w:color w:val="auto"/>
              </w:rPr>
              <w:t>Accrued expenses and other liabilities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(1,238 )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Operating lease liabilities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(232,518 )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(205,884 )</w:t>
            </w: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3"/>
                <w:szCs w:val="13"/>
                <w:color w:val="auto"/>
              </w:rPr>
              <w:t>Other long-term liabilities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1,212</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(1,839 )</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134,265</w:t>
            </w:r>
          </w:p>
        </w:tc>
        <w:tc>
          <w:tcPr>
            <w:tcW w:w="2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100,088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fixed assets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(114,023 )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(136,190 )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Cash paid for acquisitions, net of cash acquired</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(2,040 )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(2,888 )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interest in veterinary joint venture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(35,000 )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Proceeds from investment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10,248</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Proceeds from sale of assets</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740"/>
              <w:spacing w:after="0"/>
              <w:rPr>
                <w:sz w:val="20"/>
                <w:szCs w:val="20"/>
                <w:color w:val="auto"/>
              </w:rPr>
            </w:pPr>
            <w:r>
              <w:rPr>
                <w:rFonts w:ascii="Arial" w:cs="Arial" w:eastAsia="Arial" w:hAnsi="Arial"/>
                <w:sz w:val="13"/>
                <w:szCs w:val="13"/>
                <w:color w:val="auto"/>
              </w:rPr>
              <w:t>Net cash used in investing activities</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(105,815 )</w:t>
            </w:r>
          </w:p>
        </w:tc>
        <w:tc>
          <w:tcPr>
            <w:tcW w:w="5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(171,951 )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Borrowings under long-term debt agreements</w:t>
            </w:r>
          </w:p>
        </w:tc>
        <w:tc>
          <w:tcPr>
            <w:tcW w:w="10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Repayments of long-term debt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(60,000 )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(12,500 )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Payments for finance lease liabilities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(3,349 )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(2,964 )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employee stock purchase plan and stock option exercises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2,454</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Tax withholdings on stock-based awards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(4,873 )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(13,461 )</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FF0FC"/>
          </w:tcPr>
          <w:p>
            <w:pPr>
              <w:ind w:left="740"/>
              <w:spacing w:after="0"/>
              <w:rPr>
                <w:sz w:val="20"/>
                <w:szCs w:val="20"/>
                <w:color w:val="auto"/>
              </w:rPr>
            </w:pPr>
            <w:r>
              <w:rPr>
                <w:rFonts w:ascii="Arial" w:cs="Arial" w:eastAsia="Arial" w:hAnsi="Arial"/>
                <w:sz w:val="13"/>
                <w:szCs w:val="13"/>
                <w:color w:val="auto"/>
              </w:rPr>
              <w:t>Net cash used in financing activities</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(65,768 )</w:t>
            </w: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(22,334 )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(37,318 )</w:t>
            </w:r>
          </w:p>
        </w:tc>
        <w:tc>
          <w:tcPr>
            <w:tcW w:w="5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(94,197 )</w:t>
            </w: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213,727</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221,890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176,409</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cash flow disclosures:</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Interest paid, net</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72,005</w:t>
            </w:r>
          </w:p>
        </w:tc>
        <w:tc>
          <w:tcPr>
            <w:tcW w:w="26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35,631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Capitalized interest</w:t>
            </w:r>
          </w:p>
        </w:tc>
        <w:tc>
          <w:tcPr>
            <w:tcW w:w="1040" w:type="dxa"/>
            <w:vAlign w:val="bottom"/>
            <w:shd w:val="clear" w:color="auto" w:fill="CFF0FC"/>
          </w:tcPr>
          <w:p>
            <w:pPr>
              <w:jc w:val="right"/>
              <w:ind w:right="89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Income taxes paid</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27,423</w:t>
            </w:r>
          </w:p>
        </w:tc>
        <w:tc>
          <w:tcPr>
            <w:tcW w:w="26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5,461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non-cash investing and financing activities disclosure: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3"/>
                <w:szCs w:val="13"/>
                <w:color w:val="auto"/>
              </w:rPr>
              <w:t>Accounts payable and accrued expenses for capital expenditures</w:t>
            </w:r>
          </w:p>
        </w:tc>
        <w:tc>
          <w:tcPr>
            <w:tcW w:w="1040" w:type="dxa"/>
            <w:vAlign w:val="bottom"/>
          </w:tcPr>
          <w:p>
            <w:pPr>
              <w:jc w:val="right"/>
              <w:ind w:right="89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30,336</w:t>
            </w:r>
          </w:p>
        </w:tc>
        <w:tc>
          <w:tcPr>
            <w:tcW w:w="26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41,343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-2639695</wp:posOffset>
            </wp:positionV>
            <wp:extent cx="76835"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-1962150</wp:posOffset>
            </wp:positionV>
            <wp:extent cx="7683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-1177290</wp:posOffset>
            </wp:positionV>
            <wp:extent cx="7145020" cy="252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-813435</wp:posOffset>
            </wp:positionV>
            <wp:extent cx="7683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2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84" w:lineRule="exact"/>
        <w:rPr>
          <w:sz w:val="20"/>
          <w:szCs w:val="20"/>
          <w:color w:val="auto"/>
        </w:rPr>
      </w:pPr>
    </w:p>
    <w:p>
      <w:pPr>
        <w:ind w:right="720" w:firstLine="509"/>
        <w:spacing w:after="0" w:line="308" w:lineRule="auto"/>
        <w:rPr>
          <w:sz w:val="20"/>
          <w:szCs w:val="20"/>
          <w:color w:val="auto"/>
        </w:rPr>
      </w:pPr>
      <w:r>
        <w:rPr>
          <w:rFonts w:ascii="Arial" w:cs="Arial" w:eastAsia="Arial" w:hAnsi="Arial"/>
          <w:sz w:val="17"/>
          <w:szCs w:val="17"/>
          <w:color w:val="auto"/>
        </w:rPr>
        <w:t>There have been no significant changes from the significant accounting policies disclosed in Note 1 of the Notes to Consolidated Financial Statements included in the Company’s Annual Report on Form 10-K for the fiscal year ended January 28, 2023.</w:t>
      </w:r>
    </w:p>
    <w:p>
      <w:pPr>
        <w:spacing w:after="0" w:line="14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28, 2023, from which the prior year balance sheet information herein was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Veterinary Joint Venture</w:t>
      </w:r>
    </w:p>
    <w:p>
      <w:pPr>
        <w:spacing w:after="0" w:line="225" w:lineRule="exact"/>
        <w:rPr>
          <w:sz w:val="20"/>
          <w:szCs w:val="20"/>
          <w:color w:val="auto"/>
        </w:rPr>
      </w:pPr>
    </w:p>
    <w:p>
      <w:pPr>
        <w:ind w:right="20" w:firstLine="666"/>
        <w:spacing w:after="0" w:line="275" w:lineRule="auto"/>
        <w:rPr>
          <w:sz w:val="20"/>
          <w:szCs w:val="20"/>
          <w:color w:val="auto"/>
        </w:rPr>
      </w:pPr>
      <w:r>
        <w:rPr>
          <w:rFonts w:ascii="Arial" w:cs="Arial" w:eastAsia="Arial" w:hAnsi="Arial"/>
          <w:sz w:val="17"/>
          <w:szCs w:val="17"/>
          <w:color w:val="auto"/>
        </w:rPr>
        <w:t>The Company previously held a 50% investment in a joint venture with a domestic partner to build and operate veterinary clinics in Petco locations. The joint venture was a variable interest entity for which the Company was the primary beneficiary, and accordingly, the joint venture’s results of operations and statements of financial position are included in the Company’s consolidated financial statements.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accounted for as cash flow hedges, and changes in the fair value of the interest rate caps are reported as a component of accumulated other comprehensive income (loss) ("AOCI").</w:t>
      </w:r>
    </w:p>
    <w:p>
      <w:pPr>
        <w:spacing w:after="0" w:line="1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 The interest rate collar is accounted for as a cash flow hedge, and changes in the fair value of the interest rate collar are reported as a component of AOCI.</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becomes effective September 30, 2023 and expires on December 31, 2026. The interest rate collar is accounted for as a cash flow hedge, and changes in the fair value of the interest rate collar are reported as a component of AOCI.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7"/>
              <w:spacing w:after="0"/>
              <w:rPr>
                <w:sz w:val="20"/>
                <w:szCs w:val="20"/>
                <w:color w:val="auto"/>
              </w:rPr>
            </w:pPr>
            <w:r>
              <w:rPr>
                <w:rFonts w:ascii="Arial" w:cs="Arial" w:eastAsia="Arial" w:hAnsi="Arial"/>
                <w:sz w:val="14"/>
                <w:szCs w:val="14"/>
                <w:b w:val="1"/>
                <w:bCs w:val="1"/>
                <w:color w:val="auto"/>
              </w:rPr>
              <w:t>January 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173,014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176,409</w:t>
            </w:r>
          </w:p>
        </w:tc>
        <w:tc>
          <w:tcPr>
            <w:tcW w:w="22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213,727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the statement of cash flows</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6"/>
                <w:szCs w:val="16"/>
                <w:color w:val="auto"/>
              </w:rPr>
            </w:pPr>
          </w:p>
        </w:tc>
      </w:tr>
      <w:tr>
        <w:trPr>
          <w:trHeight w:val="133"/>
        </w:trPr>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rPr>
              <w:t>July 29,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r>
      <w:tr>
        <w:trPr>
          <w:trHeight w:val="185"/>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734,077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687,068</w:t>
            </w:r>
          </w:p>
        </w:tc>
        <w:tc>
          <w:tcPr>
            <w:tcW w:w="240" w:type="dxa"/>
            <w:vAlign w:val="bottom"/>
            <w:gridSpan w:val="2"/>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1,497,128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1,372,998</w:t>
            </w:r>
          </w:p>
        </w:tc>
        <w:tc>
          <w:tcPr>
            <w:tcW w:w="100" w:type="dxa"/>
            <w:vAlign w:val="bottom"/>
            <w:shd w:val="clear" w:color="auto" w:fill="CFF0FC"/>
          </w:tcPr>
          <w:p>
            <w:pPr>
              <w:spacing w:after="0"/>
              <w:rPr>
                <w:sz w:val="20"/>
                <w:szCs w:val="20"/>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544,521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600,711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1,098,066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1,199,890</w:t>
            </w:r>
          </w:p>
        </w:tc>
        <w:tc>
          <w:tcPr>
            <w:tcW w:w="100" w:type="dxa"/>
            <w:vAlign w:val="bottom"/>
          </w:tcPr>
          <w:p>
            <w:pPr>
              <w:spacing w:after="0"/>
              <w:rPr>
                <w:sz w:val="20"/>
                <w:szCs w:val="20"/>
                <w:color w:val="auto"/>
              </w:rPr>
            </w:pPr>
          </w:p>
        </w:tc>
      </w:tr>
      <w:tr>
        <w:trPr>
          <w:trHeight w:val="24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252,136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491,448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383,900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1,530,734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1,480,797</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3,086,642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2,956,788</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Secured Credit Facilities</w:t>
      </w:r>
    </w:p>
    <w:p>
      <w:pPr>
        <w:spacing w:after="0" w:line="121" w:lineRule="exact"/>
        <w:rPr>
          <w:sz w:val="20"/>
          <w:szCs w:val="20"/>
          <w:color w:val="auto"/>
        </w:rPr>
      </w:pPr>
    </w:p>
    <w:p>
      <w:pPr>
        <w:ind w:right="40" w:firstLine="515"/>
        <w:spacing w:after="0" w:line="263" w:lineRule="auto"/>
        <w:rPr>
          <w:sz w:val="20"/>
          <w:szCs w:val="20"/>
          <w:color w:val="auto"/>
        </w:rPr>
      </w:pPr>
      <w:r>
        <w:rPr>
          <w:rFonts w:ascii="Arial" w:cs="Arial" w:eastAsia="Arial" w:hAnsi="Arial"/>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7"/>
          <w:szCs w:val="17"/>
          <w:color w:val="auto"/>
        </w:rPr>
        <w:t>As of July 29, 2023, the Company was in compliance with its covenants under the First Lien Term Loan and the ABL Revolving Credit Facility.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60" w:firstLine="515"/>
        <w:spacing w:after="0" w:line="273" w:lineRule="auto"/>
        <w:rPr>
          <w:sz w:val="20"/>
          <w:szCs w:val="20"/>
          <w:color w:val="auto"/>
        </w:rPr>
      </w:pPr>
      <w:r>
        <w:rPr>
          <w:rFonts w:ascii="Arial" w:cs="Arial" w:eastAsia="Arial" w:hAnsi="Arial"/>
          <w:sz w:val="17"/>
          <w:szCs w:val="17"/>
          <w:color w:val="auto"/>
        </w:rPr>
        <w:t>On December 12, 2022, the Company amended the First Lien Term Loan to replace the LIBOR-based rate with a SOFR-based rate as the interest rate benchmark. 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78" w:lineRule="exact"/>
        <w:rPr>
          <w:sz w:val="20"/>
          <w:szCs w:val="20"/>
          <w:color w:val="auto"/>
        </w:rPr>
      </w:pPr>
    </w:p>
    <w:p>
      <w:pPr>
        <w:ind w:firstLine="515"/>
        <w:spacing w:after="0" w:line="293" w:lineRule="auto"/>
        <w:rPr>
          <w:sz w:val="20"/>
          <w:szCs w:val="20"/>
          <w:color w:val="auto"/>
        </w:rPr>
      </w:pPr>
      <w:r>
        <w:rPr>
          <w:rFonts w:ascii="Arial" w:cs="Arial" w:eastAsia="Arial" w:hAnsi="Arial"/>
          <w:sz w:val="16"/>
          <w:szCs w:val="16"/>
          <w:color w:val="auto"/>
        </w:rPr>
        <w:t>The Company voluntarily prepaid $35.0 million and $25.0 million of the First Lien Term Loan using existing cash on hand in March 2023 and May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July 29, 2023. The Company accounted for the repayments as partial extinguishments and recognized losses on debt extinguishment of $0.3 million and $0.7 million during the thirteen and twenty-six week periods ended July 29, 2023, respectively. In August 2023, the Company repaid $15.0 million on the First Lien Term Loan using existing cash on hand. The repayment was applied to remaining principal payments in order of scheduled payment date.</w:t>
      </w:r>
    </w:p>
    <w:p>
      <w:pPr>
        <w:spacing w:after="0" w:line="164" w:lineRule="exact"/>
        <w:rPr>
          <w:sz w:val="20"/>
          <w:szCs w:val="20"/>
          <w:color w:val="auto"/>
        </w:rPr>
      </w:pPr>
    </w:p>
    <w:p>
      <w:pPr>
        <w:ind w:right="80" w:firstLine="515"/>
        <w:spacing w:after="0" w:line="293" w:lineRule="auto"/>
        <w:rPr>
          <w:sz w:val="20"/>
          <w:szCs w:val="20"/>
          <w:color w:val="auto"/>
        </w:rPr>
      </w:pPr>
      <w:r>
        <w:rPr>
          <w:rFonts w:ascii="Arial" w:cs="Arial" w:eastAsia="Arial" w:hAnsi="Arial"/>
          <w:sz w:val="16"/>
          <w:szCs w:val="16"/>
          <w:color w:val="auto"/>
        </w:rPr>
        <w:t>As of July 29, 2023, the outstanding principal balance of the First Lien Term Loan was $1,610.3 million ($1,591.5 million, net of the unamortized discount and debt issuance costs). As of January 28, 2023, the outstanding principal balance of the First Lien Term Loan was $1,670.3 million ($1,648.9 million, net of the unamortized discount and debt issuance costs). The weighted average interest rate on the borrowings outstanding was 8.9% and 8.2% as of July 29, 2023 and January 28, 2023, respectively. Debt issuance costs are being amortized over the contractual term to interest expense using the effective interest rate in effect at issuance. As of July 29, 2023 and January 28, 2023, the estimated fair value of the First Lien Term Loan was approximately $1,604.3 million and $1,649.4 million, respectively, based upon Level 2 fair value hierarchy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40" w:firstLine="515"/>
        <w:spacing w:after="0" w:line="257" w:lineRule="auto"/>
        <w:rPr>
          <w:sz w:val="20"/>
          <w:szCs w:val="20"/>
          <w:color w:val="auto"/>
        </w:rPr>
      </w:pPr>
      <w:r>
        <w:rPr>
          <w:rFonts w:ascii="Arial" w:cs="Arial" w:eastAsia="Arial" w:hAnsi="Arial"/>
          <w:sz w:val="18"/>
          <w:szCs w:val="18"/>
          <w:color w:val="auto"/>
        </w:rPr>
        <w:t>As of July 29, 2023 and January 28, 2023, no amounts were outstanding under the ABL Revolving Credit Facility. As of July 29, 2023, $446.4 million was available under the ABL Revolving Credit Facility, which is net of $53.6 million of outstanding letters of credit issued in the normal course of business and no borrowing base reduction for a shortfall in qualifying assets. As of July 29, 2023 and January 28, 2023, unamortized debt issuance costs of $3.0 million and $3.6 million, respectively, relating to the ABL Revolving Credit Facility were outstanding and were being amortized using the straight-line method over the remaining term of the agreement.</w:t>
      </w:r>
    </w:p>
    <w:p>
      <w:pPr>
        <w:spacing w:after="0" w:line="188"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On December 12, 2022, the Company amended the ABL Revolving Credit Facility to replace the LIBOR-based rate with a SOFR-based rate as the interest rate benchmark. Interest on the ABL Revolving Credit Facility is based on, at the Company’s option, either the base rate or Adjusted Term SOFR subject to a floor of 0%, in either case, plus an applicable margin. The applicable margin is currently equal to 25 basis points in the case of base rate loans and 125 basis points in the case of Adjusted Term SOFR loans.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right="80" w:firstLine="509"/>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3"/>
              </w:rPr>
              <w:t>Applicable</w:t>
            </w:r>
          </w:p>
        </w:tc>
        <w:tc>
          <w:tcPr>
            <w:tcW w:w="150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Adjusted</w:t>
            </w:r>
          </w:p>
        </w:tc>
        <w:tc>
          <w:tcPr>
            <w:tcW w:w="15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00" w:type="dxa"/>
            <w:vAlign w:val="bottom"/>
          </w:tcPr>
          <w:p>
            <w:pPr>
              <w:spacing w:after="0"/>
              <w:rPr>
                <w:sz w:val="12"/>
                <w:szCs w:val="12"/>
                <w:color w:val="auto"/>
              </w:rPr>
            </w:pP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8"/>
              </w:rPr>
              <w:t>Term SOFR</w:t>
            </w:r>
          </w:p>
        </w:tc>
        <w:tc>
          <w:tcPr>
            <w:tcW w:w="150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85"/>
        </w:trPr>
        <w:tc>
          <w:tcPr>
            <w:tcW w:w="5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7"/>
              </w:rPr>
              <w:t>Loans</w:t>
            </w:r>
          </w:p>
        </w:tc>
        <w:tc>
          <w:tcPr>
            <w:tcW w:w="15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24"/>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Less than 33.3% of the Line Cap</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Arial" w:cs="Arial" w:eastAsia="Arial" w:hAnsi="Arial"/>
                <w:sz w:val="18"/>
                <w:szCs w:val="18"/>
                <w:color w:val="auto"/>
              </w:rPr>
              <w:t>Less than 66.7% but greater than or equal to 33.3% of</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the Line Cap</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1.50 %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Greater than or equal to 66.7% of the Line Cap</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63" w:lineRule="exact"/>
        <w:rPr>
          <w:sz w:val="20"/>
          <w:szCs w:val="20"/>
          <w:color w:val="auto"/>
        </w:rPr>
      </w:pPr>
    </w:p>
    <w:p>
      <w:pPr>
        <w:ind w:right="900" w:firstLine="509"/>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 Derivative Instruments</w:t>
      </w:r>
    </w:p>
    <w:p>
      <w:pPr>
        <w:spacing w:after="0" w:line="229"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interest rate caps and collars are accounted for as cash flow hedges because they are expected to be highly effective in hedging variable rate interest payments. Changes in the fair value of the cash flow hedges are reported as a component of AOCI. As of July 29, 2023, AOCI included unrealized gains of $2.2 million ($1.7 million, net of tax). Approximately $0.5 million and $1.1 million of pre-tax losses deferred in AOCI were reclassified to interest expense during the thirteen and twenty-six week periods ended July 29, 2023, respectively. As of January 28, 2023, AOCI included unrealized losses of $2.7 million ($2.1 million, net of tax). The Company currently estimates that $3.2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Assets (Liabilities)</w:t>
            </w:r>
          </w:p>
        </w:tc>
        <w:tc>
          <w:tcPr>
            <w:tcW w:w="180" w:type="dxa"/>
            <w:vAlign w:val="bottom"/>
          </w:tcPr>
          <w:p>
            <w:pPr>
              <w:spacing w:after="0"/>
              <w:rPr>
                <w:sz w:val="14"/>
                <w:szCs w:val="14"/>
                <w:color w:val="auto"/>
              </w:rPr>
            </w:pPr>
          </w:p>
        </w:tc>
        <w:tc>
          <w:tcPr>
            <w:tcW w:w="30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4"/>
                <w:szCs w:val="14"/>
                <w:color w:val="auto"/>
              </w:rPr>
            </w:pPr>
          </w:p>
        </w:tc>
        <w:tc>
          <w:tcPr>
            <w:tcW w:w="148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 portion of cash flow hedges</w:t>
            </w:r>
          </w:p>
        </w:tc>
        <w:tc>
          <w:tcPr>
            <w:tcW w:w="180" w:type="dxa"/>
            <w:vAlign w:val="bottom"/>
            <w:shd w:val="clear" w:color="auto" w:fill="CFF0FC"/>
          </w:tcPr>
          <w:p>
            <w:pPr>
              <w:spacing w:after="0"/>
              <w:rPr>
                <w:sz w:val="20"/>
                <w:szCs w:val="20"/>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8"/>
                <w:szCs w:val="18"/>
                <w:color w:val="auto"/>
              </w:rPr>
              <w:t>Non-current asset portion of cash flow</w:t>
            </w:r>
          </w:p>
        </w:tc>
        <w:tc>
          <w:tcPr>
            <w:tcW w:w="18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8"/>
                <w:szCs w:val="18"/>
                <w:color w:val="auto"/>
              </w:rPr>
              <w:t>hedges</w:t>
            </w: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liability portion of cash flow</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hedges</w:t>
            </w:r>
          </w:p>
        </w:tc>
        <w:tc>
          <w:tcPr>
            <w:tcW w:w="18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(1,176 )</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8"/>
                <w:szCs w:val="18"/>
                <w:color w:val="auto"/>
              </w:rPr>
              <w:t>Non-current liability portion of cash flow</w:t>
            </w:r>
          </w:p>
        </w:tc>
        <w:tc>
          <w:tcPr>
            <w:tcW w:w="18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(1,594 )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(1,717 )</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Arial" w:cs="Arial" w:eastAsia="Arial" w:hAnsi="Arial"/>
                <w:sz w:val="18"/>
                <w:szCs w:val="18"/>
                <w:color w:val="auto"/>
              </w:rPr>
              <w:t>hedges</w:t>
            </w: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flow hedges</w:t>
            </w:r>
          </w:p>
        </w:tc>
        <w:tc>
          <w:tcPr>
            <w:tcW w:w="180" w:type="dxa"/>
            <w:vAlign w:val="bottom"/>
            <w:tcBorders>
              <w:bottom w:val="single" w:sz="8" w:color="CFF0FC"/>
            </w:tcBorders>
            <w:shd w:val="clear" w:color="auto" w:fill="CFF0FC"/>
          </w:tcPr>
          <w:p>
            <w:pPr>
              <w:spacing w:after="0"/>
              <w:rPr>
                <w:sz w:val="23"/>
                <w:szCs w:val="23"/>
                <w:color w:val="auto"/>
              </w:rPr>
            </w:pPr>
          </w:p>
        </w:tc>
        <w:tc>
          <w:tcPr>
            <w:tcW w:w="30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75"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July 29,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(liabilities):</w:t>
            </w:r>
          </w:p>
        </w:tc>
        <w:tc>
          <w:tcPr>
            <w:tcW w:w="2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Money market mutual funds</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118,915</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 of officers' life insurance</w:t>
            </w: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Non-qualified deferred compensation plan</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(20,200 )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related to Rover Group, Inc.</w:t>
            </w:r>
          </w:p>
        </w:tc>
        <w:tc>
          <w:tcPr>
            <w:tcW w:w="2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14,518</w:t>
            </w:r>
          </w:p>
        </w:tc>
        <w:tc>
          <w:tcPr>
            <w:tcW w:w="100" w:type="dxa"/>
            <w:vAlign w:val="bottom"/>
            <w:shd w:val="clear" w:color="auto" w:fill="CFF0FC"/>
          </w:tcPr>
          <w:p>
            <w:pPr>
              <w:spacing w:after="0"/>
              <w:rPr>
                <w:sz w:val="21"/>
                <w:szCs w:val="21"/>
                <w:color w:val="auto"/>
              </w:rPr>
            </w:pPr>
          </w:p>
        </w:tc>
      </w:tr>
      <w:tr>
        <w:trPr>
          <w:trHeight w:val="648"/>
        </w:trPr>
        <w:tc>
          <w:tcPr>
            <w:tcW w:w="4400" w:type="dxa"/>
            <w:vAlign w:val="bottom"/>
          </w:tcPr>
          <w:p>
            <w:pPr>
              <w:spacing w:after="0"/>
              <w:rPr>
                <w:sz w:val="24"/>
                <w:szCs w:val="24"/>
                <w:color w:val="auto"/>
              </w:rPr>
            </w:pPr>
          </w:p>
        </w:tc>
        <w:tc>
          <w:tcPr>
            <w:tcW w:w="224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8360"/>
        <w:spacing w:after="0"/>
        <w:rPr>
          <w:sz w:val="20"/>
          <w:szCs w:val="20"/>
          <w:color w:val="auto"/>
        </w:rPr>
      </w:pPr>
      <w:r>
        <w:rPr>
          <w:rFonts w:ascii="Arial" w:cs="Arial" w:eastAsia="Arial" w:hAnsi="Arial"/>
          <w:sz w:val="14"/>
          <w:szCs w:val="14"/>
          <w:b w:val="1"/>
          <w:bCs w:val="1"/>
          <w:color w:val="auto"/>
        </w:rPr>
        <w:t>January 28,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(liabilities):</w:t>
            </w: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Money market mutual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156,626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 of officers' life insurance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Non-qualified deferred compensation plan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(18,464 )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Rover Group, Inc.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20,152</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26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$117.0 million and $145.5 million as of July 29, 2023 and January 28, 2023, respectively. Also included in the Company’s money market mutual funds balances were $1.9 million and $11.1 million as of July 29, 2023 and January 28, 2023, respectively, which relate to the Company’s restricted cash, and are included in other current assets in the consolidated balance sheets.</w:t>
      </w:r>
    </w:p>
    <w:p>
      <w:pPr>
        <w:spacing w:after="0" w:line="188"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April 2023, the Company sold its interest in Rover Group, Inc. Class A common stock to a buyer at a price determined based on the daily volume weighted average price, in addition to a premium, over an agreed upon period. The cash proceeds were received throughout fiscal 2023, with the final payment being received in August 2023. The Company's interest in the unsettled cash proceeds were remeasured at fair value at each reporting period, and the resulting gains or losses were included in other non-operating income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There were no triggering events identified and no indication of impairment of the Company’s goodwill, indefinite-lived trade name, other intangible assets or equity and other investments during the thirteen or twenty-six week periods ended July 29, 2023 and July 30, 2022. During the thirteen and twenty-six week periods ended July 29, 2023, the Company recorded fixed asset and right-of-use asset impairment charges of $0.9 million and $1.1 million, respectively. During the thirteen and twenty-six week periods ended July 30, 2022, the Company recorded fixed asset and right-of-use asset impairment charges of $0.2 million and $1.0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84"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4" w:name="page15"/>
    <w:bookmarkEnd w:id="14"/>
    <w:p>
      <w:pPr>
        <w:ind w:left="56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6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7"/>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July 30,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July 29,</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94"/>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and RSAs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16,778</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31,274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15,157</w:t>
            </w:r>
          </w:p>
        </w:tc>
        <w:tc>
          <w:tcPr>
            <w:tcW w:w="100" w:type="dxa"/>
            <w:vAlign w:val="bottom"/>
            <w:shd w:val="clear" w:color="auto" w:fill="CFF0FC"/>
          </w:tcPr>
          <w:p>
            <w:pPr>
              <w:spacing w:after="0"/>
              <w:rPr>
                <w:sz w:val="20"/>
                <w:szCs w:val="20"/>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0"/>
                <w:szCs w:val="20"/>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FF0FC"/>
          </w:tcPr>
          <w:p>
            <w:pPr>
              <w:spacing w:after="0"/>
              <w:rPr>
                <w:sz w:val="21"/>
                <w:szCs w:val="2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Other awards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0"/>
                <w:szCs w:val="20"/>
                <w:color w:val="auto"/>
              </w:rPr>
            </w:pPr>
          </w:p>
        </w:tc>
      </w:tr>
      <w:tr>
        <w:trPr>
          <w:trHeight w:val="276"/>
        </w:trPr>
        <w:tc>
          <w:tcPr>
            <w:tcW w:w="4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24,119</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12,895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46,248</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62"/>
        </w:trPr>
        <w:tc>
          <w:tcPr>
            <w:tcW w:w="7900" w:type="dxa"/>
            <w:vAlign w:val="bottom"/>
            <w:gridSpan w:val="8"/>
          </w:tcPr>
          <w:p>
            <w:pPr>
              <w:ind w:left="520"/>
              <w:spacing w:after="0"/>
              <w:rPr>
                <w:sz w:val="20"/>
                <w:szCs w:val="20"/>
                <w:color w:val="auto"/>
              </w:rPr>
            </w:pPr>
            <w:r>
              <w:rPr>
                <w:rFonts w:ascii="Arial" w:cs="Arial" w:eastAsia="Arial" w:hAnsi="Arial"/>
                <w:sz w:val="18"/>
                <w:szCs w:val="18"/>
                <w:color w:val="auto"/>
                <w:w w:val="97"/>
              </w:rPr>
              <w:t>Activity under the 2021 Equity Incentive Plan was as follows (shares and dollars in thousands):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RSUs and RSAs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Nonvested/outstanding, January 28, 2023</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20"/>
                <w:szCs w:val="20"/>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delivered/exercised</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(2,059 )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(634 )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7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Nonvested/outstanding, July 29, 2023</w:t>
            </w:r>
          </w:p>
        </w:tc>
        <w:tc>
          <w:tcPr>
            <w:tcW w:w="3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12,452</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4620" w:type="dxa"/>
            <w:vAlign w:val="bottom"/>
          </w:tcPr>
          <w:p>
            <w:pPr>
              <w:ind w:left="20"/>
              <w:spacing w:after="0"/>
              <w:rPr>
                <w:sz w:val="20"/>
                <w:szCs w:val="20"/>
                <w:color w:val="auto"/>
              </w:rPr>
            </w:pPr>
            <w:r>
              <w:rPr>
                <w:rFonts w:ascii="Arial" w:cs="Arial" w:eastAsia="Arial" w:hAnsi="Arial"/>
                <w:sz w:val="18"/>
                <w:szCs w:val="18"/>
                <w:color w:val="auto"/>
              </w:rPr>
              <w:t>Unrecognized compensation expense as of July 29, 2023</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118,638</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Pr>
          <w:p>
            <w:pPr>
              <w:spacing w:after="0"/>
              <w:rPr>
                <w:sz w:val="19"/>
                <w:szCs w:val="19"/>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Weighted average remaining expense period as of July 29, 2023</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 years</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-1842770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-1824990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-1842770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-1824990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-1842770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-1824990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122555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25550" cy="1803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vested on each of the first two anniversaries of the grant date. Unvested RSAs were not considered participating securities for earnings per share purposes, as any related dividends were forfeitable.</w:t>
      </w:r>
    </w:p>
    <w:p>
      <w:pPr>
        <w:spacing w:after="0" w:line="184"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Units</w:t>
            </w:r>
          </w:p>
        </w:tc>
      </w:tr>
      <w:tr>
        <w:trPr>
          <w:trHeight w:val="23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28, 2023</w:t>
            </w:r>
          </w:p>
        </w:tc>
        <w:tc>
          <w:tcPr>
            <w:tcW w:w="12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201,359</w:t>
            </w:r>
          </w:p>
        </w:tc>
        <w:tc>
          <w:tcPr>
            <w:tcW w:w="20" w:type="dxa"/>
            <w:vAlign w:val="bottom"/>
          </w:tcPr>
          <w:p>
            <w:pPr>
              <w:spacing w:after="0"/>
              <w:rPr>
                <w:sz w:val="20"/>
                <w:szCs w:val="20"/>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(847 )</w:t>
            </w:r>
          </w:p>
        </w:tc>
        <w:tc>
          <w:tcPr>
            <w:tcW w:w="20" w:type="dxa"/>
            <w:vAlign w:val="bottom"/>
          </w:tcPr>
          <w:p>
            <w:pPr>
              <w:spacing w:after="0"/>
              <w:rPr>
                <w:sz w:val="21"/>
                <w:szCs w:val="21"/>
                <w:color w:val="auto"/>
              </w:rPr>
            </w:pPr>
          </w:p>
        </w:tc>
      </w:tr>
      <w:tr>
        <w:trPr>
          <w:trHeight w:val="237"/>
        </w:trPr>
        <w:tc>
          <w:tcPr>
            <w:tcW w:w="5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July 29, 2023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200,512</w:t>
            </w:r>
          </w:p>
        </w:tc>
        <w:tc>
          <w:tcPr>
            <w:tcW w:w="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July 29, 2023</w:t>
            </w: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172,814</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-367665</wp:posOffset>
            </wp:positionV>
            <wp:extent cx="3429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No additional Series C Units have been or will be awarded following the Company’s initial public offering. As of July 29, 2023, unrecognized compensation expense related to the unvested portion of Scooby LP’s Series C Units was $6.1 million, which is expected to be recognized over a weighted average period of 1.1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Per Share</w:t>
      </w:r>
    </w:p>
    <w:p>
      <w:pPr>
        <w:spacing w:after="0" w:line="2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options and the ESPP) and the associated unrecognized compensation expense is greater than the average market price of Class A common shares because the inclusion of these securities would be anti-dilutive.</w:t>
      </w:r>
    </w:p>
    <w:p>
      <w:pPr>
        <w:spacing w:after="0" w:line="197" w:lineRule="exact"/>
        <w:rPr>
          <w:sz w:val="20"/>
          <w:szCs w:val="20"/>
          <w:color w:val="auto"/>
        </w:rPr>
      </w:pPr>
    </w:p>
    <w:p>
      <w:pPr>
        <w:ind w:right="100" w:firstLine="450"/>
        <w:spacing w:after="0" w:line="262" w:lineRule="auto"/>
        <w:rPr>
          <w:sz w:val="20"/>
          <w:szCs w:val="20"/>
          <w:color w:val="auto"/>
        </w:rPr>
      </w:pPr>
      <w:r>
        <w:rPr>
          <w:rFonts w:ascii="Arial" w:cs="Arial" w:eastAsia="Arial" w:hAnsi="Arial"/>
          <w:sz w:val="18"/>
          <w:szCs w:val="18"/>
          <w:color w:val="auto"/>
        </w:rPr>
        <w:t>All outstanding equity awards were excluded from the calculation of diluted loss per Class A and B-1 common share in the twenty-six weeks ended July 29, 2023, as their effect would be antidilutive in a net loss period</w:t>
      </w:r>
      <w:r>
        <w:rPr>
          <w:rFonts w:ascii="Arial" w:cs="Arial" w:eastAsia="Arial" w:hAnsi="Arial"/>
          <w:sz w:val="19"/>
          <w:szCs w:val="19"/>
          <w:color w:val="auto"/>
        </w:rPr>
        <w:t>.</w:t>
      </w:r>
    </w:p>
    <w:p>
      <w:pPr>
        <w:spacing w:after="0" w:line="21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There were approximately 5.3 million potential shares that were anti-dilutive and excluded from the computation of diluted shares outstanding during the twenty-six weeks ended July 30, 2022.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firstLine="612"/>
        <w:spacing w:after="0" w:line="254" w:lineRule="auto"/>
        <w:rPr>
          <w:sz w:val="20"/>
          <w:szCs w:val="20"/>
          <w:color w:val="auto"/>
        </w:rPr>
      </w:pPr>
      <w:r>
        <w:rPr>
          <w:rFonts w:ascii="Arial" w:cs="Arial" w:eastAsia="Arial" w:hAnsi="Arial"/>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28, 2023 (the “2022 Form 10-K”). The discussion and analysis below contains certain forward-looking statements about our business and operations that are subject to the risks, uncertainties, and other factors referred to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25 million total active customers with a comprehensive offering of differentiated products and services to fulfill their pets’ health and wellness needs through our more than 1,500 pet care centers in the U.S., Mexico, and Puerto Rico, including a growing network of more than 250 in-store veterinary hospitals, our digital channel, and our flexible fulfillment options.</w:t>
      </w:r>
    </w:p>
    <w:p>
      <w:pPr>
        <w:spacing w:after="0" w:line="8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Our multicategory,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Premier membership program. From the nutrition and supplies pets need each day, to the services that keep them at optimal health, Vital Care Premier makes it easier and more affordable for pet parents to care for their pet’s whole health all in one place. Vital Care Premier memberships are at the top of our integrated loyalty programs, followed by Vital Care Core and our perks programs that provide rewards for frequent purchasing.</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a life-changing independent nonprofit organization, we work with and support thousands of local animal welfare groups across the country and, through in-store adoption events, we have helped find homes for nearly 7 million animals.</w:t>
      </w:r>
    </w:p>
    <w:p>
      <w:pPr>
        <w:spacing w:after="0" w:line="79"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Macroeconomic factors, including rising interest rates, inflationary pressures, supply chain constraints, and global economic and geopolitical developments have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10-Q.</w:t>
      </w:r>
    </w:p>
    <w:p>
      <w:pPr>
        <w:spacing w:after="0" w:line="27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100"/>
        <w:spacing w:after="0" w:line="275" w:lineRule="auto"/>
        <w:rPr>
          <w:sz w:val="20"/>
          <w:szCs w:val="20"/>
          <w:color w:val="auto"/>
        </w:rPr>
      </w:pPr>
      <w:r>
        <w:rPr>
          <w:rFonts w:ascii="Arial" w:cs="Arial" w:eastAsia="Arial" w:hAnsi="Arial"/>
          <w:sz w:val="17"/>
          <w:szCs w:val="17"/>
          <w:color w:val="auto"/>
        </w:rPr>
        <w:t>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76" w:lineRule="exact"/>
        <w:rPr>
          <w:sz w:val="20"/>
          <w:szCs w:val="20"/>
          <w:color w:val="auto"/>
        </w:rPr>
      </w:pPr>
    </w:p>
    <w:p>
      <w:pPr>
        <w:ind w:right="60" w:firstLine="554"/>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 financial results for the thirteen weeks ended July 29, 2023 reflect continued business and operational execution, while investing in strategic growth initiatives. Comparing the thirteen weeks ended July 29, 2023 with the thirteen weeks ended July 30, 2022 (unless otherwise noted), our results included the following:</w:t>
      </w:r>
    </w:p>
    <w:p>
      <w:pPr>
        <w:spacing w:after="0" w:line="76"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from $1.48 billion to $1.53 billion, representing period-over-period growth of 3.4%;</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sales growth of 3.2%;</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operating income from $50.0 million to $24.0 million, representing a period-over-period decrease of 51.9%;</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attributable to Class A and B-1 common stockholders of $14.6 million, compared to net income attributable to Class A and B-1 common stockholders of $13.5 million in the prior year period;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Adjusted EBITDA from $133.5 million to $112.6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4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04"/>
              <w:spacing w:after="0" w:line="133" w:lineRule="exact"/>
              <w:rPr>
                <w:sz w:val="20"/>
                <w:szCs w:val="20"/>
                <w:color w:val="auto"/>
              </w:rPr>
            </w:pPr>
            <w:r>
              <w:rPr>
                <w:rFonts w:ascii="Arial" w:cs="Arial" w:eastAsia="Arial" w:hAnsi="Arial"/>
                <w:sz w:val="14"/>
                <w:szCs w:val="14"/>
                <w:b w:val="1"/>
                <w:bCs w:val="1"/>
                <w:color w:val="auto"/>
              </w:rPr>
              <w:t>July 29,</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3"/>
              </w:rPr>
              <w:t>July 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right"/>
              <w:ind w:right="441"/>
              <w:spacing w:after="0" w:line="133"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4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1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1,530,734</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1,480,797</w:t>
            </w:r>
          </w:p>
        </w:tc>
        <w:tc>
          <w:tcPr>
            <w:tcW w:w="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3,086,642</w:t>
            </w: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2,956,788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937,730</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1,889,156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593,004</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594,477</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1,197,486</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1,202,151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568,967</w:t>
            </w:r>
          </w:p>
        </w:tc>
        <w:tc>
          <w:tcPr>
            <w:tcW w:w="3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544,472</w:t>
            </w: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1,145,832</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1,102,207</w:t>
            </w:r>
          </w:p>
        </w:tc>
        <w:tc>
          <w:tcPr>
            <w:tcW w:w="100" w:type="dxa"/>
            <w:vAlign w:val="bottom"/>
            <w:tcBorders>
              <w:bottom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24,037</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50,005</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51,654</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4"/>
              <w:spacing w:after="0"/>
              <w:rPr>
                <w:sz w:val="20"/>
                <w:szCs w:val="20"/>
                <w:color w:val="auto"/>
              </w:rPr>
            </w:pPr>
            <w:r>
              <w:rPr>
                <w:rFonts w:ascii="Arial" w:cs="Arial" w:eastAsia="Arial" w:hAnsi="Arial"/>
                <w:sz w:val="18"/>
                <w:szCs w:val="18"/>
                <w:color w:val="auto"/>
              </w:rPr>
              <w:t>(764 )</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(1,940 )</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6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37,493</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21,820</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74,694</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Loss on partial extinguishment of debt</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(income) loss</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tcBorders>
              <w:right w:val="single" w:sz="8" w:color="CFF0FC"/>
            </w:tcBorders>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(1,795 )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(4,614 )</w:t>
            </w: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5"/>
        </w:trPr>
        <w:tc>
          <w:tcPr>
            <w:tcW w:w="4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1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740" w:type="dxa"/>
            <w:vAlign w:val="bottom"/>
          </w:tcPr>
          <w:p>
            <w:pPr>
              <w:ind w:left="520"/>
              <w:spacing w:after="0"/>
              <w:rPr>
                <w:sz w:val="20"/>
                <w:szCs w:val="20"/>
                <w:color w:val="auto"/>
              </w:rPr>
            </w:pPr>
            <w:r>
              <w:rPr>
                <w:rFonts w:ascii="Arial" w:cs="Arial" w:eastAsia="Arial" w:hAnsi="Arial"/>
                <w:sz w:val="18"/>
                <w:szCs w:val="18"/>
                <w:color w:val="auto"/>
              </w:rPr>
              <w:t>from equity method investees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4"/>
              <w:spacing w:after="0"/>
              <w:rPr>
                <w:sz w:val="20"/>
                <w:szCs w:val="20"/>
                <w:color w:val="auto"/>
              </w:rPr>
            </w:pPr>
            <w:r>
              <w:rPr>
                <w:rFonts w:ascii="Arial" w:cs="Arial" w:eastAsia="Arial" w:hAnsi="Arial"/>
                <w:sz w:val="18"/>
                <w:szCs w:val="18"/>
                <w:color w:val="auto"/>
              </w:rPr>
              <w:t>(11,202 )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(17,232 )</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4"/>
              <w:spacing w:after="0"/>
              <w:rPr>
                <w:sz w:val="20"/>
                <w:szCs w:val="20"/>
                <w:color w:val="auto"/>
              </w:rPr>
            </w:pPr>
            <w:r>
              <w:rPr>
                <w:rFonts w:ascii="Arial" w:cs="Arial" w:eastAsia="Arial" w:hAnsi="Arial"/>
                <w:sz w:val="18"/>
                <w:szCs w:val="18"/>
                <w:color w:val="auto"/>
              </w:rPr>
              <w:t>(3,328 )</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(2,031 )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(6,458 )</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(5,194 )</w:t>
            </w: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(14,606</w:t>
            </w:r>
          </w:p>
        </w:tc>
        <w:tc>
          <w:tcPr>
            <w:tcW w:w="300" w:type="dxa"/>
            <w:vAlign w:val="bottom"/>
            <w:tcBorders>
              <w:left w:val="single" w:sz="8" w:color="CFF0FC"/>
              <w:right w:val="single" w:sz="8" w:color="CFF0FC"/>
            </w:tcBorders>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180" w:type="dxa"/>
            <w:vAlign w:val="bottom"/>
            <w:tcBorders>
              <w:right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left w:val="single" w:sz="8" w:color="CFF0FC"/>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(891 )</w:t>
            </w:r>
          </w:p>
        </w:tc>
        <w:tc>
          <w:tcPr>
            <w:tcW w:w="60" w:type="dxa"/>
            <w:vAlign w:val="bottom"/>
          </w:tcPr>
          <w:p>
            <w:pPr>
              <w:spacing w:after="0"/>
              <w:rPr>
                <w:sz w:val="20"/>
                <w:szCs w:val="20"/>
                <w:color w:val="auto"/>
              </w:rPr>
            </w:pPr>
          </w:p>
        </w:tc>
      </w:tr>
      <w:tr>
        <w:trPr>
          <w:trHeight w:val="215"/>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1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left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common stockholders</w:t>
            </w:r>
          </w:p>
        </w:tc>
        <w:tc>
          <w:tcPr>
            <w:tcW w:w="1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FF0FC"/>
            </w:tcBorders>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(14,606 )</w:t>
            </w:r>
          </w:p>
        </w:tc>
        <w:tc>
          <w:tcPr>
            <w:tcW w:w="20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ind w:right="21"/>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(16,498 )</w:t>
            </w:r>
          </w:p>
        </w:tc>
        <w:tc>
          <w:tcPr>
            <w:tcW w:w="2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18"/>
        </w:trPr>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4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64"/>
              <w:spacing w:after="0" w:line="133" w:lineRule="exact"/>
              <w:rPr>
                <w:sz w:val="20"/>
                <w:szCs w:val="20"/>
                <w:color w:val="auto"/>
              </w:rPr>
            </w:pPr>
            <w:r>
              <w:rPr>
                <w:rFonts w:ascii="Arial" w:cs="Arial" w:eastAsia="Arial" w:hAnsi="Arial"/>
                <w:sz w:val="14"/>
                <w:szCs w:val="14"/>
                <w:b w:val="1"/>
                <w:bCs w:val="1"/>
                <w:color w:val="auto"/>
              </w:rPr>
              <w:t>July 29,</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401"/>
              <w:spacing w:after="0" w:line="133"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3"/>
              <w:spacing w:after="0" w:line="133" w:lineRule="exact"/>
              <w:rPr>
                <w:sz w:val="20"/>
                <w:szCs w:val="20"/>
                <w:color w:val="auto"/>
              </w:rPr>
            </w:pPr>
            <w:r>
              <w:rPr>
                <w:rFonts w:ascii="Arial" w:cs="Arial" w:eastAsia="Arial" w:hAnsi="Arial"/>
                <w:sz w:val="14"/>
                <w:szCs w:val="14"/>
                <w:b w:val="1"/>
                <w:bCs w:val="1"/>
                <w:color w:val="auto"/>
              </w:rPr>
              <w:t>July 30,</w:t>
            </w:r>
          </w:p>
        </w:tc>
        <w:tc>
          <w:tcPr>
            <w:tcW w:w="160" w:type="dxa"/>
            <w:vAlign w:val="bottom"/>
            <w:gridSpan w:val="2"/>
          </w:tcPr>
          <w:p>
            <w:pPr>
              <w:spacing w:after="0"/>
              <w:rPr>
                <w:sz w:val="11"/>
                <w:szCs w:val="11"/>
                <w:color w:val="auto"/>
              </w:rPr>
            </w:pPr>
          </w:p>
        </w:tc>
      </w:tr>
      <w:tr>
        <w:trPr>
          <w:trHeight w:val="185"/>
        </w:trPr>
        <w:tc>
          <w:tcPr>
            <w:tcW w:w="4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24"/>
              <w:spacing w:after="0"/>
              <w:rPr>
                <w:sz w:val="20"/>
                <w:szCs w:val="20"/>
                <w:color w:val="auto"/>
              </w:rPr>
            </w:pPr>
            <w:r>
              <w:rPr>
                <w:rFonts w:ascii="Arial" w:cs="Arial" w:eastAsia="Arial" w:hAnsi="Arial"/>
                <w:sz w:val="12"/>
                <w:szCs w:val="12"/>
                <w:color w:val="auto"/>
                <w:w w:val="74"/>
              </w:rPr>
              <w:t>%</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41"/>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left w:val="single" w:sz="8" w:color="CFF0FC"/>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7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1"/>
                <w:szCs w:val="2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partial extinguishment of debt</w:t>
            </w:r>
          </w:p>
        </w:tc>
        <w:tc>
          <w:tcPr>
            <w:tcW w:w="112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00" w:type="dxa"/>
            <w:vAlign w:val="bottom"/>
            <w:tcBorders>
              <w:left w:val="single" w:sz="8" w:color="CFF0FC"/>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tcBorders>
              <w:right w:val="single" w:sz="8" w:color="CFF0FC"/>
            </w:tcBorders>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Other non-operating (income) loss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income before income taxes and income</w:t>
            </w:r>
          </w:p>
        </w:tc>
        <w:tc>
          <w:tcPr>
            <w:tcW w:w="1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left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from equity method investees</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equity method investees</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21"/>
                <w:szCs w:val="2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tcBorders>
              <w:right w:val="single" w:sz="8" w:color="CFF0FC"/>
            </w:tcBorders>
            <w:gridSpan w:val="2"/>
            <w:shd w:val="clear" w:color="auto" w:fill="CFF0FC"/>
          </w:tcPr>
          <w:p>
            <w:pPr>
              <w:jc w:val="right"/>
              <w:ind w:right="30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0" w:type="dxa"/>
            <w:vAlign w:val="bottom"/>
            <w:tcBorders>
              <w:right w:val="single" w:sz="8" w:color="CFF0FC"/>
            </w:tcBorders>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3"/>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1"/>
                <w:szCs w:val="21"/>
                <w:color w:val="auto"/>
              </w:rPr>
            </w:pPr>
          </w:p>
        </w:tc>
      </w:tr>
      <w:tr>
        <w:trPr>
          <w:trHeight w:val="215"/>
        </w:trPr>
        <w:tc>
          <w:tcPr>
            <w:tcW w:w="4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Net (loss) income attributable to Class A and B-1</w:t>
            </w:r>
          </w:p>
        </w:tc>
        <w:tc>
          <w:tcPr>
            <w:tcW w:w="1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740" w:type="dxa"/>
            <w:vAlign w:val="bottom"/>
          </w:tcPr>
          <w:p>
            <w:pPr>
              <w:ind w:left="520"/>
              <w:spacing w:after="0"/>
              <w:rPr>
                <w:sz w:val="20"/>
                <w:szCs w:val="20"/>
                <w:color w:val="auto"/>
              </w:rPr>
            </w:pPr>
            <w:r>
              <w:rPr>
                <w:rFonts w:ascii="Arial" w:cs="Arial" w:eastAsia="Arial" w:hAnsi="Arial"/>
                <w:sz w:val="18"/>
                <w:szCs w:val="18"/>
                <w:color w:val="auto"/>
              </w:rPr>
              <w:t>common stockholders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(0.5 )%</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432"/>
        </w:trPr>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4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24"/>
              <w:spacing w:after="0" w:line="133" w:lineRule="exact"/>
              <w:rPr>
                <w:sz w:val="20"/>
                <w:szCs w:val="20"/>
                <w:color w:val="auto"/>
              </w:rPr>
            </w:pPr>
            <w:r>
              <w:rPr>
                <w:rFonts w:ascii="Arial" w:cs="Arial" w:eastAsia="Arial" w:hAnsi="Arial"/>
                <w:sz w:val="14"/>
                <w:szCs w:val="14"/>
                <w:b w:val="1"/>
                <w:bCs w:val="1"/>
                <w:color w:val="auto"/>
              </w:rPr>
              <w:t>July 29,</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July 30,</w:t>
            </w:r>
          </w:p>
        </w:tc>
        <w:tc>
          <w:tcPr>
            <w:tcW w:w="220" w:type="dxa"/>
            <w:vAlign w:val="bottom"/>
            <w:gridSpan w:val="2"/>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361"/>
              <w:spacing w:after="0" w:line="133"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3"/>
              <w:spacing w:after="0" w:line="133" w:lineRule="exact"/>
              <w:rPr>
                <w:sz w:val="20"/>
                <w:szCs w:val="20"/>
                <w:color w:val="auto"/>
              </w:rPr>
            </w:pPr>
            <w:r>
              <w:rPr>
                <w:rFonts w:ascii="Arial" w:cs="Arial" w:eastAsia="Arial" w:hAnsi="Arial"/>
                <w:sz w:val="14"/>
                <w:szCs w:val="14"/>
                <w:b w:val="1"/>
                <w:bCs w:val="1"/>
                <w:color w:val="auto"/>
              </w:rPr>
              <w:t>July 30,</w:t>
            </w:r>
          </w:p>
        </w:tc>
        <w:tc>
          <w:tcPr>
            <w:tcW w:w="160" w:type="dxa"/>
            <w:vAlign w:val="bottom"/>
            <w:gridSpan w:val="2"/>
          </w:tcPr>
          <w:p>
            <w:pPr>
              <w:spacing w:after="0"/>
              <w:rPr>
                <w:sz w:val="11"/>
                <w:szCs w:val="11"/>
                <w:color w:val="auto"/>
              </w:rPr>
            </w:pPr>
          </w:p>
        </w:tc>
      </w:tr>
      <w:tr>
        <w:trPr>
          <w:trHeight w:val="185"/>
        </w:trPr>
        <w:tc>
          <w:tcPr>
            <w:tcW w:w="4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Operational Data:</w:t>
            </w:r>
          </w:p>
        </w:tc>
        <w:tc>
          <w:tcPr>
            <w:tcW w:w="11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left w:val="single" w:sz="8" w:color="CFF0FC"/>
            </w:tcBorders>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Comparable sales increase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8"/>
                <w:szCs w:val="18"/>
                <w:color w:val="auto"/>
              </w:rPr>
              <w:t>3.2 %</w:t>
            </w:r>
          </w:p>
        </w:tc>
        <w:tc>
          <w:tcPr>
            <w:tcW w:w="20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3.8 %</w:t>
            </w:r>
          </w:p>
        </w:tc>
        <w:tc>
          <w:tcPr>
            <w:tcW w:w="180" w:type="dxa"/>
            <w:vAlign w:val="bottom"/>
          </w:tcPr>
          <w:p>
            <w:pPr>
              <w:spacing w:after="0"/>
              <w:rPr>
                <w:sz w:val="20"/>
                <w:szCs w:val="20"/>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4.4 %</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pet care centers at end of period</w:t>
            </w:r>
          </w:p>
        </w:tc>
        <w:tc>
          <w:tcPr>
            <w:tcW w:w="1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Total veterinarian practices at end of period</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(in thousands)</w:t>
            </w:r>
          </w:p>
        </w:tc>
        <w:tc>
          <w:tcPr>
            <w:tcW w:w="1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112,578</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133,497</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223,604</w:t>
            </w:r>
          </w:p>
        </w:tc>
        <w:tc>
          <w:tcPr>
            <w:tcW w:w="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648"/>
        </w:trPr>
        <w:tc>
          <w:tcPr>
            <w:tcW w:w="474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-6882765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-6882765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-6882765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-6882765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-6102985</wp:posOffset>
            </wp:positionV>
            <wp:extent cx="6858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-6102985</wp:posOffset>
            </wp:positionV>
            <wp:extent cx="68580" cy="3003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-6102985</wp:posOffset>
            </wp:positionV>
            <wp:extent cx="68580" cy="300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-6102985</wp:posOffset>
            </wp:positionV>
            <wp:extent cx="68580" cy="300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-4079875</wp:posOffset>
            </wp:positionV>
            <wp:extent cx="7747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-4079875</wp:posOffset>
            </wp:positionV>
            <wp:extent cx="7747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-4079875</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-2373630</wp:posOffset>
            </wp:positionV>
            <wp:extent cx="7747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-2373630</wp:posOffset>
            </wp:positionV>
            <wp:extent cx="7747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-2373630</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-2056765</wp:posOffset>
            </wp:positionV>
            <wp:extent cx="77470"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-2056765</wp:posOffset>
            </wp:positionV>
            <wp:extent cx="77470" cy="300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-2056765</wp:posOffset>
            </wp:positionV>
            <wp:extent cx="68580" cy="300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300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661" w:right="279" w:bottom="1440" w:gutter="0" w:footer="0" w:header="0"/>
        </w:sectPr>
      </w:pPr>
    </w:p>
    <w:bookmarkStart w:id="19" w:name="page20"/>
    <w:bookmarkEnd w:id="19"/>
    <w:p>
      <w:pPr>
        <w:ind w:right="1000" w:firstLine="945"/>
        <w:spacing w:after="0" w:line="407" w:lineRule="auto"/>
        <w:rPr>
          <w:sz w:val="20"/>
          <w:szCs w:val="20"/>
          <w:color w:val="auto"/>
        </w:rPr>
      </w:pPr>
      <w:r>
        <w:rPr>
          <w:rFonts w:ascii="Arial" w:cs="Arial" w:eastAsia="Arial" w:hAnsi="Arial"/>
          <w:sz w:val="18"/>
          <w:szCs w:val="18"/>
          <w:b w:val="1"/>
          <w:bCs w:val="1"/>
          <w:color w:val="auto"/>
        </w:rPr>
        <w:t xml:space="preserve">Thirteen and Twenty-six Weeks Ended July 29, 2023 Compared with Thirteen and Twenty-six Weeks Ended July 30, 2022 </w:t>
      </w:r>
      <w:r>
        <w:rPr>
          <w:rFonts w:ascii="Arial" w:cs="Arial" w:eastAsia="Arial" w:hAnsi="Arial"/>
          <w:sz w:val="18"/>
          <w:szCs w:val="18"/>
          <w:b w:val="1"/>
          <w:bCs w:val="1"/>
          <w:i w:val="1"/>
          <w:iCs w:val="1"/>
          <w:color w:val="auto"/>
        </w:rPr>
        <w:t>Net Sales and Comparable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rPr>
              <w:t>Thirteen weeks ended</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Twenty-six 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77"/>
              <w:spacing w:after="0" w:line="125" w:lineRule="exact"/>
              <w:rPr>
                <w:sz w:val="20"/>
                <w:szCs w:val="20"/>
                <w:color w:val="auto"/>
              </w:rPr>
            </w:pPr>
            <w:r>
              <w:rPr>
                <w:rFonts w:ascii="Arial" w:cs="Arial" w:eastAsia="Arial" w:hAnsi="Arial"/>
                <w:sz w:val="13"/>
                <w:szCs w:val="13"/>
                <w:b w:val="1"/>
                <w:bCs w:val="1"/>
                <w:color w:val="auto"/>
              </w:rPr>
              <w:t>July 29,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77"/>
              <w:spacing w:after="0" w:line="125" w:lineRule="exact"/>
              <w:rPr>
                <w:sz w:val="20"/>
                <w:szCs w:val="20"/>
                <w:color w:val="auto"/>
              </w:rPr>
            </w:pPr>
            <w:r>
              <w:rPr>
                <w:rFonts w:ascii="Arial" w:cs="Arial" w:eastAsia="Arial" w:hAnsi="Arial"/>
                <w:sz w:val="13"/>
                <w:szCs w:val="13"/>
                <w:b w:val="1"/>
                <w:bCs w:val="1"/>
                <w:color w:val="auto"/>
              </w:rPr>
              <w:t>July 30,</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377"/>
              <w:spacing w:after="0" w:line="12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40" w:type="dxa"/>
            <w:vAlign w:val="bottom"/>
          </w:tcPr>
          <w:p>
            <w:pPr>
              <w:jc w:val="right"/>
              <w:ind w:right="417"/>
              <w:spacing w:after="0" w:line="12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7"/>
              <w:spacing w:after="0" w:line="125"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57"/>
              <w:spacing w:after="0" w:line="125" w:lineRule="exact"/>
              <w:rPr>
                <w:sz w:val="20"/>
                <w:szCs w:val="20"/>
                <w:color w:val="auto"/>
              </w:rPr>
            </w:pPr>
            <w:r>
              <w:rPr>
                <w:rFonts w:ascii="Arial" w:cs="Arial" w:eastAsia="Arial" w:hAnsi="Arial"/>
                <w:sz w:val="13"/>
                <w:szCs w:val="13"/>
                <w:b w:val="1"/>
                <w:bCs w:val="1"/>
                <w:color w:val="auto"/>
              </w:rPr>
              <w:t>July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377"/>
              <w:spacing w:after="0" w:line="12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040" w:type="dxa"/>
            <w:vAlign w:val="bottom"/>
          </w:tcPr>
          <w:p>
            <w:pPr>
              <w:jc w:val="right"/>
              <w:ind w:right="417"/>
              <w:spacing w:after="0" w:line="12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Consumables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734,077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687,068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47,009</w:t>
            </w:r>
          </w:p>
        </w:tc>
        <w:tc>
          <w:tcPr>
            <w:tcW w:w="2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6.8 %</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1,497,128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1,372,998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124,130</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Supplies and companion animals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544,521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600,711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(56,190 )</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(9.4 %)</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1,098,066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1,199,890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(101,824 )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63"/>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Services and other</w:t>
            </w: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252,136</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193,018</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59,118</w:t>
            </w:r>
          </w:p>
        </w:tc>
        <w:tc>
          <w:tcPr>
            <w:tcW w:w="24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30.6 %</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491,448</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383,900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107,548</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28.0 %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Arial" w:cs="Arial" w:eastAsia="Arial" w:hAnsi="Arial"/>
                <w:sz w:val="13"/>
                <w:szCs w:val="13"/>
                <w:color w:val="auto"/>
              </w:rPr>
              <w:t>Net sales</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1,530,734</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1,480,797</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49,937</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3.4 %</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3,086,642</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2,956,788</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129,854</w:t>
            </w:r>
          </w:p>
        </w:tc>
        <w:tc>
          <w:tcPr>
            <w:tcW w:w="220" w:type="dxa"/>
            <w:vAlign w:val="bottom"/>
          </w:tcPr>
          <w:p>
            <w:pPr>
              <w:spacing w:after="0"/>
              <w:rPr>
                <w:sz w:val="13"/>
                <w:szCs w:val="13"/>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96"/>
        </w:trPr>
        <w:tc>
          <w:tcPr>
            <w:tcW w:w="20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-196215</wp:posOffset>
            </wp:positionV>
            <wp:extent cx="7747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-196215</wp:posOffset>
            </wp:positionV>
            <wp:extent cx="76835"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-196215</wp:posOffset>
            </wp:positionV>
            <wp:extent cx="76835"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-196215</wp:posOffset>
            </wp:positionV>
            <wp:extent cx="68580"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-196215</wp:posOffset>
            </wp:positionV>
            <wp:extent cx="6858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-196215</wp:posOffset>
            </wp:positionV>
            <wp:extent cx="6858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Net sales increased $49.9 million, or 3.4%, to $1.53 billion in the thirteen weeks ended July 29, 2023 compared to net sales of $1.48 billion in the thirteen weeks ended July 30, 2022, driven by a 3.2% increase in our comparable sales. Net sales increased $129.9 million, or 4.4%, to $3.09 billion in the twenty-six weeks ended July 29, 2023 compared to net sales of $2.96 billion in the twenty-six weeks ended July 30, 2022, driven by a 4.1% increase in our comparable sales. Our sales growth period-over-period was driven by our strong execution and differentiated model across digital and in our pet care centers. Our sales growth was led by continued momentum in consumables and services, whose customers shop more frequently and have among our highest long-term value. This growth is partially offset by a decrease in supplies and companion animals sales driven by softening in discretionary spend associated with the current inflationary macroeconomic environment.</w:t>
      </w:r>
    </w:p>
    <w:p>
      <w:pPr>
        <w:spacing w:after="0" w:line="6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increase in consumables sales between the periods was driven in part by our continued expansion of our product assortment. The decrease in supplies and companion animals sales is due to a decrease in spending on certain non-essential items. The increase in services and other was due to growth in our membership offerings like Vital Care and growth in our grooming services and veterinary hospital business in which we now operate over 250 veterinary hospitals.</w:t>
      </w:r>
    </w:p>
    <w:p>
      <w:pPr>
        <w:spacing w:after="0" w:line="7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Service related sales, which include veterinary hospitals, increased 16.6% and 15.0% during the thirteen and twenty-six weeks ended July 29, 2023, respectively, reflecting expansion and maturity of our veterinary hospital footprint and strong growth in veterinary and grooming customers. E-commerce and digital sales increased 9.4% and 10.3% during the thirteen and twenty-six weeks ended July 29, 2023, respectively, driven by strength in our online initiatives such as repeat delivery, same day delivery and our digital pharmacy. For the thirteen and twenty-six weeks ended July 29, 2023, pet care center merchandise and Vital Care delivered growth of 0.1% and 1.3%, respectively, led by strong growth in consumables.</w:t>
      </w:r>
    </w:p>
    <w:p>
      <w:pPr>
        <w:spacing w:after="0" w:line="6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Gross profit decreased $1.5 million, or 0.2%, to $593.0 million in the thirteen weeks ended July 29, 2023 compared to gross profit of $594.5 million for the thirteen weeks ended July 30, 2022. As a percentage of sales, our gross profit rate was 38.7% for the thirteen weeks ended July 29, 2023 compared with 40.1% for the thirteen weeks ended July 30, 2022. Gross profit decreased $4.7 million, or 0.4%, to $1,197.5 million in the twenty-six weeks ended July 29, 2023 compared to gross profit of $1,202.2 million for the twenty-six weeks ended July 30, 2022. As a percentage of sales, our gross profit rate was 38.8% for the twenty-six weeks ended July 29, 2023 compared with 40.7% for the twenty-six weeks ended July 30, 2022. The decrease in gross profit rate between the periods was primarily due to the mix impact of strong consumables sales and softer supplies and companion animal sales during the thirteen and twenty-six weeks ended July 29, 2023. While the strong consumables mix impacts the gross margin rate, the average consumables customer has a higher lifetime value than most other categories of customers. Sales channel impacts driven by strength in our digital and services business (which includes vet) also contributed to the decrease in gross profit rate during the thirteen and twenty-six weeks ended July 29, 2023 as compared to the prior year periods. We are unable to quantify the factors impacting gross profit rate described above due to the fact that such factors are based on input measures or qualitative information that do not lend themselves to quantification.</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6"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SG&amp;A expenses increased $24.5 million, or 4.5%, to $569.0 million for the thirteen weeks ended July 29, 2023 compared to $544.5 million for the thirteen weeks ended July 30, 2022. As a percentage of net sales, SG&amp;A expenses were 37.2% for the thirteen weeks ended July 29, 2023 compared with 36.8% for the thirteen weeks ended July 30, 2022. The increase in SG&amp;A expenses period-over-period was to support our growth as we continue to invest in infrastructure and our people and included higher equity-based compensation expense driven by additional awards issued throughout the past year.</w:t>
      </w:r>
    </w:p>
    <w:p>
      <w:pPr>
        <w:spacing w:after="0" w:line="49"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SG&amp;A expenses increased $43.6 million, or 4.0%, to $1,145.8 million for the twenty-six weeks ended July 29, 2023 compared to $1,102.2 million for the twenty-six weeks ended July 30, 2022. As a percentage of net sales, SG&amp;A expenses were 37.1% for the twenty-six weeks ended July 29, 2023 compared with 37.3% for the twenty-six weeks ended July 30, 2022, reflecting operating leverage from net sales growth. The increase in SG&amp;A expenses period-over-period was to support our growth as we continue to invest in infrastructure and our people and included higher equity-based compensation expense driven by additional awards issued throughout the past year. This increase was partially offset by a decrease in advertising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Interest expense increased $15.7 million, or 71.8%, to $37.5 million in the thirteen weeks ended July 29, 2023 compared with $21.8 million in the thirteen weeks ended July 30, 2022. Interest expense increased $33.2 million, or 80.2%, to $74.7 million in the twenty-six weeks ended July 29, 2023 compared with $41.5 million in the twenty-six weeks ended July 30, 2022. The increase was primarily driven by higher interest rates on the First Lien Term Loan. For more information on these obligations,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Partial Extinguishment of Debt</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Loss on partial extinguishment of debt was $0.7 million for the twenty-six weeks ended July 29, 2023. This loss was recognized in conjunction with the $35.0 million and $25.0 million repayments on the First Lien Term Loan in March 2023 and May 2023, respectively. There was no loss on debt extinguishment and modification for the twenty-six weeks ended July 30, 2022. For more information regarding these activities, refer to Note 3, “</w:t>
      </w:r>
      <w:r>
        <w:rPr>
          <w:rFonts w:ascii="Arial" w:cs="Arial" w:eastAsia="Arial" w:hAnsi="Arial"/>
          <w:sz w:val="17"/>
          <w:szCs w:val="17"/>
          <w:i w:val="1"/>
          <w:iCs w:val="1"/>
          <w:color w:val="auto"/>
        </w:rPr>
        <w:t>Senior</w:t>
      </w:r>
      <w:r>
        <w:rPr>
          <w:rFonts w:ascii="Arial" w:cs="Arial" w:eastAsia="Arial" w:hAnsi="Arial"/>
          <w:sz w:val="17"/>
          <w:szCs w:val="17"/>
          <w:color w:val="auto"/>
        </w:rPr>
        <w:t xml:space="preserve"> </w:t>
      </w:r>
      <w:r>
        <w:rPr>
          <w:rFonts w:ascii="Arial" w:cs="Arial" w:eastAsia="Arial" w:hAnsi="Arial"/>
          <w:sz w:val="17"/>
          <w:szCs w:val="17"/>
          <w:i w:val="1"/>
          <w:iCs w:val="1"/>
          <w:color w:val="auto"/>
        </w:rPr>
        <w:t>Secured Credit Facilities</w:t>
      </w:r>
      <w:r>
        <w:rPr>
          <w:rFonts w:ascii="Arial" w:cs="Arial" w:eastAsia="Arial" w:hAnsi="Arial"/>
          <w:sz w:val="17"/>
          <w:szCs w:val="17"/>
          <w:color w:val="auto"/>
        </w:rPr>
        <w:t>,” to the Notes to Consolidated Financial Statements included in Part I, Item 1 of this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Loss</w:t>
      </w:r>
    </w:p>
    <w:p>
      <w:pPr>
        <w:spacing w:after="0" w:line="22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Other non-operating income was $1.8 million and $4.6 million for the thirteen and twenty-six weeks ended July 29, 2023, respectively. Other non-operating loss was $10.3 million and $10.0 million for the thirteen and twenty-six weeks ended July 30, 2022, respectively. For more information regarding this activity, refer to Note 5,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to the Notes to Consolidated Financial Statements included in Part I, Item 1 of this Form 10-Q.</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40" w:firstLine="509"/>
        <w:spacing w:after="0" w:line="265" w:lineRule="auto"/>
        <w:rPr>
          <w:sz w:val="20"/>
          <w:szCs w:val="20"/>
          <w:color w:val="auto"/>
        </w:rPr>
      </w:pPr>
      <w:r>
        <w:rPr>
          <w:rFonts w:ascii="Arial" w:cs="Arial" w:eastAsia="Arial" w:hAnsi="Arial"/>
          <w:sz w:val="18"/>
          <w:szCs w:val="18"/>
          <w:color w:val="auto"/>
        </w:rPr>
        <w:t>Our effective tax rates were -85.5% and -53.1%, resulting in income tax expense of $6.7 million and $5.7 million for the thirteen and twenty-six weeks ended July 29, 2023, respectively, compared to effective tax rates of 32.9% and 30.3%, resulting in income tax expense of $6.6 million and $16.6 million for the thirteen and twenty-six weeks ended July 30, 2022, respectively. The change in effective tax rates for the thirteen and twenty-six weeks ended July 29, 2023 was primarily driven by a change in earnings and a shortfall in tax deductions resulting from the exercise and vesting of equity-based compensation awards.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measures. The non-GAAP financial measures presented may differ from similarly-titled measures used by other companies.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Adjusted EBITDA is not a substitute for net (loss) income,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2022 Form 10-K for more information regarding how we define Adjusted EBITDA.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table below reflects the calculation of Adjusted EBITDA and Adjusted EBITDA Margin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4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right"/>
              <w:ind w:right="540"/>
              <w:spacing w:after="0" w:line="133"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2"/>
              <w:spacing w:after="0" w:line="133"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500"/>
              <w:spacing w:after="0" w:line="133"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92"/>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income attributable to Class A and B-1</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59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(14,606 )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(16,498 )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97,919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95,570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equity method investees</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(3,328 )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(2,031 )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(6,458 )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(5,194 )</w:t>
            </w: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Loss on partial extinguishment of debt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impairments and write offs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non-operating (income) loss</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(1,795 )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(4,614 )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Mexico joint venture EBITDA (1)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Acquisition-related integration costs (2)</w:t>
            </w:r>
          </w:p>
        </w:tc>
        <w:tc>
          <w:tcPr>
            <w:tcW w:w="18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Other costs (3)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133,497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223,604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252,692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594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1,530,734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1,480,797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3,086,642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2,956,788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5940" w:type="dxa"/>
            <w:vAlign w:val="bottom"/>
          </w:tcPr>
          <w:p>
            <w:pPr>
              <w:ind w:left="380"/>
              <w:spacing w:after="0"/>
              <w:rPr>
                <w:sz w:val="20"/>
                <w:szCs w:val="20"/>
                <w:color w:val="auto"/>
              </w:rPr>
            </w:pPr>
            <w:r>
              <w:rPr>
                <w:rFonts w:ascii="Arial" w:cs="Arial" w:eastAsia="Arial" w:hAnsi="Arial"/>
                <w:sz w:val="18"/>
                <w:szCs w:val="18"/>
                <w:color w:val="auto"/>
              </w:rPr>
              <w:t>Net margin (4)</w:t>
            </w:r>
          </w:p>
        </w:tc>
        <w:tc>
          <w:tcPr>
            <w:tcW w:w="18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(0.5 )%</w:t>
            </w: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Adjusted EBITDA Margin</w:t>
            </w:r>
          </w:p>
        </w:tc>
        <w:tc>
          <w:tcPr>
            <w:tcW w:w="18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7.4 %</w:t>
            </w:r>
          </w:p>
        </w:tc>
        <w:tc>
          <w:tcPr>
            <w:tcW w:w="24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9.0 %</w:t>
            </w:r>
          </w:p>
        </w:tc>
        <w:tc>
          <w:tcPr>
            <w:tcW w:w="18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7.2 %</w:t>
            </w: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3340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030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1" w:lineRule="exact"/>
        <w:rPr>
          <w:sz w:val="20"/>
          <w:szCs w:val="20"/>
          <w:color w:val="auto"/>
        </w:rPr>
      </w:pPr>
    </w:p>
    <w:p>
      <w:pPr>
        <w:ind w:left="1020" w:right="180" w:hanging="503"/>
        <w:spacing w:after="0" w:line="255" w:lineRule="auto"/>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6"/>
                <w:szCs w:val="16"/>
                <w:color w:val="auto"/>
              </w:rPr>
            </w:pPr>
          </w:p>
        </w:tc>
      </w:tr>
      <w:tr>
        <w:trPr>
          <w:trHeight w:val="133"/>
        </w:trPr>
        <w:tc>
          <w:tcPr>
            <w:tcW w:w="30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July 29,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34"/>
              <w:spacing w:after="0" w:line="133" w:lineRule="exact"/>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July 29,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r>
      <w:tr>
        <w:trPr>
          <w:trHeight w:val="185"/>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100" w:type="dxa"/>
            <w:vAlign w:val="bottom"/>
            <w:shd w:val="clear" w:color="auto" w:fill="CFF0FC"/>
          </w:tcPr>
          <w:p>
            <w:pPr>
              <w:spacing w:after="0"/>
              <w:rPr>
                <w:sz w:val="20"/>
                <w:szCs w:val="20"/>
                <w:color w:val="auto"/>
              </w:rPr>
            </w:pPr>
          </w:p>
        </w:tc>
      </w:tr>
      <w:tr>
        <w:trPr>
          <w:trHeight w:val="237"/>
        </w:trPr>
        <w:tc>
          <w:tcPr>
            <w:tcW w:w="582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0"/>
                <w:szCs w:val="20"/>
                <w:color w:val="auto"/>
              </w:rPr>
            </w:pPr>
          </w:p>
        </w:tc>
      </w:tr>
      <w:tr>
        <w:trPr>
          <w:trHeight w:val="249"/>
        </w:trPr>
        <w:tc>
          <w:tcPr>
            <w:tcW w:w="5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gridSpan w:val="2"/>
          </w:tcPr>
          <w:p>
            <w:pPr>
              <w:ind w:left="200"/>
              <w:spacing w:after="0"/>
              <w:rPr>
                <w:sz w:val="20"/>
                <w:szCs w:val="20"/>
                <w:color w:val="auto"/>
              </w:rPr>
            </w:pPr>
            <w:r>
              <w:rPr>
                <w:rFonts w:ascii="Arial" w:cs="Arial" w:eastAsia="Arial" w:hAnsi="Arial"/>
                <w:sz w:val="18"/>
                <w:szCs w:val="18"/>
                <w:color w:val="auto"/>
              </w:rPr>
              <w:t>Foreign currency loss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17,088</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13,001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34,556</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26,557</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50% of EBITDA</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95"/>
        </w:trPr>
        <w:tc>
          <w:tcPr>
            <w:tcW w:w="300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-427990</wp:posOffset>
            </wp:positionV>
            <wp:extent cx="768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-427990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-427990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-102235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-85090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-102235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-85090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-102235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-85090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1020" w:right="180" w:hanging="503"/>
        <w:spacing w:after="0" w:line="229"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 For the thirteen weeks ended July 30, 2022, approximately $6.7 million of integration costs were recorded in cost of sales and $4.1 million of integration costs were recorded in selling, general and administrative expenses relating to the purchase of the remaining stake in our veterinary joint venture. For the twenty-six weeks ended July 30, 2022, approximately $6.7 million of integration costs were recorded in cost of sales and $6.4 million of integration costs were recorded in selling, general and administrative expenses relating to the purchase of the remaining stake in our veterinary joint venture.</w:t>
      </w:r>
    </w:p>
    <w:p>
      <w:pPr>
        <w:spacing w:after="0" w:line="77" w:lineRule="exact"/>
        <w:rPr>
          <w:rFonts w:ascii="Arial" w:cs="Arial" w:eastAsia="Arial" w:hAnsi="Arial"/>
          <w:sz w:val="14"/>
          <w:szCs w:val="14"/>
          <w:color w:val="auto"/>
        </w:rPr>
      </w:pPr>
    </w:p>
    <w:p>
      <w:pPr>
        <w:ind w:left="1020" w:right="180" w:hanging="503"/>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65" w:lineRule="exact"/>
        <w:rPr>
          <w:rFonts w:ascii="Arial" w:cs="Arial" w:eastAsia="Arial" w:hAnsi="Arial"/>
          <w:sz w:val="14"/>
          <w:szCs w:val="14"/>
          <w:color w:val="auto"/>
        </w:rPr>
      </w:pPr>
    </w:p>
    <w:p>
      <w:pPr>
        <w:ind w:left="1020" w:right="480" w:hanging="503"/>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define net margin as net (loss) income attributable to Class A and B-1 common stockholders divided by net sales and Adjusted EBITDA margin as Adjusted EBITDA divided by net sales.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5"/>
          </w:tcPr>
          <w:p>
            <w:pPr>
              <w:jc w:val="right"/>
              <w:ind w:right="981"/>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77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7"/>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100,088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paid for fixed assets</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(114,023 )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(136,190 )</w:t>
            </w:r>
          </w:p>
        </w:tc>
      </w:tr>
      <w:tr>
        <w:trPr>
          <w:trHeight w:val="277"/>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July 29, 2023 was $619.4 million, inclusive of cash and cash equivalents of $173.0 million and $446.4 million of availability on the ABL Revolving Credit Facility.</w:t>
      </w:r>
    </w:p>
    <w:p>
      <w:pPr>
        <w:spacing w:after="0" w:line="53"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557" w:right="339" w:bottom="1440" w:gutter="0" w:footer="0" w:header="0"/>
        </w:sect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consolidated cash flows: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cash provided by (used in):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540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cash, cash equivalents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restricted cash</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Twenty-six weeks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6"/>
              <w:spacing w:after="0" w:line="133" w:lineRule="exact"/>
              <w:rPr>
                <w:sz w:val="20"/>
                <w:szCs w:val="20"/>
                <w:color w:val="auto"/>
              </w:rPr>
            </w:pPr>
            <w:r>
              <w:rPr>
                <w:rFonts w:ascii="Arial" w:cs="Arial" w:eastAsia="Arial" w:hAnsi="Arial"/>
                <w:sz w:val="14"/>
                <w:szCs w:val="14"/>
                <w:b w:val="1"/>
                <w:bCs w:val="1"/>
                <w:color w:val="auto"/>
              </w:rPr>
              <w:t>July 30,</w:t>
            </w:r>
          </w:p>
        </w:tc>
        <w:tc>
          <w:tcPr>
            <w:tcW w:w="60" w:type="dxa"/>
            <w:vAlign w:val="bottom"/>
          </w:tcPr>
          <w:p>
            <w:pPr>
              <w:spacing w:after="0"/>
              <w:rPr>
                <w:sz w:val="11"/>
                <w:szCs w:val="11"/>
                <w:color w:val="auto"/>
              </w:rPr>
            </w:pPr>
          </w:p>
        </w:tc>
      </w:tr>
      <w:tr>
        <w:trPr>
          <w:trHeight w:val="185"/>
        </w:trPr>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46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134,265</w:t>
            </w:r>
          </w:p>
        </w:tc>
        <w:tc>
          <w:tcPr>
            <w:tcW w:w="3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100,088</w:t>
            </w:r>
          </w:p>
        </w:tc>
        <w:tc>
          <w:tcPr>
            <w:tcW w:w="6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(105,815 )</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(171,951 )</w:t>
            </w:r>
          </w:p>
        </w:tc>
      </w:tr>
      <w:tr>
        <w:trPr>
          <w:trHeight w:val="250"/>
        </w:trPr>
        <w:tc>
          <w:tcPr>
            <w:tcW w:w="3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(65,768 )</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(22,334 )</w:t>
            </w:r>
          </w:p>
        </w:tc>
      </w:tr>
      <w:tr>
        <w:trPr>
          <w:trHeight w:val="20"/>
        </w:trPr>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(37,318 )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(94,197 )</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7" w:lineRule="exact"/>
        <w:rPr>
          <w:sz w:val="20"/>
          <w:szCs w:val="20"/>
          <w:color w:val="auto"/>
        </w:rPr>
      </w:pPr>
    </w:p>
    <w:p>
      <w:pPr>
        <w:sectPr>
          <w:pgSz w:w="11900" w:h="16838" w:orient="portrait"/>
          <w:cols w:equalWidth="0" w:num="2">
            <w:col w:w="7020" w:space="720"/>
            <w:col w:w="3500"/>
          </w:cols>
          <w:pgMar w:left="320" w:top="557" w:right="339" w:bottom="1440" w:gutter="0" w:footer="0" w:header="0"/>
          <w:type w:val="continuous"/>
        </w:sectPr>
      </w:pPr>
    </w:p>
    <w:p>
      <w:pPr>
        <w:ind w:right="160" w:firstLine="509"/>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income adjusted for certain non-cash items, including: depreciation, amortization, impairments and write-offs; amortization of debt discounts and issuance costs; deferred income taxes; equity-based compensation; impairments of goodwill and intangible assets; other non-operating (income) loss; and the effect of changes in operating assets and liabilities.</w:t>
      </w:r>
    </w:p>
    <w:p>
      <w:pPr>
        <w:spacing w:after="0" w:line="195"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Net cash provided by operating activities was $134.3 million in the twenty-six weeks ended July 29, 2023 compared with net cash provided by operating activities of $100.1 million in the twenty-six weeks ended July 30, 2022. The increase in operating cash flow is due to higher sales, lower cash paid for advertising and timing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t>differences in accounts payable. This was partially offset by increases in cash paid for interest, income taxes and operating leases as well as higher payroll and fringe benefits.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Cash used in investing activities consists of capital expenditures, which in the twenty-six weeks ended July 29, 2023 and the twenty-six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July 30, 2022 primarily supported our initiatives including the continued build-out of our veterinary hospitals. Net cash used in investing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$105.8 million and $172.0 million for the twenty-six weeks ended July 29, 2023 and July 30, 2022, respectively. This change was primarily driven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$35.0 million cash paid for the remaining 50% stake in our veterinary joint venture during the twenty-six weeks ended July 30,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Net cash used in financing activities was $65.8 million for the twenty-six weeks ended July 29, 2023, compared with $22.3 million used in financing activities in the twenty-six weeks ended July 30,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Financing cash flows in the twenty-six weeks ended July 29, 2023 primarily consisted of $60.0 million in principal repayments on the term loan.</w:t>
      </w:r>
    </w:p>
    <w:p>
      <w:pPr>
        <w:spacing w:after="0" w:line="23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Financing cash flows in the twenty-six weeks ended July 30, 2022 primarily consisted of the scheduled quarterly repayments on the term loan and payments for tax withholdings on stock-based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2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In March 2023 and May 2023, the Company repaid $35.0 million and $25.0 million in principal, respectively, of the First Lien Term Loan using existing cash on hand. The repayments were applied to remaining principal payments in order of scheduled payment date. Additionally, in August 2023, the Company repaid $15.0 million in principal on the First Lien Term Loan using existing cash on hand.</w:t>
      </w:r>
    </w:p>
    <w:p>
      <w:pPr>
        <w:spacing w:after="0" w:line="166"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For more information regarding this indebtedness,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11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8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 June 2023, the Company entered into an interest rate collar agreement to limit the maximum interest on a portion of the Company’s variable-rate debt and decrease its exposure to interest rate variability relating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three-month Term SOFR. The interest rate collar becomes effective September 30, 2023 and expires on December 31, 2026.</w:t>
      </w:r>
    </w:p>
    <w:p>
      <w:pPr>
        <w:spacing w:after="0" w:line="15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 xml:space="preserve">For more information regarding derivative instruments, refer to Note 4,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to the Notes to Consolidated Financial Statements included in Part I, Item 1 of this Form 10-Q.</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56"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the 2022 Form 10-K.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509"/>
        <w:spacing w:after="0" w:line="308"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in Part I, Item 1 of this Form 10-Q for information regarding recently issued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subject to interest rate risk in connection with the First Lien Term Loan and the ABL Revolving Credit Facility. As of July 29, 2023, we had $1,610.3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July 29, 2023 would have increased annual cash interest in the aggregate by approximately $16.3 million. Additionally, we entered into cash flow hedges to limit the maximum interest rate on a portion of our variable-rate debt and limit our exposure to interest rate variability, refer to Note 4, “Derivative Instruments,” to the Notes to Consolidated Financial Statements included in Part I, Item 1 of this Form 10-Q.</w:t>
      </w:r>
    </w:p>
    <w:p>
      <w:pPr>
        <w:spacing w:after="0" w:line="195"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As of July 29, 2023,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40" w:firstLine="50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right="280" w:firstLine="469"/>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57" w:lineRule="exact"/>
        <w:rPr>
          <w:sz w:val="20"/>
          <w:szCs w:val="20"/>
          <w:color w:val="auto"/>
        </w:rPr>
      </w:pPr>
    </w:p>
    <w:p>
      <w:pPr>
        <w:jc w:val="both"/>
        <w:ind w:right="100" w:firstLine="469"/>
        <w:spacing w:after="0" w:line="259" w:lineRule="auto"/>
        <w:rPr>
          <w:sz w:val="20"/>
          <w:szCs w:val="20"/>
          <w:color w:val="auto"/>
        </w:rPr>
      </w:pPr>
      <w:r>
        <w:rPr>
          <w:rFonts w:ascii="Arial" w:cs="Arial" w:eastAsia="Arial" w:hAnsi="Arial"/>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July 29,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80" w:firstLine="469"/>
        <w:spacing w:after="0" w:line="308" w:lineRule="auto"/>
        <w:rPr>
          <w:sz w:val="20"/>
          <w:szCs w:val="20"/>
          <w:color w:val="auto"/>
        </w:rPr>
      </w:pPr>
      <w:r>
        <w:rPr>
          <w:rFonts w:ascii="Arial" w:cs="Arial" w:eastAsia="Arial" w:hAnsi="Arial"/>
          <w:sz w:val="17"/>
          <w:szCs w:val="17"/>
          <w:color w:val="auto"/>
        </w:rPr>
        <w:t>During the quarter ended July 29, 2023, we shifted our prior enterprise resource planning ("ERP") system to a cloud-based ERP system. As part of the system conversion, we assessed the impact to the control environment and modified internal controls where necessary.</w:t>
      </w:r>
    </w:p>
    <w:p>
      <w:pPr>
        <w:spacing w:after="0" w:line="38" w:lineRule="exact"/>
        <w:rPr>
          <w:sz w:val="20"/>
          <w:szCs w:val="20"/>
          <w:color w:val="auto"/>
        </w:rPr>
      </w:pPr>
    </w:p>
    <w:p>
      <w:pPr>
        <w:ind w:right="660" w:firstLine="469"/>
        <w:spacing w:after="0" w:line="277" w:lineRule="auto"/>
        <w:rPr>
          <w:sz w:val="20"/>
          <w:szCs w:val="20"/>
          <w:color w:val="auto"/>
        </w:rPr>
      </w:pPr>
      <w:r>
        <w:rPr>
          <w:rFonts w:ascii="Arial" w:cs="Arial" w:eastAsia="Arial" w:hAnsi="Arial"/>
          <w:sz w:val="18"/>
          <w:szCs w:val="18"/>
          <w:color w:val="auto"/>
        </w:rPr>
        <w:t>There were no further changes in our internal control over financial reporting that occurred during the quarter ended July 29, 2023 that have materially affected, or are reasonably likely to materially affect, our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52" w:lineRule="exact"/>
        <w:rPr>
          <w:sz w:val="20"/>
          <w:szCs w:val="20"/>
          <w:color w:val="auto"/>
        </w:rPr>
      </w:pPr>
    </w:p>
    <w:p>
      <w:pPr>
        <w:ind w:firstLine="469"/>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See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in Part I, Item 1 of this Form 10-Q for a description of legal proceedings,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40" w:firstLine="562"/>
        <w:spacing w:after="0" w:line="287" w:lineRule="auto"/>
        <w:rPr>
          <w:sz w:val="20"/>
          <w:szCs w:val="20"/>
          <w:color w:val="auto"/>
        </w:rPr>
      </w:pPr>
      <w:r>
        <w:rPr>
          <w:rFonts w:ascii="Arial" w:cs="Arial" w:eastAsia="Arial" w:hAnsi="Arial"/>
          <w:sz w:val="16"/>
          <w:szCs w:val="16"/>
          <w:color w:val="auto"/>
        </w:rPr>
        <w:t>Reference is made to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the 2022 Form 10-K for information concerning risk factors. There have been no material changes with respect to the risk factors disclosed in the 2022 Form 10-K. You should carefully consider such factors, which could materially and adversely affect our business, financial condition and/or results of operations. The risks described in the 2022 Form 10-K are not the only risks we face.</w:t>
      </w:r>
    </w:p>
    <w:p>
      <w:pPr>
        <w:spacing w:after="0" w:line="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0"/>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Certificate of Amendment to the Second Amended and Restated Certificate of Incorporation of Petco Health and Wellness Company, Inc.</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(incorporated by reference to Exhibit 3.1 of the Company's Current Report on Form 8-K, filed on June 23, 2023)</w:t>
              </w:r>
            </w:hyperlink>
          </w:p>
        </w:tc>
        <w:tc>
          <w:tcPr>
            <w:tcW w:w="20" w:type="dxa"/>
            <w:vAlign w:val="bottom"/>
            <w:tcBorders>
              <w:bottom w:val="single" w:sz="8" w:color="0000EE"/>
            </w:tcBorders>
          </w:tcPr>
          <w:p>
            <w:pPr>
              <w:spacing w:after="0"/>
              <w:rPr>
                <w:sz w:val="17"/>
                <w:szCs w:val="17"/>
                <w:color w:val="auto"/>
              </w:rPr>
            </w:pPr>
          </w:p>
        </w:tc>
        <w:tc>
          <w:tcPr>
            <w:tcW w:w="20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First Amendment to Petco Health and Wellness Company, Inc. 2021 Equity Incentive Plan (incorporated by reference to Exhibit 10.1 of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Company's Current Report on Form 8-K, filed on June 23, 2023)</w:t>
              </w:r>
            </w:hyperlink>
          </w:p>
        </w:tc>
        <w:tc>
          <w:tcPr>
            <w:tcW w:w="5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0000FF"/>
              </w:rPr>
              <w:t>Form of Retention Bonus Agreement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80" w:type="dxa"/>
            <w:vAlign w:val="bottom"/>
          </w:tcPr>
          <w:p>
            <w:pPr>
              <w:jc w:val="right"/>
              <w:ind w:right="37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right"/>
              <w:ind w:right="37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tcPr>
          <w:p>
            <w:pPr>
              <w:ind w:left="1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00" w:hanging="989"/>
        <w:spacing w:after="0"/>
        <w:tabs>
          <w:tab w:leader="none" w:pos="1100" w:val="left"/>
        </w:tabs>
        <w:numPr>
          <w:ilvl w:val="2"/>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20" w:hanging="59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19" w:lineRule="exact"/>
        <w:rPr>
          <w:rFonts w:ascii="Arial" w:cs="Arial" w:eastAsia="Arial" w:hAnsi="Arial"/>
          <w:sz w:val="18"/>
          <w:szCs w:val="18"/>
          <w:color w:val="auto"/>
        </w:rPr>
      </w:pPr>
    </w:p>
    <w:p>
      <w:pPr>
        <w:ind w:right="420"/>
        <w:spacing w:after="0" w:line="308" w:lineRule="auto"/>
        <w:rPr>
          <w:rFonts w:ascii="Arial" w:cs="Arial" w:eastAsia="Arial" w:hAnsi="Arial"/>
          <w:sz w:val="18"/>
          <w:szCs w:val="18"/>
          <w:color w:val="auto"/>
        </w:rPr>
      </w:pPr>
      <w:r>
        <w:rPr>
          <w:rFonts w:ascii="Arial" w:cs="Arial" w:eastAsia="Arial" w:hAnsi="Arial"/>
          <w:sz w:val="17"/>
          <w:szCs w:val="17"/>
          <w:color w:val="auto"/>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19030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73"/>
        </w:trPr>
        <w:tc>
          <w:tcPr>
            <w:tcW w:w="3720" w:type="dxa"/>
            <w:vAlign w:val="bottom"/>
          </w:tcPr>
          <w:p>
            <w:pPr>
              <w:spacing w:after="0"/>
              <w:rPr>
                <w:sz w:val="20"/>
                <w:szCs w:val="20"/>
                <w:color w:val="auto"/>
              </w:rPr>
            </w:pPr>
            <w:r>
              <w:rPr>
                <w:rFonts w:ascii="Arial" w:cs="Arial" w:eastAsia="Arial" w:hAnsi="Arial"/>
                <w:sz w:val="18"/>
                <w:szCs w:val="18"/>
                <w:color w:val="auto"/>
              </w:rPr>
              <w:t>Date: September 1, 2023</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LaRose</w:t>
            </w:r>
          </w:p>
        </w:tc>
      </w:tr>
      <w:tr>
        <w:trPr>
          <w:trHeight w:val="209"/>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Brian LaRose</w:t>
            </w:r>
          </w:p>
        </w:tc>
      </w:tr>
      <w:tr>
        <w:trPr>
          <w:trHeight w:val="216"/>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80"/>
        </w:trPr>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40" w:type="dxa"/>
            <w:vAlign w:val="bottom"/>
          </w:tcPr>
          <w:p>
            <w:pPr>
              <w:ind w:left="3020"/>
              <w:spacing w:after="0"/>
              <w:rPr>
                <w:sz w:val="20"/>
                <w:szCs w:val="20"/>
                <w:color w:val="auto"/>
              </w:rPr>
            </w:pPr>
            <w:r>
              <w:rPr>
                <w:rFonts w:ascii="Arial" w:cs="Arial" w:eastAsia="Arial" w:hAnsi="Arial"/>
                <w:sz w:val="22"/>
                <w:szCs w:val="22"/>
                <w:b w:val="1"/>
                <w:bCs w:val="1"/>
                <w:color w:val="auto"/>
                <w:w w:val="89"/>
              </w:rPr>
              <w:t>Exhibit 10.2</w:t>
            </w:r>
          </w:p>
        </w:tc>
      </w:tr>
      <w:tr>
        <w:trPr>
          <w:trHeight w:val="543"/>
        </w:trPr>
        <w:tc>
          <w:tcPr>
            <w:tcW w:w="414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Arial" w:cs="Arial" w:eastAsia="Arial" w:hAnsi="Arial"/>
                <w:sz w:val="18"/>
                <w:szCs w:val="18"/>
                <w:b w:val="1"/>
                <w:bCs w:val="1"/>
                <w:color w:val="002060"/>
              </w:rPr>
              <w:t>RETENTION BONUS AGREEMENT</w:t>
            </w:r>
          </w:p>
        </w:tc>
      </w:tr>
      <w:tr>
        <w:trPr>
          <w:trHeight w:val="20"/>
        </w:trPr>
        <w:tc>
          <w:tcPr>
            <w:tcW w:w="4140" w:type="dxa"/>
            <w:vAlign w:val="bottom"/>
          </w:tcPr>
          <w:p>
            <w:pPr>
              <w:spacing w:after="0" w:line="20" w:lineRule="exact"/>
              <w:rPr>
                <w:sz w:val="1"/>
                <w:szCs w:val="1"/>
                <w:color w:val="auto"/>
              </w:rPr>
            </w:pPr>
          </w:p>
        </w:tc>
        <w:tc>
          <w:tcPr>
            <w:tcW w:w="740" w:type="dxa"/>
            <w:vAlign w:val="bottom"/>
            <w:shd w:val="clear" w:color="auto" w:fill="002060"/>
          </w:tcPr>
          <w:p>
            <w:pPr>
              <w:spacing w:after="0" w:line="20" w:lineRule="exact"/>
              <w:rPr>
                <w:sz w:val="1"/>
                <w:szCs w:val="1"/>
                <w:color w:val="auto"/>
              </w:rPr>
            </w:pPr>
          </w:p>
        </w:tc>
        <w:tc>
          <w:tcPr>
            <w:tcW w:w="1840" w:type="dxa"/>
            <w:vAlign w:val="bottom"/>
            <w:shd w:val="clear" w:color="auto" w:fill="002060"/>
          </w:tcPr>
          <w:p>
            <w:pPr>
              <w:spacing w:after="0" w:line="20" w:lineRule="exact"/>
              <w:rPr>
                <w:sz w:val="1"/>
                <w:szCs w:val="1"/>
                <w:color w:val="auto"/>
              </w:rPr>
            </w:pPr>
          </w:p>
        </w:tc>
        <w:tc>
          <w:tcPr>
            <w:tcW w:w="380" w:type="dxa"/>
            <w:vAlign w:val="bottom"/>
            <w:shd w:val="clear" w:color="auto" w:fill="00206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99"/>
        </w:trPr>
        <w:tc>
          <w:tcPr>
            <w:tcW w:w="4880" w:type="dxa"/>
            <w:vAlign w:val="bottom"/>
            <w:gridSpan w:val="2"/>
          </w:tcPr>
          <w:p>
            <w:pPr>
              <w:spacing w:after="0"/>
              <w:rPr>
                <w:sz w:val="20"/>
                <w:szCs w:val="20"/>
                <w:color w:val="auto"/>
              </w:rPr>
            </w:pPr>
            <w:r>
              <w:rPr>
                <w:rFonts w:ascii="Arial" w:cs="Arial" w:eastAsia="Arial" w:hAnsi="Arial"/>
                <w:sz w:val="18"/>
                <w:szCs w:val="18"/>
                <w:color w:val="002060"/>
                <w:w w:val="97"/>
              </w:rPr>
              <w:t>This Retention Bonus Agreement (“Agreement”) is effective on</w:t>
            </w:r>
          </w:p>
        </w:tc>
        <w:tc>
          <w:tcPr>
            <w:tcW w:w="1840" w:type="dxa"/>
            <w:vAlign w:val="bottom"/>
          </w:tcPr>
          <w:p>
            <w:pPr>
              <w:ind w:left="260"/>
              <w:spacing w:after="0"/>
              <w:rPr>
                <w:sz w:val="20"/>
                <w:szCs w:val="20"/>
                <w:color w:val="auto"/>
              </w:rPr>
            </w:pPr>
            <w:r>
              <w:rPr>
                <w:rFonts w:ascii="Arial" w:cs="Arial" w:eastAsia="Arial" w:hAnsi="Arial"/>
                <w:sz w:val="18"/>
                <w:szCs w:val="18"/>
                <w:color w:val="002060"/>
              </w:rPr>
              <w:t>, by and between</w:t>
            </w:r>
          </w:p>
        </w:tc>
        <w:tc>
          <w:tcPr>
            <w:tcW w:w="4520" w:type="dxa"/>
            <w:vAlign w:val="bottom"/>
            <w:gridSpan w:val="2"/>
          </w:tcPr>
          <w:p>
            <w:pPr>
              <w:ind w:left="360"/>
              <w:spacing w:after="0"/>
              <w:rPr>
                <w:sz w:val="20"/>
                <w:szCs w:val="20"/>
                <w:color w:val="auto"/>
              </w:rPr>
            </w:pPr>
            <w:r>
              <w:rPr>
                <w:rFonts w:ascii="Arial" w:cs="Arial" w:eastAsia="Arial" w:hAnsi="Arial"/>
                <w:sz w:val="18"/>
                <w:szCs w:val="18"/>
                <w:color w:val="002060"/>
                <w:w w:val="91"/>
              </w:rPr>
              <w:t>(hereinafter “Employee”) and Petco Health and Wellness</w:t>
            </w:r>
          </w:p>
        </w:tc>
      </w:tr>
    </w:tbl>
    <w:p>
      <w:pPr>
        <w:spacing w:after="0"/>
        <w:rPr>
          <w:sz w:val="20"/>
          <w:szCs w:val="20"/>
          <w:color w:val="auto"/>
        </w:rPr>
      </w:pPr>
      <w:r>
        <w:rPr>
          <w:rFonts w:ascii="Arial" w:cs="Arial" w:eastAsia="Arial" w:hAnsi="Arial"/>
          <w:sz w:val="18"/>
          <w:szCs w:val="18"/>
          <w:color w:val="002060"/>
        </w:rPr>
        <w:drawing>
          <wp:anchor simplePos="0" relativeHeight="251657728" behindDoc="1" locked="0" layoutInCell="0" allowOverlap="1">
            <wp:simplePos x="0" y="0"/>
            <wp:positionH relativeFrom="page">
              <wp:posOffset>3268345</wp:posOffset>
            </wp:positionH>
            <wp:positionV relativeFrom="page">
              <wp:posOffset>88900</wp:posOffset>
            </wp:positionV>
            <wp:extent cx="977265" cy="6083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977265" cy="608330"/>
                    </a:xfrm>
                    <a:prstGeom prst="rect">
                      <a:avLst/>
                    </a:prstGeom>
                    <a:noFill/>
                  </pic:spPr>
                </pic:pic>
              </a:graphicData>
            </a:graphic>
          </wp:anchor>
        </w:drawing>
        <w:t>Company, Inc. (hereinafter “Company”). In consideration of the mutual promises made herein, the Company and Employee agree as follows.</w:t>
      </w:r>
    </w:p>
    <w:p>
      <w:pPr>
        <w:spacing w:after="0" w:line="153"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7"/>
          <w:szCs w:val="17"/>
          <w:color w:val="002060"/>
        </w:rPr>
      </w:pPr>
      <w:r>
        <w:rPr>
          <w:rFonts w:ascii="Arial" w:cs="Arial" w:eastAsia="Arial" w:hAnsi="Arial"/>
          <w:sz w:val="16"/>
          <w:szCs w:val="16"/>
          <w:b w:val="1"/>
          <w:bCs w:val="1"/>
          <w:color w:val="002060"/>
        </w:rPr>
        <w:t xml:space="preserve">Purpose of Retention Bonus. </w:t>
      </w:r>
      <w:r>
        <w:rPr>
          <w:rFonts w:ascii="Arial" w:cs="Arial" w:eastAsia="Arial" w:hAnsi="Arial"/>
          <w:sz w:val="16"/>
          <w:szCs w:val="16"/>
          <w:color w:val="002060"/>
        </w:rPr>
        <w:t>Employee is being offered a Retention Bonus in order to encourage Employee to remain employed with the Company</w:t>
      </w:r>
    </w:p>
    <w:p>
      <w:pPr>
        <w:spacing w:after="0" w:line="41"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002060"/>
        </w:rPr>
        <w:t>in the position of through . The “Retention Period” shall begin on and shall end on . This Agreement shall not modify the duration of the Employee’s employment with the Company, and the Employee remains an employee-at-will during the entire time of employment with the Company.</w:t>
      </w:r>
    </w:p>
    <w:p>
      <w:pPr>
        <w:spacing w:after="0" w:line="129" w:lineRule="exact"/>
        <w:rPr>
          <w:sz w:val="20"/>
          <w:szCs w:val="20"/>
          <w:color w:val="auto"/>
        </w:rPr>
      </w:pPr>
    </w:p>
    <w:p>
      <w:pPr>
        <w:ind w:left="380" w:right="440" w:hanging="379"/>
        <w:spacing w:after="0" w:line="259" w:lineRule="auto"/>
        <w:tabs>
          <w:tab w:leader="none" w:pos="360" w:val="left"/>
        </w:tabs>
        <w:rPr>
          <w:sz w:val="20"/>
          <w:szCs w:val="20"/>
          <w:color w:val="auto"/>
        </w:rPr>
      </w:pPr>
      <w:r>
        <w:rPr>
          <w:rFonts w:ascii="Arial" w:cs="Arial" w:eastAsia="Arial" w:hAnsi="Arial"/>
          <w:sz w:val="19"/>
          <w:szCs w:val="19"/>
          <w:color w:val="002060"/>
        </w:rPr>
        <w:t>2.</w:t>
      </w:r>
      <w:r>
        <w:rPr>
          <w:sz w:val="20"/>
          <w:szCs w:val="20"/>
          <w:color w:val="auto"/>
        </w:rPr>
        <w:tab/>
      </w:r>
      <w:r>
        <w:rPr>
          <w:rFonts w:ascii="Arial" w:cs="Arial" w:eastAsia="Arial" w:hAnsi="Arial"/>
          <w:sz w:val="18"/>
          <w:szCs w:val="18"/>
          <w:b w:val="1"/>
          <w:bCs w:val="1"/>
          <w:color w:val="002060"/>
        </w:rPr>
        <w:t xml:space="preserve">Retention Bonus Amount. </w:t>
      </w:r>
      <w:r>
        <w:rPr>
          <w:rFonts w:ascii="Arial" w:cs="Arial" w:eastAsia="Arial" w:hAnsi="Arial"/>
          <w:sz w:val="18"/>
          <w:szCs w:val="18"/>
          <w:color w:val="002060"/>
        </w:rPr>
        <w:t>The Company shall pay to Employee a total amount of $ , less applicable state and federal taxes and</w:t>
      </w:r>
      <w:r>
        <w:rPr>
          <w:rFonts w:ascii="Arial" w:cs="Arial" w:eastAsia="Arial" w:hAnsi="Arial"/>
          <w:sz w:val="18"/>
          <w:szCs w:val="18"/>
          <w:b w:val="1"/>
          <w:bCs w:val="1"/>
          <w:color w:val="002060"/>
        </w:rPr>
        <w:t xml:space="preserve"> </w:t>
      </w:r>
      <w:r>
        <w:rPr>
          <w:rFonts w:ascii="Arial" w:cs="Arial" w:eastAsia="Arial" w:hAnsi="Arial"/>
          <w:sz w:val="18"/>
          <w:szCs w:val="18"/>
          <w:color w:val="002060"/>
        </w:rPr>
        <w:t>withholdings, as a “Retention Bonus.” Employee must remain employed during the entire Retention Period and comply with all other conditions stated in this Agreement and otherwise meet all conditions precedent to retain the Retention Bonus.</w:t>
      </w:r>
    </w:p>
    <w:p>
      <w:pPr>
        <w:spacing w:after="0" w:line="132" w:lineRule="exact"/>
        <w:rPr>
          <w:sz w:val="20"/>
          <w:szCs w:val="20"/>
          <w:color w:val="auto"/>
        </w:rPr>
      </w:pPr>
    </w:p>
    <w:p>
      <w:pPr>
        <w:ind w:left="380" w:right="160" w:hanging="372"/>
        <w:spacing w:after="0" w:line="268" w:lineRule="auto"/>
        <w:tabs>
          <w:tab w:leader="none" w:pos="380" w:val="left"/>
        </w:tabs>
        <w:numPr>
          <w:ilvl w:val="0"/>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Conditions Required To Earn and Retain Retention Bonus Payment. </w:t>
      </w:r>
      <w:r>
        <w:rPr>
          <w:rFonts w:ascii="Arial" w:cs="Arial" w:eastAsia="Arial" w:hAnsi="Arial"/>
          <w:sz w:val="18"/>
          <w:szCs w:val="18"/>
          <w:color w:val="002060"/>
        </w:rPr>
        <w:t>In addition to remaining employed during the Retention Period, Employee</w:t>
      </w:r>
      <w:r>
        <w:rPr>
          <w:rFonts w:ascii="Arial" w:cs="Arial" w:eastAsia="Arial" w:hAnsi="Arial"/>
          <w:sz w:val="18"/>
          <w:szCs w:val="18"/>
          <w:b w:val="1"/>
          <w:bCs w:val="1"/>
          <w:color w:val="002060"/>
        </w:rPr>
        <w:t xml:space="preserve"> </w:t>
      </w:r>
      <w:r>
        <w:rPr>
          <w:rFonts w:ascii="Arial" w:cs="Arial" w:eastAsia="Arial" w:hAnsi="Arial"/>
          <w:sz w:val="18"/>
          <w:szCs w:val="18"/>
          <w:color w:val="002060"/>
        </w:rPr>
        <w:t>also must comply with the following conditions to earn and retain the Retention Bonus:</w:t>
      </w:r>
    </w:p>
    <w:p>
      <w:pPr>
        <w:spacing w:after="0" w:line="118" w:lineRule="exact"/>
        <w:rPr>
          <w:rFonts w:ascii="Arial" w:cs="Arial" w:eastAsia="Arial" w:hAnsi="Arial"/>
          <w:sz w:val="19"/>
          <w:szCs w:val="19"/>
          <w:color w:val="002060"/>
        </w:rPr>
      </w:pPr>
    </w:p>
    <w:p>
      <w:pPr>
        <w:ind w:left="1140" w:right="380" w:hanging="383"/>
        <w:spacing w:after="0" w:line="268" w:lineRule="auto"/>
        <w:tabs>
          <w:tab w:leader="none" w:pos="1140" w:val="left"/>
        </w:tabs>
        <w:numPr>
          <w:ilvl w:val="1"/>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Resignation. </w:t>
      </w:r>
      <w:r>
        <w:rPr>
          <w:rFonts w:ascii="Arial" w:cs="Arial" w:eastAsia="Arial" w:hAnsi="Arial"/>
          <w:sz w:val="18"/>
          <w:szCs w:val="18"/>
          <w:color w:val="002060"/>
        </w:rPr>
        <w:t>Employee shall not resign Employee’s employment prior to the end of the Retention Period for any reason (regardless of</w:t>
      </w:r>
      <w:r>
        <w:rPr>
          <w:rFonts w:ascii="Arial" w:cs="Arial" w:eastAsia="Arial" w:hAnsi="Arial"/>
          <w:sz w:val="18"/>
          <w:szCs w:val="18"/>
          <w:b w:val="1"/>
          <w:bCs w:val="1"/>
          <w:color w:val="002060"/>
        </w:rPr>
        <w:t xml:space="preserve"> </w:t>
      </w:r>
      <w:r>
        <w:rPr>
          <w:rFonts w:ascii="Arial" w:cs="Arial" w:eastAsia="Arial" w:hAnsi="Arial"/>
          <w:sz w:val="18"/>
          <w:szCs w:val="18"/>
          <w:color w:val="002060"/>
        </w:rPr>
        <w:t>when such resignation is effective).</w:t>
      </w:r>
    </w:p>
    <w:p>
      <w:pPr>
        <w:spacing w:after="0" w:line="118" w:lineRule="exact"/>
        <w:rPr>
          <w:rFonts w:ascii="Arial" w:cs="Arial" w:eastAsia="Arial" w:hAnsi="Arial"/>
          <w:sz w:val="19"/>
          <w:szCs w:val="19"/>
          <w:color w:val="002060"/>
        </w:rPr>
      </w:pPr>
    </w:p>
    <w:p>
      <w:pPr>
        <w:ind w:left="1140" w:right="320" w:hanging="383"/>
        <w:spacing w:after="0" w:line="268" w:lineRule="auto"/>
        <w:tabs>
          <w:tab w:leader="none" w:pos="1140" w:val="left"/>
        </w:tabs>
        <w:numPr>
          <w:ilvl w:val="1"/>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Termination for Cause. </w:t>
      </w:r>
      <w:r>
        <w:rPr>
          <w:rFonts w:ascii="Arial" w:cs="Arial" w:eastAsia="Arial" w:hAnsi="Arial"/>
          <w:sz w:val="18"/>
          <w:szCs w:val="18"/>
          <w:color w:val="002060"/>
        </w:rPr>
        <w:t>Employee shall not commit any action constituting Cause (as defined in the Company’s 2021 Equity Incentive</w:t>
      </w:r>
      <w:r>
        <w:rPr>
          <w:rFonts w:ascii="Arial" w:cs="Arial" w:eastAsia="Arial" w:hAnsi="Arial"/>
          <w:sz w:val="18"/>
          <w:szCs w:val="18"/>
          <w:b w:val="1"/>
          <w:bCs w:val="1"/>
          <w:color w:val="002060"/>
        </w:rPr>
        <w:t xml:space="preserve"> </w:t>
      </w:r>
      <w:r>
        <w:rPr>
          <w:rFonts w:ascii="Arial" w:cs="Arial" w:eastAsia="Arial" w:hAnsi="Arial"/>
          <w:sz w:val="18"/>
          <w:szCs w:val="18"/>
          <w:color w:val="002060"/>
        </w:rPr>
        <w:t>Plan) which leads to termination of Employee’s employment for Cause.</w:t>
      </w:r>
    </w:p>
    <w:p>
      <w:pPr>
        <w:spacing w:after="0" w:line="118" w:lineRule="exact"/>
        <w:rPr>
          <w:rFonts w:ascii="Arial" w:cs="Arial" w:eastAsia="Arial" w:hAnsi="Arial"/>
          <w:sz w:val="19"/>
          <w:szCs w:val="19"/>
          <w:color w:val="002060"/>
        </w:rPr>
      </w:pPr>
    </w:p>
    <w:p>
      <w:pPr>
        <w:ind w:left="1140" w:right="120" w:hanging="383"/>
        <w:spacing w:after="0" w:line="259" w:lineRule="auto"/>
        <w:tabs>
          <w:tab w:leader="none" w:pos="1140" w:val="left"/>
        </w:tabs>
        <w:numPr>
          <w:ilvl w:val="1"/>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Compliance with Applicable Laws and Company Policies. </w:t>
      </w:r>
      <w:r>
        <w:rPr>
          <w:rFonts w:ascii="Arial" w:cs="Arial" w:eastAsia="Arial" w:hAnsi="Arial"/>
          <w:sz w:val="18"/>
          <w:szCs w:val="18"/>
          <w:color w:val="002060"/>
        </w:rPr>
        <w:t>Employee shall at all times comply with laws (whether domestic or foreign)</w:t>
      </w:r>
      <w:r>
        <w:rPr>
          <w:rFonts w:ascii="Arial" w:cs="Arial" w:eastAsia="Arial" w:hAnsi="Arial"/>
          <w:sz w:val="18"/>
          <w:szCs w:val="18"/>
          <w:b w:val="1"/>
          <w:bCs w:val="1"/>
          <w:color w:val="002060"/>
        </w:rPr>
        <w:t xml:space="preserve"> </w:t>
      </w:r>
      <w:r>
        <w:rPr>
          <w:rFonts w:ascii="Arial" w:cs="Arial" w:eastAsia="Arial" w:hAnsi="Arial"/>
          <w:sz w:val="18"/>
          <w:szCs w:val="18"/>
          <w:color w:val="002060"/>
        </w:rPr>
        <w:t>applicable to Employee’s actions on behalf of the Company and shall materially comply with all written Company policies, including the Company’s Code of Ethics &amp; Conduct.</w:t>
      </w:r>
    </w:p>
    <w:p>
      <w:pPr>
        <w:spacing w:after="0" w:line="127" w:lineRule="exact"/>
        <w:rPr>
          <w:rFonts w:ascii="Arial" w:cs="Arial" w:eastAsia="Arial" w:hAnsi="Arial"/>
          <w:sz w:val="19"/>
          <w:szCs w:val="19"/>
          <w:color w:val="002060"/>
        </w:rPr>
      </w:pPr>
    </w:p>
    <w:p>
      <w:pPr>
        <w:ind w:left="380" w:hanging="372"/>
        <w:spacing w:after="0"/>
        <w:tabs>
          <w:tab w:leader="none" w:pos="380" w:val="left"/>
        </w:tabs>
        <w:numPr>
          <w:ilvl w:val="0"/>
          <w:numId w:val="10"/>
        </w:numPr>
        <w:rPr>
          <w:rFonts w:ascii="Arial" w:cs="Arial" w:eastAsia="Arial" w:hAnsi="Arial"/>
          <w:sz w:val="17"/>
          <w:szCs w:val="17"/>
          <w:color w:val="002060"/>
        </w:rPr>
      </w:pPr>
      <w:r>
        <w:rPr>
          <w:rFonts w:ascii="Arial" w:cs="Arial" w:eastAsia="Arial" w:hAnsi="Arial"/>
          <w:sz w:val="16"/>
          <w:szCs w:val="16"/>
          <w:b w:val="1"/>
          <w:bCs w:val="1"/>
          <w:color w:val="002060"/>
        </w:rPr>
        <w:t>Payment of Retention Bonus</w:t>
      </w:r>
      <w:r>
        <w:rPr>
          <w:rFonts w:ascii="Arial" w:cs="Arial" w:eastAsia="Arial" w:hAnsi="Arial"/>
          <w:sz w:val="16"/>
          <w:szCs w:val="16"/>
          <w:color w:val="002060"/>
        </w:rPr>
        <w:t>: The Company shall pay Employee the Retention Bonus, less applicable state and federal taxes and withholdings, on</w:t>
      </w:r>
    </w:p>
    <w:p>
      <w:pPr>
        <w:spacing w:after="0" w:line="40" w:lineRule="exact"/>
        <w:rPr>
          <w:rFonts w:ascii="Arial" w:cs="Arial" w:eastAsia="Arial" w:hAnsi="Arial"/>
          <w:sz w:val="17"/>
          <w:szCs w:val="17"/>
          <w:color w:val="002060"/>
        </w:rPr>
      </w:pPr>
    </w:p>
    <w:p>
      <w:pPr>
        <w:ind w:left="380"/>
        <w:spacing w:after="0"/>
        <w:rPr>
          <w:rFonts w:ascii="Arial" w:cs="Arial" w:eastAsia="Arial" w:hAnsi="Arial"/>
          <w:sz w:val="17"/>
          <w:szCs w:val="17"/>
          <w:color w:val="002060"/>
        </w:rPr>
      </w:pPr>
      <w:r>
        <w:rPr>
          <w:rFonts w:ascii="Arial" w:cs="Arial" w:eastAsia="Arial" w:hAnsi="Arial"/>
          <w:sz w:val="18"/>
          <w:szCs w:val="18"/>
          <w:color w:val="002060"/>
        </w:rPr>
        <w:t>.</w:t>
      </w:r>
    </w:p>
    <w:p>
      <w:pPr>
        <w:spacing w:after="0" w:line="151" w:lineRule="exact"/>
        <w:rPr>
          <w:rFonts w:ascii="Arial" w:cs="Arial" w:eastAsia="Arial" w:hAnsi="Arial"/>
          <w:sz w:val="17"/>
          <w:szCs w:val="17"/>
          <w:color w:val="002060"/>
        </w:rPr>
      </w:pPr>
    </w:p>
    <w:p>
      <w:pPr>
        <w:ind w:left="380" w:hanging="372"/>
        <w:spacing w:after="0" w:line="268" w:lineRule="auto"/>
        <w:tabs>
          <w:tab w:leader="none" w:pos="380" w:val="left"/>
        </w:tabs>
        <w:numPr>
          <w:ilvl w:val="0"/>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Forfeiture/Repayment of Retention Bonus. </w:t>
      </w:r>
      <w:r>
        <w:rPr>
          <w:rFonts w:ascii="Arial" w:cs="Arial" w:eastAsia="Arial" w:hAnsi="Arial"/>
          <w:sz w:val="18"/>
          <w:szCs w:val="18"/>
          <w:color w:val="002060"/>
        </w:rPr>
        <w:t>Employee agrees that in the event Employee does not fulfill the obligations set forth above in Section 3,</w:t>
      </w:r>
      <w:r>
        <w:rPr>
          <w:rFonts w:ascii="Arial" w:cs="Arial" w:eastAsia="Arial" w:hAnsi="Arial"/>
          <w:sz w:val="18"/>
          <w:szCs w:val="18"/>
          <w:b w:val="1"/>
          <w:bCs w:val="1"/>
          <w:color w:val="002060"/>
        </w:rPr>
        <w:t xml:space="preserve"> </w:t>
      </w:r>
      <w:r>
        <w:rPr>
          <w:rFonts w:ascii="Arial" w:cs="Arial" w:eastAsia="Arial" w:hAnsi="Arial"/>
          <w:sz w:val="18"/>
          <w:szCs w:val="18"/>
          <w:color w:val="002060"/>
        </w:rPr>
        <w:t>then Employee agrees to repay the full Retention Bonus Amount as follows:</w:t>
      </w:r>
    </w:p>
    <w:p>
      <w:pPr>
        <w:spacing w:after="0" w:line="118" w:lineRule="exact"/>
        <w:rPr>
          <w:rFonts w:ascii="Arial" w:cs="Arial" w:eastAsia="Arial" w:hAnsi="Arial"/>
          <w:sz w:val="19"/>
          <w:szCs w:val="19"/>
          <w:color w:val="002060"/>
        </w:rPr>
      </w:pPr>
    </w:p>
    <w:p>
      <w:pPr>
        <w:ind w:left="1140" w:right="140" w:hanging="383"/>
        <w:spacing w:after="0" w:line="259" w:lineRule="auto"/>
        <w:tabs>
          <w:tab w:leader="none" w:pos="1140" w:val="left"/>
        </w:tabs>
        <w:numPr>
          <w:ilvl w:val="1"/>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Resignation: </w:t>
      </w:r>
      <w:r>
        <w:rPr>
          <w:rFonts w:ascii="Arial" w:cs="Arial" w:eastAsia="Arial" w:hAnsi="Arial"/>
          <w:sz w:val="18"/>
          <w:szCs w:val="18"/>
          <w:color w:val="002060"/>
        </w:rPr>
        <w:t>If the Employee resigns employment prior to the end of the Retention Period, Employee agrees to repay the gross Retention</w:t>
      </w:r>
      <w:r>
        <w:rPr>
          <w:rFonts w:ascii="Arial" w:cs="Arial" w:eastAsia="Arial" w:hAnsi="Arial"/>
          <w:sz w:val="18"/>
          <w:szCs w:val="18"/>
          <w:b w:val="1"/>
          <w:bCs w:val="1"/>
          <w:color w:val="002060"/>
        </w:rPr>
        <w:t xml:space="preserve"> </w:t>
      </w:r>
      <w:r>
        <w:rPr>
          <w:rFonts w:ascii="Arial" w:cs="Arial" w:eastAsia="Arial" w:hAnsi="Arial"/>
          <w:sz w:val="18"/>
          <w:szCs w:val="18"/>
          <w:color w:val="002060"/>
        </w:rPr>
        <w:t>Bonus within 30 days following Employee’s receipt of notice from the Company of Employee’s repayment obligation (the “Repayment Notice”).</w:t>
      </w:r>
    </w:p>
    <w:p>
      <w:pPr>
        <w:spacing w:after="0" w:line="127" w:lineRule="exact"/>
        <w:rPr>
          <w:rFonts w:ascii="Arial" w:cs="Arial" w:eastAsia="Arial" w:hAnsi="Arial"/>
          <w:sz w:val="19"/>
          <w:szCs w:val="19"/>
          <w:color w:val="002060"/>
        </w:rPr>
      </w:pPr>
    </w:p>
    <w:p>
      <w:pPr>
        <w:ind w:left="1140" w:right="160" w:hanging="383"/>
        <w:spacing w:after="0" w:line="268" w:lineRule="auto"/>
        <w:tabs>
          <w:tab w:leader="none" w:pos="1140" w:val="left"/>
        </w:tabs>
        <w:numPr>
          <w:ilvl w:val="1"/>
          <w:numId w:val="10"/>
        </w:numPr>
        <w:rPr>
          <w:rFonts w:ascii="Arial" w:cs="Arial" w:eastAsia="Arial" w:hAnsi="Arial"/>
          <w:sz w:val="19"/>
          <w:szCs w:val="19"/>
          <w:color w:val="002060"/>
        </w:rPr>
      </w:pPr>
      <w:r>
        <w:rPr>
          <w:rFonts w:ascii="Arial" w:cs="Arial" w:eastAsia="Arial" w:hAnsi="Arial"/>
          <w:sz w:val="18"/>
          <w:szCs w:val="18"/>
          <w:b w:val="1"/>
          <w:bCs w:val="1"/>
          <w:color w:val="002060"/>
        </w:rPr>
        <w:t xml:space="preserve">Termination for Cause: </w:t>
      </w:r>
      <w:r>
        <w:rPr>
          <w:rFonts w:ascii="Arial" w:cs="Arial" w:eastAsia="Arial" w:hAnsi="Arial"/>
          <w:sz w:val="18"/>
          <w:szCs w:val="18"/>
          <w:color w:val="002060"/>
        </w:rPr>
        <w:t>If Employee commits any action constituting Cause which leads to a termination for Cause, Employee agrees to</w:t>
      </w:r>
      <w:r>
        <w:rPr>
          <w:rFonts w:ascii="Arial" w:cs="Arial" w:eastAsia="Arial" w:hAnsi="Arial"/>
          <w:sz w:val="18"/>
          <w:szCs w:val="18"/>
          <w:b w:val="1"/>
          <w:bCs w:val="1"/>
          <w:color w:val="002060"/>
        </w:rPr>
        <w:t xml:space="preserve"> </w:t>
      </w:r>
      <w:r>
        <w:rPr>
          <w:rFonts w:ascii="Arial" w:cs="Arial" w:eastAsia="Arial" w:hAnsi="Arial"/>
          <w:sz w:val="18"/>
          <w:szCs w:val="18"/>
          <w:color w:val="002060"/>
        </w:rPr>
        <w:t>repay the gross Retention Bonus within 30 days following Employee’s receipt of the Repayment Notice.</w:t>
      </w:r>
    </w:p>
    <w:p>
      <w:pPr>
        <w:spacing w:after="0" w:line="118" w:lineRule="exact"/>
        <w:rPr>
          <w:rFonts w:ascii="Arial" w:cs="Arial" w:eastAsia="Arial" w:hAnsi="Arial"/>
          <w:sz w:val="19"/>
          <w:szCs w:val="19"/>
          <w:color w:val="002060"/>
        </w:rPr>
      </w:pPr>
    </w:p>
    <w:p>
      <w:pPr>
        <w:ind w:left="1140" w:right="340" w:hanging="383"/>
        <w:spacing w:after="0" w:line="298" w:lineRule="auto"/>
        <w:tabs>
          <w:tab w:leader="none" w:pos="1140" w:val="left"/>
        </w:tabs>
        <w:numPr>
          <w:ilvl w:val="1"/>
          <w:numId w:val="10"/>
        </w:numPr>
        <w:rPr>
          <w:rFonts w:ascii="Arial" w:cs="Arial" w:eastAsia="Arial" w:hAnsi="Arial"/>
          <w:sz w:val="18"/>
          <w:szCs w:val="18"/>
          <w:color w:val="002060"/>
        </w:rPr>
      </w:pPr>
      <w:r>
        <w:rPr>
          <w:rFonts w:ascii="Arial" w:cs="Arial" w:eastAsia="Arial" w:hAnsi="Arial"/>
          <w:sz w:val="17"/>
          <w:szCs w:val="17"/>
          <w:b w:val="1"/>
          <w:bCs w:val="1"/>
          <w:color w:val="002060"/>
        </w:rPr>
        <w:t xml:space="preserve">Violation of Applicable Laws and Company Policies. </w:t>
      </w:r>
      <w:r>
        <w:rPr>
          <w:rFonts w:ascii="Arial" w:cs="Arial" w:eastAsia="Arial" w:hAnsi="Arial"/>
          <w:sz w:val="17"/>
          <w:szCs w:val="17"/>
          <w:color w:val="002060"/>
        </w:rPr>
        <w:t>If Employee violates the conditions of Section 3(c) above, Employee agrees to</w:t>
      </w:r>
      <w:r>
        <w:rPr>
          <w:rFonts w:ascii="Arial" w:cs="Arial" w:eastAsia="Arial" w:hAnsi="Arial"/>
          <w:sz w:val="17"/>
          <w:szCs w:val="17"/>
          <w:b w:val="1"/>
          <w:bCs w:val="1"/>
          <w:color w:val="002060"/>
        </w:rPr>
        <w:t xml:space="preserve"> </w:t>
      </w:r>
      <w:r>
        <w:rPr>
          <w:rFonts w:ascii="Arial" w:cs="Arial" w:eastAsia="Arial" w:hAnsi="Arial"/>
          <w:sz w:val="17"/>
          <w:szCs w:val="17"/>
          <w:color w:val="002060"/>
        </w:rPr>
        <w:t>repay the gross Retention Bonus within 30 days following Employee’s receipt of the Repayment Notice.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00206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31" w:name="page32"/>
    <w:bookmarkEnd w:id="31"/>
    <w:p>
      <w:pPr>
        <w:ind w:left="1140" w:right="240" w:hanging="383"/>
        <w:spacing w:after="0" w:line="332" w:lineRule="auto"/>
        <w:tabs>
          <w:tab w:leader="none" w:pos="1140" w:val="left"/>
        </w:tabs>
        <w:numPr>
          <w:ilvl w:val="1"/>
          <w:numId w:val="11"/>
        </w:numPr>
        <w:rPr>
          <w:rFonts w:ascii="Arial" w:cs="Arial" w:eastAsia="Arial" w:hAnsi="Arial"/>
          <w:sz w:val="17"/>
          <w:szCs w:val="17"/>
          <w:color w:val="002060"/>
        </w:rPr>
      </w:pPr>
      <w:r>
        <w:rPr>
          <w:rFonts w:ascii="Arial" w:cs="Arial" w:eastAsia="Arial" w:hAnsi="Arial"/>
          <w:sz w:val="16"/>
          <w:szCs w:val="16"/>
          <w:b w:val="1"/>
          <w:bCs w:val="1"/>
          <w:color w:val="002060"/>
        </w:rPr>
        <w:t xml:space="preserve">Death, Disability, or Termination Without Cause: </w:t>
      </w:r>
      <w:r>
        <w:rPr>
          <w:rFonts w:ascii="Arial" w:cs="Arial" w:eastAsia="Arial" w:hAnsi="Arial"/>
          <w:sz w:val="16"/>
          <w:szCs w:val="16"/>
          <w:color w:val="002060"/>
        </w:rPr>
        <w:t>If the Retention Bonus is not earned because Employee dies, becomes permanently</w:t>
      </w:r>
      <w:r>
        <w:rPr>
          <w:rFonts w:ascii="Arial" w:cs="Arial" w:eastAsia="Arial" w:hAnsi="Arial"/>
          <w:sz w:val="16"/>
          <w:szCs w:val="16"/>
          <w:b w:val="1"/>
          <w:bCs w:val="1"/>
          <w:color w:val="002060"/>
        </w:rPr>
        <w:t xml:space="preserve"> </w:t>
      </w:r>
      <w:r>
        <w:rPr>
          <w:rFonts w:ascii="Arial" w:cs="Arial" w:eastAsia="Arial" w:hAnsi="Arial"/>
          <w:sz w:val="16"/>
          <w:szCs w:val="16"/>
          <w:color w:val="002060"/>
        </w:rPr>
        <w:t>disabled and unable to work, or is terminated without Cause, Employee shall be entitled to retain the full Retention Bonus.</w:t>
      </w:r>
    </w:p>
    <w:p>
      <w:pPr>
        <w:spacing w:after="0" w:line="69" w:lineRule="exact"/>
        <w:rPr>
          <w:rFonts w:ascii="Arial" w:cs="Arial" w:eastAsia="Arial" w:hAnsi="Arial"/>
          <w:sz w:val="17"/>
          <w:szCs w:val="17"/>
          <w:color w:val="002060"/>
        </w:rPr>
      </w:pPr>
    </w:p>
    <w:p>
      <w:pPr>
        <w:ind w:left="380" w:hanging="372"/>
        <w:spacing w:after="0"/>
        <w:tabs>
          <w:tab w:leader="none" w:pos="380" w:val="left"/>
        </w:tabs>
        <w:numPr>
          <w:ilvl w:val="0"/>
          <w:numId w:val="12"/>
        </w:numPr>
        <w:rPr>
          <w:rFonts w:ascii="Arial" w:cs="Arial" w:eastAsia="Arial" w:hAnsi="Arial"/>
          <w:sz w:val="19"/>
          <w:szCs w:val="19"/>
          <w:color w:val="002060"/>
        </w:rPr>
      </w:pPr>
      <w:r>
        <w:rPr>
          <w:rFonts w:ascii="Arial" w:cs="Arial" w:eastAsia="Arial" w:hAnsi="Arial"/>
          <w:sz w:val="18"/>
          <w:szCs w:val="18"/>
          <w:b w:val="1"/>
          <w:bCs w:val="1"/>
          <w:color w:val="002060"/>
        </w:rPr>
        <w:t>Miscellaneous.</w:t>
      </w:r>
    </w:p>
    <w:p>
      <w:pPr>
        <w:spacing w:after="0" w:line="163" w:lineRule="exact"/>
        <w:rPr>
          <w:rFonts w:ascii="Arial" w:cs="Arial" w:eastAsia="Arial" w:hAnsi="Arial"/>
          <w:sz w:val="19"/>
          <w:szCs w:val="19"/>
          <w:color w:val="002060"/>
        </w:rPr>
      </w:pPr>
    </w:p>
    <w:p>
      <w:pPr>
        <w:ind w:left="1140" w:right="320" w:hanging="383"/>
        <w:spacing w:after="0" w:line="264" w:lineRule="auto"/>
        <w:tabs>
          <w:tab w:leader="none" w:pos="1140" w:val="left"/>
        </w:tabs>
        <w:numPr>
          <w:ilvl w:val="1"/>
          <w:numId w:val="12"/>
        </w:numPr>
        <w:rPr>
          <w:rFonts w:ascii="Arial" w:cs="Arial" w:eastAsia="Arial" w:hAnsi="Arial"/>
          <w:sz w:val="19"/>
          <w:szCs w:val="19"/>
          <w:color w:val="002060"/>
        </w:rPr>
      </w:pPr>
      <w:r>
        <w:rPr>
          <w:rFonts w:ascii="Arial" w:cs="Arial" w:eastAsia="Arial" w:hAnsi="Arial"/>
          <w:sz w:val="18"/>
          <w:szCs w:val="18"/>
          <w:color w:val="002060"/>
        </w:rPr>
        <w:t>This Agreement constitutes the entire agreement of the parties with regard to the Retention Bonus. Any modification of this Agreement will be effective only if it is in writing and signed by both the Company and Employee;</w:t>
      </w:r>
    </w:p>
    <w:p>
      <w:pPr>
        <w:spacing w:after="0" w:line="125" w:lineRule="exact"/>
        <w:rPr>
          <w:rFonts w:ascii="Arial" w:cs="Arial" w:eastAsia="Arial" w:hAnsi="Arial"/>
          <w:sz w:val="19"/>
          <w:szCs w:val="19"/>
          <w:color w:val="002060"/>
        </w:rPr>
      </w:pPr>
    </w:p>
    <w:p>
      <w:pPr>
        <w:ind w:left="1140" w:right="40" w:hanging="383"/>
        <w:spacing w:after="0" w:line="256" w:lineRule="auto"/>
        <w:tabs>
          <w:tab w:leader="none" w:pos="1140" w:val="left"/>
        </w:tabs>
        <w:numPr>
          <w:ilvl w:val="1"/>
          <w:numId w:val="12"/>
        </w:numPr>
        <w:rPr>
          <w:rFonts w:ascii="Arial" w:cs="Arial" w:eastAsia="Arial" w:hAnsi="Arial"/>
          <w:sz w:val="19"/>
          <w:szCs w:val="19"/>
          <w:color w:val="002060"/>
        </w:rPr>
      </w:pPr>
      <w:r>
        <w:rPr>
          <w:rFonts w:ascii="Arial" w:cs="Arial" w:eastAsia="Arial" w:hAnsi="Arial"/>
          <w:sz w:val="18"/>
          <w:szCs w:val="18"/>
          <w:color w:val="002060"/>
        </w:rPr>
        <w:t>The provisions of this Agreement shall not supersede or modify the provisions of any employment agreement, confidentiality agreement, or relationship between Employee and the Company. This Agreement does not supersede, replace or limit the rights and obligations of the Company and Employee with respect to such matters imposed by law or other agreements;</w:t>
      </w:r>
    </w:p>
    <w:p>
      <w:pPr>
        <w:spacing w:after="0" w:line="135" w:lineRule="exact"/>
        <w:rPr>
          <w:rFonts w:ascii="Arial" w:cs="Arial" w:eastAsia="Arial" w:hAnsi="Arial"/>
          <w:sz w:val="19"/>
          <w:szCs w:val="19"/>
          <w:color w:val="002060"/>
        </w:rPr>
      </w:pPr>
    </w:p>
    <w:p>
      <w:pPr>
        <w:ind w:left="1140" w:right="280" w:hanging="383"/>
        <w:spacing w:after="0" w:line="264" w:lineRule="auto"/>
        <w:tabs>
          <w:tab w:leader="none" w:pos="1140" w:val="left"/>
        </w:tabs>
        <w:numPr>
          <w:ilvl w:val="1"/>
          <w:numId w:val="12"/>
        </w:numPr>
        <w:rPr>
          <w:rFonts w:ascii="Arial" w:cs="Arial" w:eastAsia="Arial" w:hAnsi="Arial"/>
          <w:sz w:val="19"/>
          <w:szCs w:val="19"/>
          <w:color w:val="002060"/>
        </w:rPr>
      </w:pPr>
      <w:r>
        <w:rPr>
          <w:rFonts w:ascii="Arial" w:cs="Arial" w:eastAsia="Arial" w:hAnsi="Arial"/>
          <w:sz w:val="18"/>
          <w:szCs w:val="18"/>
          <w:color w:val="002060"/>
        </w:rPr>
        <w:t>The headings in this Agreement are intended solely for the convenience of reference and should be given no effect in the construction or interpretation of this Agreement; and</w:t>
      </w:r>
    </w:p>
    <w:p>
      <w:pPr>
        <w:spacing w:after="0" w:line="125" w:lineRule="exact"/>
        <w:rPr>
          <w:rFonts w:ascii="Arial" w:cs="Arial" w:eastAsia="Arial" w:hAnsi="Arial"/>
          <w:sz w:val="19"/>
          <w:szCs w:val="19"/>
          <w:color w:val="002060"/>
        </w:rPr>
      </w:pPr>
    </w:p>
    <w:p>
      <w:pPr>
        <w:ind w:left="1140" w:hanging="383"/>
        <w:spacing w:after="0" w:line="256" w:lineRule="auto"/>
        <w:tabs>
          <w:tab w:leader="none" w:pos="1140" w:val="left"/>
        </w:tabs>
        <w:numPr>
          <w:ilvl w:val="1"/>
          <w:numId w:val="12"/>
        </w:numPr>
        <w:rPr>
          <w:rFonts w:ascii="Arial" w:cs="Arial" w:eastAsia="Arial" w:hAnsi="Arial"/>
          <w:sz w:val="19"/>
          <w:szCs w:val="19"/>
          <w:color w:val="002060"/>
        </w:rPr>
      </w:pPr>
      <w:r>
        <w:rPr>
          <w:rFonts w:ascii="Arial" w:cs="Arial" w:eastAsia="Arial" w:hAnsi="Arial"/>
          <w:sz w:val="18"/>
          <w:szCs w:val="18"/>
          <w:color w:val="002060"/>
        </w:rPr>
        <w:t>Should any provision of this Agreement be held by a court of competent jurisdiction to be invalid, void or unenforceable, the remaining provisions shall be unaffected and shall continue in full force and effect, and the invalid, void or unenforceable provision(s) shall be deemed not to be part of this Agreement.</w:t>
      </w:r>
    </w:p>
    <w:p>
      <w:pPr>
        <w:spacing w:after="0" w:line="131" w:lineRule="exact"/>
        <w:rPr>
          <w:rFonts w:ascii="Arial" w:cs="Arial" w:eastAsia="Arial" w:hAnsi="Arial"/>
          <w:sz w:val="19"/>
          <w:szCs w:val="19"/>
          <w:color w:val="002060"/>
        </w:rPr>
      </w:pPr>
    </w:p>
    <w:p>
      <w:pPr>
        <w:ind w:left="380" w:hanging="372"/>
        <w:spacing w:after="0"/>
        <w:tabs>
          <w:tab w:leader="none" w:pos="380" w:val="left"/>
        </w:tabs>
        <w:numPr>
          <w:ilvl w:val="0"/>
          <w:numId w:val="12"/>
        </w:numPr>
        <w:rPr>
          <w:rFonts w:ascii="Arial" w:cs="Arial" w:eastAsia="Arial" w:hAnsi="Arial"/>
          <w:sz w:val="19"/>
          <w:szCs w:val="19"/>
          <w:color w:val="002060"/>
        </w:rPr>
      </w:pPr>
      <w:r>
        <w:rPr>
          <w:rFonts w:ascii="Arial" w:cs="Arial" w:eastAsia="Arial" w:hAnsi="Arial"/>
          <w:sz w:val="18"/>
          <w:szCs w:val="18"/>
          <w:b w:val="1"/>
          <w:bCs w:val="1"/>
          <w:color w:val="002060"/>
        </w:rPr>
        <w:t>Governing Law</w:t>
      </w:r>
      <w:r>
        <w:rPr>
          <w:rFonts w:ascii="Arial" w:cs="Arial" w:eastAsia="Arial" w:hAnsi="Arial"/>
          <w:sz w:val="18"/>
          <w:szCs w:val="18"/>
          <w:b w:val="1"/>
          <w:bCs w:val="1"/>
          <w:i w:val="1"/>
          <w:iCs w:val="1"/>
          <w:color w:val="002060"/>
        </w:rPr>
        <w:t>.</w:t>
      </w:r>
      <w:r>
        <w:rPr>
          <w:rFonts w:ascii="Arial" w:cs="Arial" w:eastAsia="Arial" w:hAnsi="Arial"/>
          <w:sz w:val="18"/>
          <w:szCs w:val="18"/>
          <w:b w:val="1"/>
          <w:bCs w:val="1"/>
          <w:color w:val="002060"/>
        </w:rPr>
        <w:t xml:space="preserve"> </w:t>
      </w:r>
      <w:r>
        <w:rPr>
          <w:rFonts w:ascii="Arial" w:cs="Arial" w:eastAsia="Arial" w:hAnsi="Arial"/>
          <w:sz w:val="18"/>
          <w:szCs w:val="18"/>
          <w:color w:val="002060"/>
        </w:rPr>
        <w:t>This Agreement shall be governed in all respects by the laws of the State of California.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002060"/>
              </w:rPr>
              <w:t>IT IS SO AGREED</w:t>
            </w:r>
            <w:r>
              <w:rPr>
                <w:rFonts w:ascii="Arial" w:cs="Arial" w:eastAsia="Arial" w:hAnsi="Arial"/>
                <w:sz w:val="18"/>
                <w:szCs w:val="18"/>
                <w:color w:val="002060"/>
              </w:rPr>
              <w:t>.</w:t>
            </w:r>
          </w:p>
        </w:tc>
        <w:tc>
          <w:tcPr>
            <w:tcW w:w="7280" w:type="dxa"/>
            <w:vAlign w:val="bottom"/>
          </w:tcPr>
          <w:p>
            <w:pPr>
              <w:spacing w:after="0"/>
              <w:rPr>
                <w:sz w:val="20"/>
                <w:szCs w:val="20"/>
                <w:color w:val="auto"/>
              </w:rPr>
            </w:pPr>
          </w:p>
        </w:tc>
      </w:tr>
      <w:tr>
        <w:trPr>
          <w:trHeight w:val="377"/>
        </w:trPr>
        <w:tc>
          <w:tcPr>
            <w:tcW w:w="3960" w:type="dxa"/>
            <w:vAlign w:val="bottom"/>
          </w:tcPr>
          <w:p>
            <w:pPr>
              <w:ind w:left="1420"/>
              <w:spacing w:after="0"/>
              <w:rPr>
                <w:sz w:val="20"/>
                <w:szCs w:val="20"/>
                <w:color w:val="auto"/>
              </w:rPr>
            </w:pPr>
            <w:r>
              <w:rPr>
                <w:rFonts w:ascii="Arial" w:cs="Arial" w:eastAsia="Arial" w:hAnsi="Arial"/>
                <w:sz w:val="18"/>
                <w:szCs w:val="18"/>
                <w:color w:val="002060"/>
              </w:rPr>
              <w:t>DATED:______________</w:t>
            </w:r>
          </w:p>
        </w:tc>
        <w:tc>
          <w:tcPr>
            <w:tcW w:w="7280" w:type="dxa"/>
            <w:vAlign w:val="bottom"/>
          </w:tcPr>
          <w:p>
            <w:pPr>
              <w:ind w:left="620"/>
              <w:spacing w:after="0"/>
              <w:rPr>
                <w:sz w:val="20"/>
                <w:szCs w:val="20"/>
                <w:color w:val="auto"/>
              </w:rPr>
            </w:pPr>
            <w:r>
              <w:rPr>
                <w:rFonts w:ascii="Arial" w:cs="Arial" w:eastAsia="Arial" w:hAnsi="Arial"/>
                <w:sz w:val="18"/>
                <w:szCs w:val="18"/>
                <w:color w:val="002060"/>
              </w:rPr>
              <w:t>________________________________</w:t>
            </w:r>
          </w:p>
        </w:tc>
      </w:tr>
      <w:tr>
        <w:trPr>
          <w:trHeight w:val="230"/>
        </w:trPr>
        <w:tc>
          <w:tcPr>
            <w:tcW w:w="3960" w:type="dxa"/>
            <w:vAlign w:val="bottom"/>
          </w:tcPr>
          <w:p>
            <w:pPr>
              <w:spacing w:after="0"/>
              <w:rPr>
                <w:sz w:val="20"/>
                <w:szCs w:val="20"/>
                <w:color w:val="auto"/>
              </w:rPr>
            </w:pPr>
          </w:p>
        </w:tc>
        <w:tc>
          <w:tcPr>
            <w:tcW w:w="7280" w:type="dxa"/>
            <w:vAlign w:val="bottom"/>
          </w:tcPr>
          <w:p>
            <w:pPr>
              <w:ind w:left="620"/>
              <w:spacing w:after="0"/>
              <w:rPr>
                <w:sz w:val="20"/>
                <w:szCs w:val="20"/>
                <w:color w:val="auto"/>
              </w:rPr>
            </w:pPr>
            <w:r>
              <w:rPr>
                <w:rFonts w:ascii="Arial" w:cs="Arial" w:eastAsia="Arial" w:hAnsi="Arial"/>
                <w:sz w:val="18"/>
                <w:szCs w:val="18"/>
                <w:color w:val="002060"/>
              </w:rPr>
              <w:t>Name:</w:t>
            </w:r>
          </w:p>
        </w:tc>
      </w:tr>
      <w:tr>
        <w:trPr>
          <w:trHeight w:val="377"/>
        </w:trPr>
        <w:tc>
          <w:tcPr>
            <w:tcW w:w="3960" w:type="dxa"/>
            <w:vAlign w:val="bottom"/>
          </w:tcPr>
          <w:p>
            <w:pPr>
              <w:ind w:left="1420"/>
              <w:spacing w:after="0"/>
              <w:rPr>
                <w:sz w:val="20"/>
                <w:szCs w:val="20"/>
                <w:color w:val="auto"/>
              </w:rPr>
            </w:pPr>
            <w:r>
              <w:rPr>
                <w:rFonts w:ascii="Arial" w:cs="Arial" w:eastAsia="Arial" w:hAnsi="Arial"/>
                <w:sz w:val="18"/>
                <w:szCs w:val="18"/>
                <w:color w:val="002060"/>
              </w:rPr>
              <w:t>DATED:______________</w:t>
            </w:r>
          </w:p>
        </w:tc>
        <w:tc>
          <w:tcPr>
            <w:tcW w:w="7280" w:type="dxa"/>
            <w:vAlign w:val="bottom"/>
          </w:tcPr>
          <w:p>
            <w:pPr>
              <w:ind w:left="620"/>
              <w:spacing w:after="0"/>
              <w:rPr>
                <w:sz w:val="20"/>
                <w:szCs w:val="20"/>
                <w:color w:val="auto"/>
              </w:rPr>
            </w:pPr>
            <w:r>
              <w:rPr>
                <w:rFonts w:ascii="Arial" w:cs="Arial" w:eastAsia="Arial" w:hAnsi="Arial"/>
                <w:sz w:val="18"/>
                <w:szCs w:val="18"/>
                <w:color w:val="002060"/>
              </w:rPr>
              <w:t>Petco Health and Wellness Company, Inc.</w:t>
            </w:r>
          </w:p>
        </w:tc>
      </w:tr>
      <w:tr>
        <w:trPr>
          <w:trHeight w:val="230"/>
        </w:trPr>
        <w:tc>
          <w:tcPr>
            <w:tcW w:w="3960" w:type="dxa"/>
            <w:vAlign w:val="bottom"/>
          </w:tcPr>
          <w:p>
            <w:pPr>
              <w:spacing w:after="0"/>
              <w:rPr>
                <w:sz w:val="19"/>
                <w:szCs w:val="19"/>
                <w:color w:val="auto"/>
              </w:rPr>
            </w:pPr>
          </w:p>
        </w:tc>
        <w:tc>
          <w:tcPr>
            <w:tcW w:w="7280" w:type="dxa"/>
            <w:vAlign w:val="bottom"/>
          </w:tcPr>
          <w:p>
            <w:pPr>
              <w:ind w:left="620"/>
              <w:spacing w:after="0"/>
              <w:rPr>
                <w:sz w:val="20"/>
                <w:szCs w:val="20"/>
                <w:color w:val="auto"/>
              </w:rPr>
            </w:pPr>
            <w:r>
              <w:rPr>
                <w:rFonts w:ascii="Arial" w:cs="Arial" w:eastAsia="Arial" w:hAnsi="Arial"/>
                <w:sz w:val="18"/>
                <w:szCs w:val="18"/>
                <w:color w:val="002060"/>
              </w:rPr>
              <w:t>By:________________________________</w:t>
            </w:r>
          </w:p>
        </w:tc>
      </w:tr>
      <w:tr>
        <w:trPr>
          <w:trHeight w:val="230"/>
        </w:trPr>
        <w:tc>
          <w:tcPr>
            <w:tcW w:w="3960" w:type="dxa"/>
            <w:vAlign w:val="bottom"/>
          </w:tcPr>
          <w:p>
            <w:pPr>
              <w:spacing w:after="0"/>
              <w:rPr>
                <w:sz w:val="20"/>
                <w:szCs w:val="20"/>
                <w:color w:val="auto"/>
              </w:rPr>
            </w:pPr>
          </w:p>
        </w:tc>
        <w:tc>
          <w:tcPr>
            <w:tcW w:w="7280" w:type="dxa"/>
            <w:vAlign w:val="bottom"/>
          </w:tcPr>
          <w:p>
            <w:pPr>
              <w:ind w:left="620"/>
              <w:spacing w:after="0"/>
              <w:rPr>
                <w:sz w:val="20"/>
                <w:szCs w:val="20"/>
                <w:color w:val="auto"/>
              </w:rPr>
            </w:pPr>
            <w:r>
              <w:rPr>
                <w:rFonts w:ascii="Arial" w:cs="Arial" w:eastAsia="Arial" w:hAnsi="Arial"/>
                <w:sz w:val="18"/>
                <w:szCs w:val="18"/>
                <w:color w:val="002060"/>
              </w:rPr>
              <w:t>Title:________________________________</w:t>
            </w:r>
          </w:p>
        </w:tc>
      </w:tr>
      <w:tr>
        <w:trPr>
          <w:trHeight w:val="446"/>
        </w:trPr>
        <w:tc>
          <w:tcPr>
            <w:tcW w:w="3960" w:type="dxa"/>
            <w:vAlign w:val="bottom"/>
          </w:tcPr>
          <w:p>
            <w:pPr>
              <w:spacing w:after="0"/>
              <w:rPr>
                <w:sz w:val="24"/>
                <w:szCs w:val="24"/>
                <w:color w:val="auto"/>
              </w:rPr>
            </w:pPr>
          </w:p>
        </w:tc>
        <w:tc>
          <w:tcPr>
            <w:tcW w:w="7280" w:type="dxa"/>
            <w:vAlign w:val="bottom"/>
          </w:tcPr>
          <w:p>
            <w:pPr>
              <w:ind w:left="1620"/>
              <w:spacing w:after="0"/>
              <w:rPr>
                <w:sz w:val="20"/>
                <w:szCs w:val="20"/>
                <w:color w:val="auto"/>
              </w:rPr>
            </w:pPr>
            <w:r>
              <w:rPr>
                <w:rFonts w:ascii="Arial" w:cs="Arial" w:eastAsia="Arial" w:hAnsi="Arial"/>
                <w:sz w:val="18"/>
                <w:szCs w:val="18"/>
                <w:color w:val="auto"/>
              </w:rPr>
              <w:t>2</w:t>
            </w:r>
          </w:p>
        </w:tc>
      </w:tr>
      <w:tr>
        <w:trPr>
          <w:trHeight w:val="182"/>
        </w:trPr>
        <w:tc>
          <w:tcPr>
            <w:tcW w:w="3960" w:type="dxa"/>
            <w:vAlign w:val="bottom"/>
            <w:tcBorders>
              <w:bottom w:val="single" w:sz="8" w:color="9A9A9A"/>
            </w:tcBorders>
          </w:tcPr>
          <w:p>
            <w:pPr>
              <w:spacing w:after="0"/>
              <w:rPr>
                <w:sz w:val="15"/>
                <w:szCs w:val="15"/>
                <w:color w:val="auto"/>
              </w:rPr>
            </w:pPr>
          </w:p>
        </w:tc>
        <w:tc>
          <w:tcPr>
            <w:tcW w:w="72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Ronald Coughlin, Jr.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460" w:val="left"/>
          <w:tab w:leader="none" w:pos="802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July 29, 2023,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Ronald Coughlin, Jr.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July 29, 2023,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7"/>
    </w:lvl>
  </w:abstractNum>
  <w:abstractNum w:abstractNumId="3">
    <w:nsid w:val="4DB127F8"/>
    <w:multiLevelType w:val="hybridMultilevel"/>
    <w:lvl w:ilvl="0">
      <w:lvlJc w:val="left"/>
      <w:lvlText w:val="(%1)"/>
      <w:numFmt w:val="lowerRoman"/>
      <w:start w:val="16"/>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lvl w:ilvl="1">
      <w:lvlJc w:val="left"/>
      <w:lvlText w:val="(%2)"/>
      <w:numFmt w:val="lowerLetter"/>
      <w:start w:val="1"/>
    </w:lvl>
  </w:abstractNum>
  <w:abstractNum w:abstractNumId="10">
    <w:nsid w:val="109CF92E"/>
    <w:multiLevelType w:val="hybridMultilevel"/>
    <w:lvl w:ilvl="0">
      <w:lvlJc w:val="left"/>
      <w:lvlText w:val="%1"/>
      <w:numFmt w:val="decimal"/>
      <w:start w:val="1"/>
    </w:lvl>
    <w:lvl w:ilvl="1">
      <w:lvlJc w:val="left"/>
      <w:lvlText w:val="(%2)"/>
      <w:numFmt w:val="lowerLetter"/>
      <w:start w:val="4"/>
    </w:lvl>
  </w:abstractNum>
  <w:abstractNum w:abstractNumId="11">
    <w:nsid w:val="DED7263"/>
    <w:multiLevelType w:val="hybridMultilevel"/>
    <w:lvl w:ilvl="0">
      <w:lvlJc w:val="left"/>
      <w:lvlText w:val="%1."/>
      <w:numFmt w:val="decimal"/>
      <w:start w:val="6"/>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jpe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10" Type="http://schemas.openxmlformats.org/officeDocument/2006/relationships/hyperlink" Target="https://www.sec.gov/Archives/edgar/data/1826470/000119312523173967/d475965dex31.htm" TargetMode="External"/><Relationship Id="rId211" Type="http://schemas.openxmlformats.org/officeDocument/2006/relationships/hyperlink" Target="https://www.sec.gov/Archives/edgar/data/1826470/000119312523173967/d47596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2023-09-01T07:55:28Z</dcterms:created>
  <dcterms:modified xsi:type="dcterms:W3CDTF">2023-09-01T07:55:28Z</dcterms:modified>
</cp:coreProperties>
</file>