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woof-20260903.htm"/>
      <w:bookmarkStart w:id="1" w:name="kswoof20260903"/>
      <w:bookmarkEnd w:id="0"/>
      <w:bookmarkEnd w:id="1"/>
      <w:r>
        <w:rPr/>
        <w:t> </w:t>
      </w:r>
    </w:p>
    <w:p>
      <w:pPr>
        <w:pStyle w:val="TextBody"/>
        <w:bidi w:val="0"/>
        <w:jc w:val="center"/>
        <w:rPr>
          <w:rFonts w:ascii="Times New Roman" w:hAnsi="Times New Roman"/>
          <w:b/>
          <w:color w:val="000000"/>
          <w:sz w:val="16"/>
        </w:rPr>
      </w:pPr>
      <w:r>
        <w:rPr>
          <w:rFonts w:ascii="Times New Roman" w:hAnsi="Times New Roman"/>
          <w:b/>
          <w:color w:val="000000"/>
          <w:sz w:val="16"/>
        </w:rPr>
        <w:t>As filed with the Securities and Exchange Commission on September 4, 2026</w:t>
      </w:r>
    </w:p>
    <w:p>
      <w:pPr>
        <w:pStyle w:val="TextBody"/>
        <w:bidi w:val="0"/>
        <w:jc w:val="right"/>
        <w:rPr>
          <w:rFonts w:ascii="Times New Roman" w:hAnsi="Times New Roman"/>
          <w:b/>
          <w:color w:val="000000"/>
          <w:sz w:val="16"/>
        </w:rPr>
      </w:pPr>
      <w:r>
        <w:rPr>
          <w:rFonts w:ascii="Times New Roman" w:hAnsi="Times New Roman"/>
          <w:b/>
          <w:color w:val="000000"/>
          <w:sz w:val="16"/>
        </w:rPr>
        <w:t>Registration No. 333-</w:t>
      </w:r>
    </w:p>
    <w:p>
      <w:pPr>
        <w:pStyle w:val="TextBody"/>
        <w:pBdr>
          <w:bottom w:val="sing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aps/>
          <w:color w:val="000000"/>
          <w:sz w:val="24"/>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REGISTRATION STATEMENT UNDER THE SECURITIES ACT OF 1933</w:t>
      </w:r>
    </w:p>
    <w:p>
      <w:pPr>
        <w:pStyle w:val="TextBody"/>
        <w:bidi w:val="0"/>
        <w:jc w:val="center"/>
        <w:rPr>
          <w:rFonts w:ascii="Times New Roman" w:hAnsi="Times New Roman"/>
          <w:b/>
          <w:color w:val="000000"/>
          <w:sz w:val="32"/>
        </w:rPr>
      </w:pPr>
      <w:r>
        <w:rPr>
          <w:rFonts w:ascii="Times New Roman" w:hAnsi="Times New Roman"/>
          <w:b/>
          <w:color w:val="000000"/>
          <w:sz w:val="32"/>
        </w:rPr>
        <w:t>Petco Health and Wellness Company,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tbl>
      <w:tblPr>
        <w:tblW w:w="8072" w:type="dxa"/>
        <w:jc w:val="left"/>
        <w:tblInd w:w="0" w:type="dxa"/>
        <w:tblLayout w:type="fixed"/>
        <w:tblCellMar>
          <w:top w:w="28" w:type="dxa"/>
          <w:left w:w="28" w:type="dxa"/>
          <w:bottom w:w="28" w:type="dxa"/>
          <w:right w:w="28" w:type="dxa"/>
        </w:tblCellMar>
      </w:tblPr>
      <w:tblGrid>
        <w:gridCol w:w="5041"/>
        <w:gridCol w:w="3031"/>
      </w:tblGrid>
      <w:tr>
        <w:trPr/>
        <w:tc>
          <w:tcPr>
            <w:tcW w:w="504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color w:val="000000"/>
                <w:sz w:val="20"/>
              </w:rPr>
              <w:t>(State or Other Jurisdiction of Incorporation or Organization)</w:t>
            </w:r>
          </w:p>
        </w:tc>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81-1005932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jc w:val="center"/>
        <w:rPr>
          <w:rFonts w:ascii="Times New Roman" w:hAnsi="Times New Roman"/>
          <w:b/>
          <w:color w:val="000000"/>
          <w:sz w:val="20"/>
        </w:rPr>
      </w:pPr>
      <w:r>
        <w:rPr>
          <w:rFonts w:ascii="Times New Roman" w:hAnsi="Times New Roman"/>
          <w:b/>
          <w:color w:val="000000"/>
          <w:sz w:val="20"/>
        </w:rPr>
        <w:t>10850 Via Frontera</w:t>
      </w:r>
    </w:p>
    <w:p>
      <w:pPr>
        <w:pStyle w:val="TextBody"/>
        <w:bidi w:val="0"/>
        <w:jc w:val="center"/>
        <w:rPr>
          <w:rFonts w:ascii="Times New Roman" w:hAnsi="Times New Roman"/>
          <w:sz w:val="20"/>
        </w:rPr>
      </w:pPr>
      <w:r>
        <w:rPr>
          <w:rFonts w:ascii="Times New Roman" w:hAnsi="Times New Roman"/>
          <w:b/>
          <w:color w:val="000000"/>
          <w:sz w:val="20"/>
        </w:rPr>
        <w:t>San Diego, California 92127</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Petco Health and Wellness Company, Inc. 2021 Equity Incentive Plan</w:t>
      </w:r>
    </w:p>
    <w:p>
      <w:pPr>
        <w:pStyle w:val="TextBody"/>
        <w:bidi w:val="0"/>
        <w:jc w:val="center"/>
        <w:rPr>
          <w:rFonts w:ascii="Times New Roman" w:hAnsi="Times New Roman"/>
          <w:color w:val="000000"/>
          <w:sz w:val="16"/>
        </w:rPr>
      </w:pPr>
      <w:r>
        <w:rPr>
          <w:rFonts w:ascii="Times New Roman" w:hAnsi="Times New Roman"/>
          <w:color w:val="000000"/>
          <w:sz w:val="16"/>
        </w:rPr>
        <w:t>(Full title of the plan)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Giovanni Insana</w:t>
      </w:r>
    </w:p>
    <w:p>
      <w:pPr>
        <w:pStyle w:val="TextBody"/>
        <w:bidi w:val="0"/>
        <w:jc w:val="center"/>
        <w:rPr>
          <w:rFonts w:ascii="Times New Roman" w:hAnsi="Times New Roman"/>
          <w:b/>
          <w:color w:val="000000"/>
          <w:sz w:val="20"/>
        </w:rPr>
      </w:pPr>
      <w:r>
        <w:rPr>
          <w:rFonts w:ascii="Times New Roman" w:hAnsi="Times New Roman"/>
          <w:b/>
          <w:color w:val="000000"/>
          <w:sz w:val="20"/>
        </w:rPr>
        <w:t>Chief Legal Officer and Secretary</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jc w:val="center"/>
        <w:rPr>
          <w:rFonts w:ascii="Times New Roman" w:hAnsi="Times New Roman"/>
          <w:b/>
          <w:color w:val="000000"/>
          <w:sz w:val="20"/>
        </w:rPr>
      </w:pPr>
      <w:r>
        <w:rPr>
          <w:rFonts w:ascii="Times New Roman" w:hAnsi="Times New Roman"/>
          <w:b/>
          <w:color w:val="000000"/>
          <w:sz w:val="20"/>
        </w:rPr>
        <w:t>10850 Via Frontera</w:t>
      </w:r>
    </w:p>
    <w:p>
      <w:pPr>
        <w:pStyle w:val="TextBody"/>
        <w:bidi w:val="0"/>
        <w:jc w:val="center"/>
        <w:rPr>
          <w:rFonts w:ascii="Times New Roman" w:hAnsi="Times New Roman"/>
          <w:b/>
          <w:color w:val="000000"/>
          <w:sz w:val="20"/>
        </w:rPr>
      </w:pPr>
      <w:r>
        <w:rPr>
          <w:rFonts w:ascii="Times New Roman" w:hAnsi="Times New Roman"/>
          <w:b/>
          <w:color w:val="000000"/>
          <w:sz w:val="20"/>
        </w:rPr>
        <w:t>San Diego, California 92127</w:t>
      </w:r>
    </w:p>
    <w:p>
      <w:pPr>
        <w:pStyle w:val="TextBody"/>
        <w:bidi w:val="0"/>
        <w:jc w:val="center"/>
        <w:rPr>
          <w:rFonts w:ascii="Times New Roman" w:hAnsi="Times New Roman"/>
          <w:b/>
          <w:color w:val="000000"/>
          <w:sz w:val="20"/>
        </w:rPr>
      </w:pPr>
      <w:r>
        <w:rPr>
          <w:rFonts w:ascii="Times New Roman" w:hAnsi="Times New Roman"/>
          <w:b/>
          <w:color w:val="000000"/>
          <w:sz w:val="20"/>
        </w:rPr>
        <w:t>(858) 453-7845</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(Name, address, including zip code, and telephone number, including area code, of agent for service)</w:t>
      </w:r>
    </w:p>
    <w:p>
      <w:pPr>
        <w:pStyle w:val="TextBody"/>
        <w:bidi w:val="0"/>
        <w:spacing w:before="120" w:after="240"/>
        <w:jc w:val="center"/>
        <w:rPr>
          <w:rFonts w:ascii="Times New Roman" w:hAnsi="Times New Roman"/>
          <w:color w:val="000000"/>
          <w:sz w:val="20"/>
        </w:rPr>
      </w:pPr>
      <w:r>
        <w:rPr>
          <w:rFonts w:ascii="Times New Roman" w:hAnsi="Times New Roman"/>
          <w:color w:val="000000"/>
          <w:sz w:val="20"/>
        </w:rPr>
        <w:t>With a copy to:</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Gina Hancock</w:t>
            </w:r>
          </w:p>
          <w:p>
            <w:pPr>
              <w:pStyle w:val="TableContents"/>
              <w:bidi w:val="0"/>
              <w:jc w:val="center"/>
              <w:rPr>
                <w:rFonts w:ascii="Times New Roman" w:hAnsi="Times New Roman"/>
                <w:b/>
                <w:color w:val="000000"/>
                <w:sz w:val="18"/>
              </w:rPr>
            </w:pPr>
            <w:r>
              <w:rPr>
                <w:rFonts w:ascii="Times New Roman" w:hAnsi="Times New Roman"/>
                <w:b/>
                <w:color w:val="000000"/>
                <w:sz w:val="18"/>
              </w:rPr>
              <w:t>Gibson, Dunn &amp; Crutcher LLP</w:t>
            </w:r>
          </w:p>
          <w:p>
            <w:pPr>
              <w:pStyle w:val="TableContents"/>
              <w:bidi w:val="0"/>
              <w:jc w:val="center"/>
              <w:rPr>
                <w:rFonts w:ascii="Times New Roman" w:hAnsi="Times New Roman"/>
                <w:b/>
                <w:color w:val="000000"/>
                <w:sz w:val="18"/>
              </w:rPr>
            </w:pPr>
            <w:r>
              <w:rPr>
                <w:rFonts w:ascii="Times New Roman" w:hAnsi="Times New Roman"/>
                <w:b/>
                <w:color w:val="000000"/>
                <w:sz w:val="18"/>
              </w:rPr>
              <w:t>2001 Ross Avenue, Suite 2100</w:t>
            </w:r>
          </w:p>
          <w:p>
            <w:pPr>
              <w:pStyle w:val="TableContents"/>
              <w:bidi w:val="0"/>
              <w:jc w:val="center"/>
              <w:rPr>
                <w:rFonts w:ascii="Times New Roman" w:hAnsi="Times New Roman"/>
                <w:b/>
                <w:color w:val="000000"/>
                <w:sz w:val="18"/>
              </w:rPr>
            </w:pPr>
            <w:r>
              <w:rPr>
                <w:rFonts w:ascii="Times New Roman" w:hAnsi="Times New Roman"/>
                <w:b/>
                <w:color w:val="000000"/>
                <w:sz w:val="18"/>
              </w:rPr>
              <w:t>Dallas, TX 75201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(214) 698-3100</w:t>
            </w:r>
          </w:p>
        </w:tc>
      </w:tr>
    </w:tbl>
    <w:p>
      <w:pPr>
        <w:pStyle w:val="TextBody"/>
        <w:bidi w:val="0"/>
        <w:jc w:val="center"/>
        <w:rPr>
          <w:rFonts w:ascii="Times New Roman" w:hAnsi="Times New Roman"/>
          <w:color w:val="000000"/>
          <w:sz w:val="12"/>
        </w:rPr>
      </w:pPr>
      <w:r>
        <w:rPr>
          <w:rFonts w:ascii="Times New Roman" w:hAnsi="Times New Roman"/>
          <w:color w:val="000000"/>
          <w:sz w:val="12"/>
        </w:rPr>
        <w:t>______________________________________________</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4139"/>
        <w:gridCol w:w="659"/>
        <w:gridCol w:w="4574"/>
        <w:gridCol w:w="833"/>
      </w:tblGrid>
      <w:tr>
        <w:trPr/>
        <w:tc>
          <w:tcPr>
            <w:tcW w:w="413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5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413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457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6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5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833"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x</w:t>
            </w:r>
          </w:p>
        </w:tc>
      </w:tr>
      <w:tr>
        <w:trPr/>
        <w:tc>
          <w:tcPr>
            <w:tcW w:w="413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457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6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45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83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413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457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3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45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83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4139"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4574"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jc w:val="left"/>
        <w:rPr/>
      </w:pPr>
      <w:r>
        <w:rPr/>
        <w:t> </w:t>
      </w:r>
    </w:p>
    <w:p>
      <w:pPr>
        <w:pStyle w:val="TextBody"/>
        <w:pBdr>
          <w:top w:val="sing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Registration Statement on Form S-8 (this “Registration Statement”) is filed by Petco Health and Wellness Company, Inc. a Delaware corporation (the “Registrant”), in order to register an additional 15,500,000 shares of its Class A common stock, par value $0.001 per share (the “Common Stock”), that may be issued under the Petco Health and Wellness Company, Inc. 2021 Equity Incentive Plan, as amended (the “Equity Plan”). On June 30, 2026, at the Company's annual general meeting of stockholders, the Company's stockholders approved the second amendment to the Equity Plan to increase the number of shares of Common Stock authorized for issuance thereunder by 15,500,000 shares (the “Second Amendment”). </w:t>
      </w:r>
    </w:p>
    <w:p>
      <w:pPr>
        <w:pStyle w:val="TextBody"/>
        <w:bidi w:val="0"/>
        <w:spacing w:before="200" w:after="283"/>
        <w:jc w:val="left"/>
        <w:rPr/>
      </w:pPr>
      <w:r>
        <w:rPr>
          <w:rFonts w:ascii="Times New Roman" w:hAnsi="Times New Roman"/>
          <w:color w:val="000000"/>
          <w:sz w:val="20"/>
        </w:rPr>
        <w:t>Pursuant to General Instruction E to Form S-8, the Company incorporates by reference the contents of the Company’s prior registration statements on Form S-8 filed with the U.S. Securities and Exchange Commission (the “Commission”) (i) on January 19, 2021 (</w:t>
      </w:r>
      <w:hyperlink r:id="rId2">
        <w:r>
          <w:rPr>
            <w:rStyle w:val="InternetLink"/>
            <w:rFonts w:ascii="Times New Roman" w:hAnsi="Times New Roman"/>
            <w:color w:val="0000FF"/>
            <w:sz w:val="20"/>
            <w:u w:val="single"/>
          </w:rPr>
          <w:t>File No. 333-252221</w:t>
        </w:r>
      </w:hyperlink>
      <w:r>
        <w:rPr>
          <w:rFonts w:ascii="Times New Roman" w:hAnsi="Times New Roman"/>
          <w:color w:val="000000"/>
          <w:sz w:val="20"/>
        </w:rPr>
        <w:t>); and (ii) on September 1, 2023 (</w:t>
      </w:r>
      <w:hyperlink r:id="rId3">
        <w:r>
          <w:rPr>
            <w:rStyle w:val="InternetLink"/>
            <w:rFonts w:ascii="Times New Roman" w:hAnsi="Times New Roman"/>
            <w:color w:val="0000FF"/>
            <w:sz w:val="20"/>
            <w:u w:val="single"/>
          </w:rPr>
          <w:t>File No. 333-274312</w:t>
        </w:r>
      </w:hyperlink>
      <w:r>
        <w:rPr>
          <w:rFonts w:ascii="Times New Roman" w:hAnsi="Times New Roman"/>
          <w:color w:val="000000"/>
          <w:sz w:val="20"/>
        </w:rPr>
        <w:t>) (the “Prior Registration Statements”). The shares of Common Stock registered hereunder are securities of the same class and relate to the same plan as those shares registered on the Prior Registration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br/>
        <w:t>INFORMATION REQUIRED IN THE REGISTRATION STATEMENT</w:t>
      </w:r>
    </w:p>
    <w:p>
      <w:pPr>
        <w:pStyle w:val="TextBody"/>
        <w:bidi w:val="0"/>
        <w:spacing w:before="240" w:after="283"/>
        <w:jc w:val="center"/>
        <w:rPr/>
      </w:pPr>
      <w:r>
        <w:rPr/>
        <w:t> </w:t>
      </w:r>
    </w:p>
    <w:p>
      <w:pPr>
        <w:pStyle w:val="TextBody"/>
        <w:bidi w:val="0"/>
        <w:jc w:val="left"/>
        <w:rPr>
          <w:rFonts w:ascii="Times New Roman" w:hAnsi="Times New Roman"/>
          <w:sz w:val="12"/>
        </w:rPr>
      </w:pPr>
      <w:r>
        <w:rPr>
          <w:rFonts w:ascii="Times New Roman" w:hAnsi="Times New Roman"/>
          <w:b/>
          <w:color w:val="000000"/>
          <w:sz w:val="20"/>
        </w:rPr>
        <w:t>Item 8. Exhibits.</w:t>
      </w:r>
      <w:r>
        <w:rPr>
          <w:rFonts w:ascii="Times New Roman" w:hAnsi="Times New Roman"/>
          <w:color w:val="000000"/>
          <w:sz w:val="12"/>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5"/>
        <w:gridCol w:w="146"/>
        <w:gridCol w:w="9184"/>
      </w:tblGrid>
      <w:tr>
        <w:trPr/>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87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Certificate of Incorporation of Petco Health and Wellness Company, Inc. (incorporated by reference to Exhibit 3.1 of the Registrant’s Current Report on Form 8-K, filed with the Commission on January 19, 2021).</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Second Amended and Restated Certificate of Incorporation of Petco Health and Wellness Company, Inc. (incorporated by reference to Exhibit 3.1 of the Registrant’s Current Report on Form 8-K, filed with the Commission on June 23, 2023).</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Third Amended and Restated Bylaws of Petco Health and Wellness Company, Inc. (incorporated by reference to Exhibit 3.1 of the Registrant’s Quarterly Report on Form 10-Q for the quarter ended November 1, 2025).</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woof-ex5_1.htm">
              <w:r>
                <w:rPr>
                  <w:rStyle w:val="InternetLink"/>
                  <w:rFonts w:ascii="Times New Roman" w:hAnsi="Times New Roman"/>
                  <w:color w:val="0000FF"/>
                  <w:sz w:val="20"/>
                  <w:u w:val="single"/>
                </w:rPr>
                <w:t>Opinion of Gibson, Dunn &amp; Crutcher LLP.</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woof-ex23_1.htm">
              <w:r>
                <w:rPr>
                  <w:rStyle w:val="InternetLink"/>
                  <w:rFonts w:ascii="Times New Roman" w:hAnsi="Times New Roman"/>
                  <w:color w:val="0000FF"/>
                  <w:sz w:val="20"/>
                  <w:u w:val="single"/>
                </w:rPr>
                <w:t>Consent of Independent Registered Public Accounting Firm.</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woof-ex5_1.htm">
              <w:r>
                <w:rPr>
                  <w:rStyle w:val="InternetLink"/>
                  <w:rFonts w:ascii="Times New Roman" w:hAnsi="Times New Roman"/>
                  <w:color w:val="0000FF"/>
                  <w:sz w:val="20"/>
                  <w:u w:val="single"/>
                </w:rPr>
                <w:t>Consent of Gibson, Dunn &amp; Crutcher LLP (included in Exhibit 5.1).</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 to this Registration Statement).</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Petco Health and Wellness Company, Inc. 2021 Equity Incentive Plan (incorporated by reference to Exhibit 10.1 to the Registrant’s Current Report on Form 8-K filed with the Commission on January 19, 2021).</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First Amendment to Petco Health and Wellness Company, Inc. 2021 Equity Incentive Plan (incorporated by reference to Exhibit 10.1 of the Registrant’s Current Report on Form 8-K, filed with the Commission on June 23, 2023).</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Second Amendment to Petco Health and Wellness Company, Inc. 2021 Equity Incentive Plan (incorporated by reference to Exhibit 10.1 of the Registrant’s Current Report on Form 8-K, filed with the Commission on July 1, 2026).</w:t>
              </w:r>
            </w:hyperlink>
          </w:p>
        </w:tc>
      </w:tr>
      <w:tr>
        <w:trPr/>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woof-exfiling_fees.htm">
              <w:r>
                <w:rPr>
                  <w:rStyle w:val="InternetLink"/>
                  <w:rFonts w:ascii="Times New Roman" w:hAnsi="Times New Roman"/>
                  <w:color w:val="0000FF"/>
                  <w:sz w:val="20"/>
                  <w:u w:val="single"/>
                </w:rPr>
                <w:t>Filing Fee Table</w:t>
              </w:r>
            </w:hyperlink>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ower_of_attorney"/>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San Diego California, on the 4th day of September, 2026.</w:t>
      </w:r>
    </w:p>
    <w:tbl>
      <w:tblPr>
        <w:tblW w:w="5055" w:type="dxa"/>
        <w:jc w:val="left"/>
        <w:tblInd w:w="0" w:type="dxa"/>
        <w:tblLayout w:type="fixed"/>
        <w:tblCellMar>
          <w:top w:w="28" w:type="dxa"/>
          <w:left w:w="28" w:type="dxa"/>
          <w:bottom w:w="28" w:type="dxa"/>
          <w:right w:w="28" w:type="dxa"/>
        </w:tblCellMar>
      </w:tblPr>
      <w:tblGrid>
        <w:gridCol w:w="1514"/>
        <w:gridCol w:w="3541"/>
      </w:tblGrid>
      <w:tr>
        <w:trPr/>
        <w:tc>
          <w:tcPr>
            <w:tcW w:w="1514" w:type="dxa"/>
            <w:tcBorders/>
            <w:shd w:fill="FFFFFF" w:val="clear"/>
            <w:vAlign w:val="center"/>
          </w:tcPr>
          <w:p>
            <w:pPr>
              <w:pStyle w:val="TableContents"/>
              <w:bidi w:val="0"/>
              <w:spacing w:before="0" w:after="283"/>
              <w:jc w:val="left"/>
              <w:rPr>
                <w:sz w:val="4"/>
                <w:szCs w:val="4"/>
              </w:rPr>
            </w:pPr>
            <w:r>
              <w:rPr>
                <w:sz w:val="4"/>
                <w:szCs w:val="4"/>
              </w:rPr>
            </w:r>
          </w:p>
        </w:tc>
        <w:tc>
          <w:tcPr>
            <w:tcW w:w="3541" w:type="dxa"/>
            <w:tcBorders/>
            <w:shd w:fill="FFFFFF" w:val="clear"/>
            <w:vAlign w:val="center"/>
          </w:tcPr>
          <w:p>
            <w:pPr>
              <w:pStyle w:val="TableContents"/>
              <w:bidi w:val="0"/>
              <w:spacing w:before="0" w:after="283"/>
              <w:jc w:val="left"/>
              <w:rPr>
                <w:sz w:val="4"/>
                <w:szCs w:val="4"/>
              </w:rPr>
            </w:pPr>
            <w:r>
              <w:rPr>
                <w:sz w:val="4"/>
                <w:szCs w:val="4"/>
              </w:rPr>
            </w:r>
          </w:p>
        </w:tc>
      </w:tr>
      <w:tr>
        <w:trPr/>
        <w:tc>
          <w:tcPr>
            <w:tcW w:w="1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gridSpan w:val="2"/>
            <w:tcBorders/>
            <w:tcMar>
              <w:top w:w="0" w:type="dxa"/>
              <w:left w:w="0" w:type="dxa"/>
              <w:bottom w:w="0" w:type="dxa"/>
              <w:right w:w="0" w:type="dxa"/>
            </w:tcMar>
            <w:vAlign w:val="center"/>
          </w:tcPr>
          <w:p>
            <w:pPr>
              <w:pStyle w:val="TableContents"/>
              <w:bidi w:val="0"/>
              <w:spacing w:before="0" w:after="15"/>
              <w:ind w:left="0" w:right="0" w:firstLine="240"/>
              <w:jc w:val="left"/>
              <w:rPr>
                <w:rFonts w:ascii="Times New Roman" w:hAnsi="Times New Roman"/>
                <w:sz w:val="20"/>
              </w:rPr>
            </w:pPr>
            <w:r>
              <w:rPr>
                <w:rFonts w:ascii="Times New Roman" w:hAnsi="Times New Roman"/>
                <w:b/>
                <w:color w:val="000000"/>
                <w:sz w:val="20"/>
              </w:rPr>
              <w:t>PETCO HEALTH AND WELLNESS COMPANY, INC</w:t>
            </w:r>
            <w:r>
              <w:rPr>
                <w:rFonts w:ascii="Times New Roman" w:hAnsi="Times New Roman"/>
                <w:color w:val="000000"/>
                <w:sz w:val="20"/>
              </w:rPr>
              <w:t>.</w:t>
            </w:r>
          </w:p>
        </w:tc>
      </w:tr>
      <w:tr>
        <w:trPr/>
        <w:tc>
          <w:tcPr>
            <w:tcW w:w="1514"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51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Joel Anderson</w:t>
            </w:r>
          </w:p>
        </w:tc>
      </w:tr>
      <w:tr>
        <w:trPr/>
        <w:tc>
          <w:tcPr>
            <w:tcW w:w="1514"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Joel Anderson</w:t>
            </w:r>
          </w:p>
        </w:tc>
      </w:tr>
      <w:tr>
        <w:trPr/>
        <w:tc>
          <w:tcPr>
            <w:tcW w:w="15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Joel Anderson, Sabrina Simmons, and Giovanni Insana and each of them (with full power to each of them to act alone),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any of them, or their substitutes, may lawfully do or cause to be done by virtue 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in the capacities and on the dates indicated.</w:t>
      </w:r>
    </w:p>
    <w:tbl>
      <w:tblPr>
        <w:tblW w:w="7518" w:type="dxa"/>
        <w:jc w:val="left"/>
        <w:tblInd w:w="0" w:type="dxa"/>
        <w:tblLayout w:type="fixed"/>
        <w:tblCellMar>
          <w:top w:w="28" w:type="dxa"/>
          <w:left w:w="28" w:type="dxa"/>
          <w:bottom w:w="28" w:type="dxa"/>
          <w:right w:w="28" w:type="dxa"/>
        </w:tblCellMar>
      </w:tblPr>
      <w:tblGrid>
        <w:gridCol w:w="2146"/>
        <w:gridCol w:w="3706"/>
        <w:gridCol w:w="1666"/>
      </w:tblGrid>
      <w:tr>
        <w:trPr/>
        <w:tc>
          <w:tcPr>
            <w:tcW w:w="2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u w:val="single"/>
              </w:rPr>
            </w:pPr>
            <w:r>
              <w:rPr>
                <w:rFonts w:ascii="Times New Roman" w:hAnsi="Times New Roman"/>
                <w:color w:val="000000"/>
                <w:sz w:val="20"/>
                <w:u w:val="single"/>
              </w:rPr>
              <w:t>Signature</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u w:val="single"/>
              </w:rPr>
            </w:pPr>
            <w:r>
              <w:rPr>
                <w:rFonts w:ascii="Times New Roman" w:hAnsi="Times New Roman"/>
                <w:color w:val="000000"/>
                <w:sz w:val="20"/>
                <w:u w:val="single"/>
              </w:rPr>
              <w:t>Title</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Date</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Joel Anderson </w:t>
            </w:r>
            <w:r>
              <w:rPr>
                <w:rFonts w:ascii="Times New Roman" w:hAnsi="Times New Roman"/>
                <w:color w:val="000000"/>
                <w:sz w:val="20"/>
              </w:rPr>
              <w:br/>
              <w:t>Joel Anderson</w:t>
            </w:r>
          </w:p>
        </w:tc>
        <w:tc>
          <w:tcPr>
            <w:tcW w:w="37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tc>
      </w:tr>
      <w:tr>
        <w:trPr/>
        <w:tc>
          <w:tcPr>
            <w:tcW w:w="2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color w:val="000000"/>
                <w:sz w:val="20"/>
                <w:u w:val="single"/>
              </w:rPr>
              <w:t xml:space="preserve">/s/ Sabrina Simmons </w:t>
              <w:br/>
            </w:r>
            <w:r>
              <w:rPr>
                <w:rFonts w:ascii="Times New Roman" w:hAnsi="Times New Roman"/>
                <w:color w:val="000000"/>
                <w:sz w:val="20"/>
              </w:rPr>
              <w:t xml:space="preserve">Sabrina Simmons </w:t>
            </w:r>
          </w:p>
        </w:tc>
        <w:tc>
          <w:tcPr>
            <w:tcW w:w="37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and accounting officer</w:t>
            </w:r>
            <w:r>
              <w:rPr>
                <w:rFonts w:ascii="Times New Roman" w:hAnsi="Times New Roman"/>
                <w:color w:val="000000"/>
                <w:sz w:val="20"/>
              </w:rPr>
              <w:t>)</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Glenn Murphy </w:t>
              <w:br/>
            </w:r>
            <w:r>
              <w:rPr>
                <w:rFonts w:ascii="Times New Roman" w:hAnsi="Times New Roman"/>
                <w:color w:val="000000"/>
                <w:sz w:val="20"/>
              </w:rPr>
              <w:t>Glenn Murphy</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Chairman</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Gary Briggs </w:t>
              <w:br/>
            </w:r>
            <w:r>
              <w:rPr>
                <w:rFonts w:ascii="Times New Roman" w:hAnsi="Times New Roman"/>
                <w:color w:val="000000"/>
                <w:sz w:val="20"/>
              </w:rPr>
              <w:t>Gary Briggs</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Nishad Chande </w:t>
              <w:br/>
            </w:r>
            <w:r>
              <w:rPr>
                <w:rFonts w:ascii="Times New Roman" w:hAnsi="Times New Roman"/>
                <w:color w:val="000000"/>
                <w:sz w:val="20"/>
              </w:rPr>
              <w:t>Nishad Chande</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Jeffrey Naylor </w:t>
              <w:br/>
            </w:r>
            <w:r>
              <w:rPr>
                <w:rFonts w:ascii="Times New Roman" w:hAnsi="Times New Roman"/>
                <w:color w:val="000000"/>
                <w:sz w:val="20"/>
              </w:rPr>
              <w:t xml:space="preserve">Jeffrey Naylor </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David Lubek </w:t>
              <w:br/>
            </w:r>
            <w:r>
              <w:rPr>
                <w:rFonts w:ascii="Times New Roman" w:hAnsi="Times New Roman"/>
                <w:color w:val="000000"/>
                <w:sz w:val="20"/>
              </w:rPr>
              <w:t>David Lubek</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R. Michael Mohan </w:t>
              <w:br/>
            </w:r>
            <w:r>
              <w:rPr>
                <w:rFonts w:ascii="Times New Roman" w:hAnsi="Times New Roman"/>
                <w:color w:val="000000"/>
                <w:sz w:val="20"/>
              </w:rPr>
              <w:t xml:space="preserve">R. Michael Mohan </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Christopher J. Stadler </w:t>
              <w:br/>
            </w:r>
            <w:r>
              <w:rPr>
                <w:rFonts w:ascii="Times New Roman" w:hAnsi="Times New Roman"/>
                <w:color w:val="000000"/>
                <w:sz w:val="20"/>
              </w:rPr>
              <w:t xml:space="preserve">Christopher J. Stadler </w:t>
            </w:r>
          </w:p>
        </w:tc>
        <w:tc>
          <w:tcPr>
            <w:tcW w:w="37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008" w:type="dxa"/>
        <w:jc w:val="left"/>
        <w:tblInd w:w="0" w:type="dxa"/>
        <w:tblLayout w:type="fixed"/>
        <w:tblCellMar>
          <w:top w:w="28" w:type="dxa"/>
          <w:left w:w="28" w:type="dxa"/>
          <w:bottom w:w="28" w:type="dxa"/>
          <w:right w:w="28" w:type="dxa"/>
        </w:tblCellMar>
      </w:tblPr>
      <w:tblGrid>
        <w:gridCol w:w="1576"/>
        <w:gridCol w:w="766"/>
        <w:gridCol w:w="1666"/>
      </w:tblGrid>
      <w:tr>
        <w:trPr/>
        <w:tc>
          <w:tcPr>
            <w:tcW w:w="15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Mary Sullivan </w:t>
              <w:br/>
            </w:r>
            <w:r>
              <w:rPr>
                <w:rFonts w:ascii="Times New Roman" w:hAnsi="Times New Roman"/>
                <w:color w:val="000000"/>
                <w:sz w:val="20"/>
              </w:rPr>
              <w:t xml:space="preserve">Mary Sullivan </w:t>
            </w:r>
          </w:p>
        </w:tc>
        <w:tc>
          <w:tcPr>
            <w:tcW w:w="7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Times New Roman" w:hAnsi="Times New Roman"/>
                <w:color w:val="000000"/>
                <w:sz w:val="20"/>
                <w:u w:val="single"/>
              </w:rPr>
              <w:t xml:space="preserve">/s/ Iris Yen </w:t>
              <w:br/>
            </w:r>
            <w:r>
              <w:rPr>
                <w:rFonts w:ascii="Times New Roman" w:hAnsi="Times New Roman"/>
                <w:color w:val="000000"/>
                <w:sz w:val="20"/>
              </w:rPr>
              <w:t>Iris Yen</w:t>
            </w:r>
          </w:p>
        </w:tc>
        <w:tc>
          <w:tcPr>
            <w:tcW w:w="7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Director</w:t>
            </w:r>
          </w:p>
        </w:tc>
        <w:tc>
          <w:tcPr>
            <w:tcW w:w="16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September 4, 2026</w:t>
            </w:r>
          </w:p>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bookmarkStart w:id="3" w:name="woof-ex5_1.htm"/>
      <w:bookmarkStart w:id="4" w:name="kswoofex5_1"/>
      <w:bookmarkEnd w:id="3"/>
      <w:bookmarkEnd w:id="4"/>
      <w:r>
        <w:rPr/>
        <w:drawing>
          <wp:inline distT="0" distB="0" distL="0" distR="0">
            <wp:extent cx="175260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752600" cy="200025"/>
                    </a:xfrm>
                    <a:prstGeom prst="rect">
                      <a:avLst/>
                    </a:prstGeom>
                  </pic:spPr>
                </pic:pic>
              </a:graphicData>
            </a:graphic>
          </wp:inline>
        </w:drawing>
      </w:r>
      <w:r>
        <w:br w:type="page"/>
      </w:r>
    </w:p>
    <w:tbl>
      <w:tblPr>
        <w:tblW w:w="1422" w:type="dxa"/>
        <w:jc w:val="left"/>
        <w:tblInd w:w="0" w:type="dxa"/>
        <w:tblLayout w:type="fixed"/>
        <w:tblCellMar>
          <w:top w:w="28" w:type="dxa"/>
          <w:left w:w="28" w:type="dxa"/>
          <w:bottom w:w="28" w:type="dxa"/>
          <w:right w:w="28" w:type="dxa"/>
        </w:tblCellMar>
      </w:tblPr>
      <w:tblGrid>
        <w:gridCol w:w="161"/>
        <w:gridCol w:w="126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Exhibit 5.1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September 4, 2026</w:t>
      </w:r>
    </w:p>
    <w:p>
      <w:pPr>
        <w:pStyle w:val="TextBody"/>
        <w:bidi w:val="0"/>
        <w:jc w:val="left"/>
        <w:rPr>
          <w:rFonts w:ascii="Times New Roman" w:hAnsi="Times New Roman"/>
          <w:color w:val="000000"/>
          <w:sz w:val="24"/>
        </w:rPr>
      </w:pPr>
      <w:r>
        <w:rPr>
          <w:rFonts w:ascii="Times New Roman" w:hAnsi="Times New Roman"/>
          <w:color w:val="000000"/>
          <w:sz w:val="24"/>
        </w:rPr>
        <w:t>Petco Health and Wellness Company, Inc.</w:t>
      </w:r>
    </w:p>
    <w:p>
      <w:pPr>
        <w:pStyle w:val="TextBody"/>
        <w:bidi w:val="0"/>
        <w:jc w:val="left"/>
        <w:rPr>
          <w:rFonts w:ascii="Times New Roman" w:hAnsi="Times New Roman"/>
          <w:color w:val="000000"/>
          <w:sz w:val="24"/>
        </w:rPr>
      </w:pPr>
      <w:r>
        <w:rPr>
          <w:rFonts w:ascii="Times New Roman" w:hAnsi="Times New Roman"/>
          <w:color w:val="000000"/>
          <w:sz w:val="24"/>
        </w:rPr>
        <w:t>10850 Via Frontera</w:t>
      </w:r>
    </w:p>
    <w:p>
      <w:pPr>
        <w:pStyle w:val="TextBody"/>
        <w:bidi w:val="0"/>
        <w:jc w:val="left"/>
        <w:rPr>
          <w:rFonts w:ascii="Times New Roman" w:hAnsi="Times New Roman"/>
          <w:color w:val="000000"/>
          <w:sz w:val="24"/>
        </w:rPr>
      </w:pPr>
      <w:r>
        <w:rPr>
          <w:rFonts w:ascii="Times New Roman" w:hAnsi="Times New Roman"/>
          <w:color w:val="000000"/>
          <w:sz w:val="24"/>
        </w:rPr>
        <w:t>San Diego, California 92127</w:t>
      </w:r>
    </w:p>
    <w:p>
      <w:pPr>
        <w:pStyle w:val="TextBody"/>
        <w:bidi w:val="0"/>
        <w:jc w:val="left"/>
        <w:rPr/>
      </w:pPr>
      <w:r>
        <w:rPr/>
        <w:t> </w:t>
      </w:r>
    </w:p>
    <w:tbl>
      <w:tblPr>
        <w:tblW w:w="4753" w:type="dxa"/>
        <w:jc w:val="left"/>
        <w:tblInd w:w="0" w:type="dxa"/>
        <w:tblLayout w:type="fixed"/>
        <w:tblCellMar>
          <w:top w:w="28" w:type="dxa"/>
          <w:left w:w="28" w:type="dxa"/>
          <w:bottom w:w="28" w:type="dxa"/>
          <w:right w:w="28" w:type="dxa"/>
        </w:tblCellMar>
      </w:tblPr>
      <w:tblGrid>
        <w:gridCol w:w="161"/>
        <w:gridCol w:w="436"/>
        <w:gridCol w:w="415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Petco Health and Wellness Company,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Statement on Form S-8</w:t>
            </w:r>
          </w:p>
        </w:tc>
      </w:tr>
    </w:tbl>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83"/>
        <w:jc w:val="both"/>
        <w:rPr>
          <w:rFonts w:ascii="Times New Roman" w:hAnsi="Times New Roman"/>
          <w:sz w:val="24"/>
        </w:rPr>
      </w:pPr>
      <w:r>
        <w:rPr>
          <w:rFonts w:ascii="Times New Roman" w:hAnsi="Times New Roman"/>
          <w:color w:val="000000"/>
          <w:sz w:val="24"/>
        </w:rPr>
        <w:t>We have examined the Registration Statement on Form S-8 (the “</w:t>
      </w:r>
      <w:r>
        <w:rPr>
          <w:rFonts w:ascii="Times New Roman" w:hAnsi="Times New Roman"/>
          <w:color w:val="000000"/>
          <w:sz w:val="24"/>
          <w:u w:val="single"/>
        </w:rPr>
        <w:t>Registration Statement</w:t>
      </w:r>
      <w:r>
        <w:rPr>
          <w:rFonts w:ascii="Times New Roman" w:hAnsi="Times New Roman"/>
          <w:color w:val="000000"/>
          <w:sz w:val="24"/>
        </w:rPr>
        <w:t>”), of Petco Health and Wellness Company, Inc., a Delaware corporation (the “</w:t>
      </w:r>
      <w:r>
        <w:rPr>
          <w:rFonts w:ascii="Times New Roman" w:hAnsi="Times New Roman"/>
          <w:color w:val="000000"/>
          <w:sz w:val="24"/>
          <w:u w:val="single"/>
        </w:rPr>
        <w:t>Company</w:t>
      </w:r>
      <w:r>
        <w:rPr>
          <w:rFonts w:ascii="Times New Roman" w:hAnsi="Times New Roman"/>
          <w:color w:val="000000"/>
          <w:sz w:val="24"/>
        </w:rPr>
        <w:t>”), to be filed with the Securities and Exchange Commission (the “</w:t>
      </w:r>
      <w:r>
        <w:rPr>
          <w:rFonts w:ascii="Times New Roman" w:hAnsi="Times New Roman"/>
          <w:color w:val="000000"/>
          <w:sz w:val="24"/>
          <w:u w:val="single"/>
        </w:rPr>
        <w:t>Commission</w:t>
      </w:r>
      <w:r>
        <w:rPr>
          <w:rFonts w:ascii="Times New Roman" w:hAnsi="Times New Roman"/>
          <w:color w:val="000000"/>
          <w:sz w:val="24"/>
        </w:rPr>
        <w:t>”) pursuant to the Securities Act of 1933, as amended (the “</w:t>
      </w:r>
      <w:r>
        <w:rPr>
          <w:rFonts w:ascii="Times New Roman" w:hAnsi="Times New Roman"/>
          <w:color w:val="000000"/>
          <w:sz w:val="24"/>
          <w:u w:val="single"/>
        </w:rPr>
        <w:t>Securities Act</w:t>
      </w:r>
      <w:r>
        <w:rPr>
          <w:rFonts w:ascii="Times New Roman" w:hAnsi="Times New Roman"/>
          <w:color w:val="000000"/>
          <w:sz w:val="24"/>
        </w:rPr>
        <w:t>”), in connection with the offering by the Company of up to an additional 15,500,000 shares of the Company’s Class A common stock, par value $0.001 per share (the “</w:t>
      </w:r>
      <w:r>
        <w:rPr>
          <w:rFonts w:ascii="Times New Roman" w:hAnsi="Times New Roman"/>
          <w:color w:val="000000"/>
          <w:sz w:val="24"/>
          <w:u w:val="single"/>
        </w:rPr>
        <w:t>Common Stock</w:t>
      </w:r>
      <w:r>
        <w:rPr>
          <w:rFonts w:ascii="Times New Roman" w:hAnsi="Times New Roman"/>
          <w:color w:val="000000"/>
          <w:sz w:val="24"/>
        </w:rPr>
        <w:t>”), issuable pursuant to the Petco Health and Wellness Company, Inc. 2021 Equity Incentive Plan, as amended (the “</w:t>
      </w:r>
      <w:r>
        <w:rPr>
          <w:rFonts w:ascii="Times New Roman" w:hAnsi="Times New Roman"/>
          <w:color w:val="000000"/>
          <w:sz w:val="24"/>
          <w:u w:val="single"/>
        </w:rPr>
        <w:t>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have examined the Plan and the originals, or photostatic or certified copies, of such records of the Company and certificates of officers of the Company and of public officials and such other documents as we have deemed relevant and necessary as the basis for the opinions set forth below. We have also made such other investigations as we have deemed relevant and necessary or appropriate in connection with the opinion hereinafter set forth.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 that would expand, modify or otherwise affect the terms of the Plan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Based upon the foregoing examination and in reliance thereon, and subject to the assumptions stated and in reliance on statements of fact contained in the documents that we have examined, we are of the opinion that the shares of Common Stock issuable under the Plan, when issued and sold in accordance with the terms of the Plan and against payment therefor, and when the Registration Statement has become effective under the Securities Act, will be validly issued, fully paid and non-assessable.</w:t>
      </w:r>
    </w:p>
    <w:p>
      <w:pPr>
        <w:pStyle w:val="TextBody"/>
        <w:bidi w:val="0"/>
        <w:jc w:val="left"/>
        <w:rPr>
          <w:rFonts w:ascii="Arial" w:hAnsi="Arial"/>
          <w:b/>
          <w:color w:val="000000"/>
          <w:sz w:val="14"/>
        </w:rPr>
      </w:pPr>
      <w:r>
        <w:rPr>
          <w:rFonts w:ascii="Arial" w:hAnsi="Arial"/>
          <w:b/>
          <w:color w:val="000000"/>
          <w:sz w:val="14"/>
        </w:rPr>
        <w:t>Gibson, Dunn &amp; Crutcher LLP</w:t>
      </w:r>
    </w:p>
    <w:p>
      <w:pPr>
        <w:pStyle w:val="TextBody"/>
        <w:bidi w:val="0"/>
        <w:jc w:val="left"/>
        <w:rPr>
          <w:rFonts w:ascii="Arial" w:hAnsi="Arial"/>
          <w:color w:val="000000"/>
          <w:sz w:val="14"/>
        </w:rPr>
      </w:pPr>
      <w:r>
        <w:rPr>
          <w:rFonts w:ascii="Arial" w:hAnsi="Arial"/>
          <w:color w:val="000000"/>
          <w:sz w:val="14"/>
        </w:rPr>
        <w:t>2001 Ross Avenue Suite 2100 | Dallas, TX 75201-2923 | T: 214.698.3100 | F: 214.571.2900 | gibsondunn.com</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62" w:type="dxa"/>
        <w:jc w:val="left"/>
        <w:tblInd w:w="0" w:type="dxa"/>
        <w:tblLayout w:type="fixed"/>
        <w:tblCellMar>
          <w:top w:w="28" w:type="dxa"/>
          <w:left w:w="28" w:type="dxa"/>
          <w:bottom w:w="28" w:type="dxa"/>
          <w:right w:w="28" w:type="dxa"/>
        </w:tblCellMar>
      </w:tblPr>
      <w:tblGrid>
        <w:gridCol w:w="4126"/>
        <w:gridCol w:w="1936"/>
      </w:tblGrid>
      <w:tr>
        <w:trPr/>
        <w:tc>
          <w:tcPr>
            <w:tcW w:w="412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Petco Health and Wellness Company, Inc.</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4"/>
              </w:rPr>
            </w:pPr>
            <w:r>
              <w:rPr>
                <w:rFonts w:ascii="Times New Roman" w:hAnsi="Times New Roman"/>
                <w:color w:val="000000"/>
                <w:sz w:val="24"/>
              </w:rPr>
              <w:t>September</w:t>
            </w:r>
            <w:r>
              <w:rPr>
                <w:rFonts w:ascii="Times New Roman" w:hAnsi="Times New Roman"/>
                <w:caps/>
                <w:color w:val="000000"/>
                <w:sz w:val="24"/>
              </w:rPr>
              <w:t> 4, 2026</w:t>
            </w:r>
          </w:p>
        </w:tc>
      </w:tr>
      <w:tr>
        <w:trPr/>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Page 2</w:t>
            </w:r>
          </w:p>
        </w:tc>
      </w:tr>
    </w:tbl>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We render no opinion herein as to matters involving the laws of any jurisdiction other than the Delaware General Corporation Law (the “</w:t>
      </w:r>
      <w:r>
        <w:rPr>
          <w:rFonts w:ascii="Times New Roman" w:hAnsi="Times New Roman"/>
          <w:color w:val="000000"/>
          <w:sz w:val="24"/>
          <w:u w:val="single"/>
        </w:rPr>
        <w:t>DGCL</w:t>
      </w:r>
      <w:r>
        <w:rPr>
          <w:rFonts w:ascii="Times New Roman" w:hAnsi="Times New Roman"/>
          <w:color w:val="000000"/>
          <w:sz w:val="24"/>
        </w:rPr>
        <w:t>”). This opinion is limited to the effect of the current state of the law of the DGCL and the facts as they currently exist. We assume no obligation to revise or supplement this opinion in the event of future changes in such law or the interpretations thereof or such facts. We express no opinion regarding any state securities laws or regulations.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consent to the filing of this opinion as an exhibit to the Registration Statement. In giving this consent, we do not thereby admit that we are within the category of persons whose consent is required under Section 7 of the Securities Act or the Rules and Regulations of the Commission.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Gibson, Dunn &amp; Crutcher LLP</w:t>
      </w:r>
    </w:p>
    <w:p>
      <w:pPr>
        <w:pStyle w:val="TextBody"/>
        <w:bidi w:val="0"/>
        <w:jc w:val="left"/>
        <w:rPr/>
      </w:pPr>
      <w:r>
        <w:rPr/>
        <w:t> </w:t>
      </w:r>
    </w:p>
    <w:p>
      <w:pPr>
        <w:pStyle w:val="TextBody"/>
        <w:bidi w:val="0"/>
        <w:spacing w:before="0" w:after="480"/>
        <w:jc w:val="left"/>
        <w:rPr>
          <w:rFonts w:ascii="Times New Roman" w:hAnsi="Times New Roman"/>
          <w:caps/>
          <w:color w:val="000000"/>
          <w:sz w:val="24"/>
        </w:rPr>
      </w:pPr>
      <w:r>
        <w:rPr>
          <w:rFonts w:ascii="Times New Roman" w:hAnsi="Times New Roman"/>
          <w:caps/>
          <w:color w:val="000000"/>
          <w:sz w:val="24"/>
        </w:rPr>
        <w:t>Gibson, Dunn &amp; Crutcher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woof-ex23_1.htm"/>
      <w:bookmarkStart w:id="6" w:name="kswoofex23_1"/>
      <w:bookmarkEnd w:id="5"/>
      <w:bookmarkEnd w:id="6"/>
      <w:r>
        <w:rPr>
          <w:rFonts w:ascii="Times New Roman" w:hAnsi="Times New Roman"/>
          <w:b/>
          <w:color w:val="000000"/>
          <w:sz w:val="20"/>
        </w:rPr>
        <w:t>Exhibit 23.1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(Form S-8) pertaining to the 2021 Equity Incentive Plan of Petco Health and Wellness Company, Inc. of our reports dated March 13, 2026, with respect to the consolidated financial statements of Petco Health and Wellness Company, Inc. and the effectiveness of internal control over financial reporting of Petco Health and Wellness Company, Inc. included in its Annual Report (Form 10-K) for the year ended January 31, 2026,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Diego, CA</w:t>
      </w:r>
    </w:p>
    <w:p>
      <w:pPr>
        <w:pStyle w:val="TextBody"/>
        <w:bidi w:val="0"/>
        <w:jc w:val="left"/>
        <w:rPr>
          <w:rFonts w:ascii="Times New Roman" w:hAnsi="Times New Roman"/>
          <w:color w:val="000000"/>
          <w:sz w:val="20"/>
        </w:rPr>
      </w:pPr>
      <w:r>
        <w:rPr>
          <w:rFonts w:ascii="Times New Roman" w:hAnsi="Times New Roman"/>
          <w:color w:val="000000"/>
          <w:sz w:val="20"/>
        </w:rPr>
        <w:t>September 4,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36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woof-exfiling_fees.htm"/>
      <w:bookmarkStart w:id="8" w:name="kswoofexfiling_fees"/>
      <w:bookmarkStart w:id="9" w:name="woof-exfiling_fees.htm"/>
      <w:bookmarkStart w:id="10" w:name="kswoofexfiling_fees"/>
      <w:bookmarkEnd w:id="9"/>
      <w:bookmarkEnd w:id="10"/>
      <w:r>
        <w:br w:type="page"/>
      </w:r>
    </w:p>
    <w:tbl>
      <w:tblPr>
        <w:tblW w:w="4400" w:type="dxa"/>
        <w:jc w:val="left"/>
        <w:tblInd w:w="0" w:type="dxa"/>
        <w:tblLayout w:type="fixed"/>
        <w:tblCellMar>
          <w:top w:w="28" w:type="dxa"/>
          <w:left w:w="28" w:type="dxa"/>
          <w:bottom w:w="28" w:type="dxa"/>
          <w:right w:w="28" w:type="dxa"/>
        </w:tblCellMar>
      </w:tblPr>
      <w:tblGrid>
        <w:gridCol w:w="4246"/>
        <w:gridCol w:w="154"/>
      </w:tblGrid>
      <w:tr>
        <w:trPr/>
        <w:tc>
          <w:tcPr>
            <w:tcW w:w="440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24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283"/>
              <w:jc w:val="left"/>
              <w:rPr>
                <w:b/>
              </w:rPr>
            </w:pPr>
            <w:r>
              <w:rPr>
                <w:b/>
              </w:rPr>
              <w:t xml:space="preserve">Petco Health &amp; Wellness Company,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2"/>
        <w:gridCol w:w="1295"/>
        <w:gridCol w:w="1204"/>
        <w:gridCol w:w="1222"/>
        <w:gridCol w:w="1706"/>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2" w:type="dxa"/>
            <w:tcBorders/>
            <w:shd w:fill="E7E7E2" w:val="clear"/>
            <w:vAlign w:val="center"/>
          </w:tcPr>
          <w:p>
            <w:pPr>
              <w:pStyle w:val="TableContents"/>
              <w:bidi w:val="0"/>
              <w:spacing w:before="0" w:after="283"/>
              <w:jc w:val="left"/>
              <w:rPr/>
            </w:pPr>
            <w:r>
              <w:rPr/>
              <w:t xml:space="preserve">Class A common stock, par value $0.001 per share </w:t>
            </w:r>
          </w:p>
        </w:tc>
        <w:tc>
          <w:tcPr>
            <w:tcW w:w="1295" w:type="dxa"/>
            <w:tcBorders/>
            <w:shd w:fill="E7E7E2" w:val="clear"/>
            <w:vAlign w:val="center"/>
          </w:tcPr>
          <w:p>
            <w:pPr>
              <w:pStyle w:val="TableContents"/>
              <w:bidi w:val="0"/>
              <w:spacing w:before="0" w:after="283"/>
              <w:jc w:val="center"/>
              <w:rPr/>
            </w:pPr>
            <w:r>
              <w:rPr/>
              <w:t xml:space="preserve">457(a) </w:t>
            </w:r>
          </w:p>
        </w:tc>
        <w:tc>
          <w:tcPr>
            <w:tcW w:w="1204" w:type="dxa"/>
            <w:tcBorders/>
            <w:shd w:fill="E7E7E2" w:val="clear"/>
            <w:vAlign w:val="center"/>
          </w:tcPr>
          <w:p>
            <w:pPr>
              <w:pStyle w:val="TableContents"/>
              <w:bidi w:val="0"/>
              <w:spacing w:before="0" w:after="283"/>
              <w:jc w:val="right"/>
              <w:rPr/>
            </w:pPr>
            <w:r>
              <w:rPr/>
              <w:t xml:space="preserve">15,500,000 </w:t>
            </w:r>
          </w:p>
        </w:tc>
        <w:tc>
          <w:tcPr>
            <w:tcW w:w="1222" w:type="dxa"/>
            <w:tcBorders/>
            <w:shd w:fill="E7E7E2" w:val="clear"/>
            <w:vAlign w:val="center"/>
          </w:tcPr>
          <w:p>
            <w:pPr>
              <w:pStyle w:val="TableContents"/>
              <w:bidi w:val="0"/>
              <w:spacing w:before="0" w:after="283"/>
              <w:jc w:val="right"/>
              <w:rPr/>
            </w:pPr>
            <w:r>
              <w:rPr/>
              <w:t xml:space="preserve">$ 2.63 </w:t>
            </w:r>
          </w:p>
        </w:tc>
        <w:tc>
          <w:tcPr>
            <w:tcW w:w="1706" w:type="dxa"/>
            <w:tcBorders/>
            <w:shd w:fill="E7E7E2" w:val="clear"/>
            <w:vAlign w:val="center"/>
          </w:tcPr>
          <w:p>
            <w:pPr>
              <w:pStyle w:val="TableContents"/>
              <w:bidi w:val="0"/>
              <w:spacing w:before="0" w:after="283"/>
              <w:jc w:val="right"/>
              <w:rPr/>
            </w:pPr>
            <w:r>
              <w:rPr/>
              <w:t xml:space="preserve">$ 40,765,000.00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$ 5,629.65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11" w:name="MaxAggtOfferingPrice"/>
            <w:bookmarkEnd w:id="11"/>
            <w:r>
              <w:rPr/>
              <w:t xml:space="preserve">$ 40,765,000.00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$ 5,629.65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$ 5,629.65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on Form S-8 shall be deemed to cover any additional shares of Class A common stock, par value $0.001 per share (the "Common Stock") of Petco Health and Wellness Company, Inc. that may be issued pursuant to the Petco Health and Wellness Company, Inc. 2021 Equity Incentive Plan (as amended, the "Plan") as a result of any stock dividend, stock split, recapitalization or other similar transaction, and any other securities with respect to which the outstanding shares are converted or exchanged. The price per share with respect to shares of Class A Common Stock issuable under the Plan was calculated in accordance with Rule 457(c) and (h) of the Securities Act for purposes of calculating the registration fee based on the average of the high and low price of the Class A Common Stock on September 1,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26470/000119312521011537/d63587ds8.htm" TargetMode="External"/><Relationship Id="rId3" Type="http://schemas.openxmlformats.org/officeDocument/2006/relationships/hyperlink" Target="https://www.sec.gov/Archives/edgar/data/1826470/000119312523227635/d682991ds8.htm" TargetMode="External"/><Relationship Id="rId4" Type="http://schemas.openxmlformats.org/officeDocument/2006/relationships/hyperlink" Target="https://www.sec.gov/Archives/edgar/data/1826470/000119312521011439/d72007dex31.htm" TargetMode="External"/><Relationship Id="rId5" Type="http://schemas.openxmlformats.org/officeDocument/2006/relationships/hyperlink" Target="https://www.sec.gov/Archives/edgar/data/1826470/000119312523173967/d475965dex31.htm" TargetMode="External"/><Relationship Id="rId6" Type="http://schemas.openxmlformats.org/officeDocument/2006/relationships/hyperlink" Target="https://www.sec.gov/Archives/edgar/data/1826470/000119312525309620/woof-ex3_1.htm" TargetMode="External"/><Relationship Id="rId7" Type="http://schemas.openxmlformats.org/officeDocument/2006/relationships/hyperlink" Target="https://www.sec.gov/Archives/edgar/data/1826470/000119312521011439/d72007dex101.htm" TargetMode="External"/><Relationship Id="rId8" Type="http://schemas.openxmlformats.org/officeDocument/2006/relationships/hyperlink" Target="https://www.sec.gov/Archives/edgar/data/1826470/000119312523173967/d475965dex101.htm" TargetMode="External"/><Relationship Id="rId9" Type="http://schemas.openxmlformats.org/officeDocument/2006/relationships/hyperlink" Target="https://www.sec.gov/Archives/edgar/data/1826470/000182647026000047/woof-ex10_1.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2155</Words>
  <Characters>11478</Characters>
  <CharactersWithSpaces>13621</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