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83185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4000" w:right="2000" w:hanging="3992"/>
        <w:spacing w:after="0" w:line="305"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January 29, 2022</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001-39878</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-199390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p>
      <w:pPr>
        <w:spacing w:after="0" w:line="3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64770</wp:posOffset>
            </wp:positionV>
            <wp:extent cx="548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45"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2"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73" w:lineRule="exact"/>
        <w:rPr>
          <w:sz w:val="24"/>
          <w:szCs w:val="24"/>
          <w:color w:val="auto"/>
        </w:rPr>
      </w:pPr>
    </w:p>
    <w:p>
      <w:pPr>
        <w:sectPr>
          <w:pgSz w:w="11900" w:h="16838" w:orient="portrait"/>
          <w:cols w:equalWidth="0" w:num="2">
            <w:col w:w="7660" w:space="280"/>
            <w:col w:w="3300"/>
          </w:cols>
          <w:pgMar w:left="320" w:top="630"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5"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2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77470</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Class A Common Stock, par value $0.001 per share</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WOOF</w:t>
            </w:r>
          </w:p>
        </w:tc>
        <w:tc>
          <w:tcPr>
            <w:tcW w:w="100" w:type="dxa"/>
            <w:vAlign w:val="bottom"/>
          </w:tcPr>
          <w:p>
            <w:pPr>
              <w:spacing w:after="0"/>
              <w:rPr>
                <w:sz w:val="16"/>
                <w:szCs w:val="16"/>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20" w:lineRule="exact"/>
        <w:rPr>
          <w:sz w:val="24"/>
          <w:szCs w:val="24"/>
          <w:color w:val="auto"/>
        </w:rPr>
      </w:pPr>
    </w:p>
    <w:p>
      <w:pPr>
        <w:ind w:right="4060"/>
        <w:spacing w:after="0" w:line="190"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180"/>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25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39" w:lineRule="exact"/>
        <w:rPr>
          <w:sz w:val="24"/>
          <w:szCs w:val="24"/>
          <w:color w:val="auto"/>
        </w:rPr>
      </w:pPr>
    </w:p>
    <w:p>
      <w:pPr>
        <w:ind w:right="16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0" w:lineRule="exact"/>
        <w:rPr>
          <w:sz w:val="24"/>
          <w:szCs w:val="24"/>
          <w:color w:val="auto"/>
        </w:rPr>
      </w:pPr>
    </w:p>
    <w:p>
      <w:pPr>
        <w:ind w:right="40"/>
        <w:spacing w:after="0" w:line="257"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Common Stock on The Nasdaq Global Select Market on July 30, 2021, the last business day of the registrant’s most recently completed second fiscal quarter, was approximately $1.66 billion.</w:t>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A Common Stock outstanding as of March 22, 2022 was 227,444,570.</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B-1 Common Stock outstanding as of March 22, 2022 was 37,790,781.</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B-2 Common Stock outstanding as of March 22, 2022 was 37,790,781.</w:t>
      </w:r>
    </w:p>
    <w:p>
      <w:pPr>
        <w:spacing w:after="0" w:line="59" w:lineRule="exact"/>
        <w:rPr>
          <w:sz w:val="24"/>
          <w:szCs w:val="24"/>
          <w:color w:val="auto"/>
        </w:rPr>
      </w:pPr>
    </w:p>
    <w:p>
      <w:pPr>
        <w:spacing w:after="0"/>
        <w:tabs>
          <w:tab w:leader="none" w:pos="1580" w:val="left"/>
          <w:tab w:leader="none" w:pos="3180" w:val="left"/>
          <w:tab w:leader="none" w:pos="4640" w:val="left"/>
          <w:tab w:leader="none" w:pos="6780" w:val="left"/>
          <w:tab w:leader="none" w:pos="850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Ernst &amp; Young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San Diego, California</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53" w:lineRule="exact"/>
        <w:rPr>
          <w:sz w:val="24"/>
          <w:szCs w:val="24"/>
          <w:color w:val="auto"/>
        </w:rPr>
      </w:pPr>
    </w:p>
    <w:p>
      <w:pPr>
        <w:ind w:right="360"/>
        <w:spacing w:after="0" w:line="317" w:lineRule="auto"/>
        <w:rPr>
          <w:sz w:val="20"/>
          <w:szCs w:val="20"/>
          <w:color w:val="auto"/>
        </w:rPr>
      </w:pPr>
      <w:r>
        <w:rPr>
          <w:rFonts w:ascii="Arial" w:cs="Arial" w:eastAsia="Arial" w:hAnsi="Arial"/>
          <w:sz w:val="12"/>
          <w:szCs w:val="12"/>
          <w:color w:val="auto"/>
        </w:rPr>
        <w:t>The information required by Part III of this Annual Report on Form 10-K, to the extent not set forth herein, is incorporated herein by reference from the registrant’s definitive proxy statement to be filed pursuant to Regulation 14A in connection with the registrant’s 2022 annual meeting of stockholders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20" w:type="dxa"/>
            <w:vAlign w:val="bottom"/>
            <w:gridSpan w:val="9"/>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140" w:type="dxa"/>
            <w:vAlign w:val="bottom"/>
            <w:gridSpan w:val="3"/>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w:t>
            </w:r>
          </w:p>
        </w:tc>
        <w:tc>
          <w:tcPr>
            <w:tcW w:w="9440" w:type="dxa"/>
            <w:vAlign w:val="bottom"/>
            <w:gridSpan w:val="22"/>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440" w:type="dxa"/>
            <w:vAlign w:val="bottom"/>
            <w:gridSpan w:val="2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1B.</w:t>
            </w:r>
          </w:p>
        </w:tc>
        <w:tc>
          <w:tcPr>
            <w:tcW w:w="944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41">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8"/>
                <w:szCs w:val="18"/>
                <w:color w:val="auto"/>
              </w:rPr>
            </w:pPr>
          </w:p>
        </w:tc>
        <w:tc>
          <w:tcPr>
            <w:tcW w:w="740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Legal Proceedings</w:t>
              </w:r>
            </w:hyperlink>
          </w:p>
        </w:tc>
        <w:tc>
          <w:tcPr>
            <w:tcW w:w="810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440" w:type="dxa"/>
            <w:vAlign w:val="bottom"/>
            <w:gridSpan w:val="2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7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1"/>
          </w:tcPr>
          <w:p>
            <w:pPr>
              <w:spacing w:after="0" w:line="190"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Market for Registrant’s Common Equity, Related Stockholder Matters and Issuer Purchases of Equity Securities</w:t>
              </w:r>
            </w:hyperlink>
          </w:p>
        </w:tc>
        <w:tc>
          <w:tcPr>
            <w:tcW w:w="1360" w:type="dxa"/>
            <w:vAlign w:val="bottom"/>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[Reserved]</w:t>
              </w:r>
            </w:hyperlink>
          </w:p>
        </w:tc>
        <w:tc>
          <w:tcPr>
            <w:tcW w:w="864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Quantitative and Qualitative Disclosures About Market Risk</w:t>
              </w:r>
            </w:hyperlink>
          </w:p>
        </w:tc>
        <w:tc>
          <w:tcPr>
            <w:tcW w:w="508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8.</w:t>
            </w:r>
          </w:p>
        </w:tc>
        <w:tc>
          <w:tcPr>
            <w:tcW w:w="9440" w:type="dxa"/>
            <w:vAlign w:val="bottom"/>
            <w:gridSpan w:val="2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Changes in and Disagreements With Accountants on Accounting and Financial Disclosure</w:t>
              </w:r>
            </w:hyperlink>
          </w:p>
        </w:tc>
        <w:tc>
          <w:tcPr>
            <w:tcW w:w="292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5">
              <w:r>
                <w:rPr>
                  <w:rFonts w:ascii="Arial" w:cs="Arial" w:eastAsia="Arial" w:hAnsi="Arial"/>
                  <w:sz w:val="18"/>
                  <w:szCs w:val="18"/>
                  <w:color w:val="0000EE"/>
                  <w:w w:val="88"/>
                </w:rPr>
                <w:t>Controls and Procedures</w:t>
              </w:r>
            </w:hyperlink>
          </w:p>
        </w:tc>
        <w:tc>
          <w:tcPr>
            <w:tcW w:w="7660" w:type="dxa"/>
            <w:vAlign w:val="bottom"/>
            <w:gridSpan w:val="1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5">
              <w:r>
                <w:rPr>
                  <w:rFonts w:ascii="Arial" w:cs="Arial" w:eastAsia="Arial" w:hAnsi="Arial"/>
                  <w:sz w:val="18"/>
                  <w:szCs w:val="18"/>
                  <w:color w:val="0000EE"/>
                  <w:w w:val="92"/>
                </w:rPr>
                <w:t>Other Information</w:t>
              </w:r>
            </w:hyperlink>
          </w:p>
        </w:tc>
        <w:tc>
          <w:tcPr>
            <w:tcW w:w="812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9C.</w:t>
            </w:r>
          </w:p>
        </w:tc>
        <w:tc>
          <w:tcPr>
            <w:tcW w:w="944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Disclosure Regarding Foreign Jurisdictions that Prevent Inspections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47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0"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Directors, Executive Officers and Corporate Governance</w:t>
              </w:r>
            </w:hyperlink>
          </w:p>
        </w:tc>
        <w:tc>
          <w:tcPr>
            <w:tcW w:w="5340" w:type="dxa"/>
            <w:vAlign w:val="bottom"/>
            <w:gridSpan w:val="8"/>
          </w:tcPr>
          <w:p>
            <w:pPr>
              <w:spacing w:after="0"/>
              <w:rPr>
                <w:sz w:val="16"/>
                <w:szCs w:val="16"/>
                <w:color w:val="auto"/>
              </w:rPr>
            </w:pPr>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11.</w:t>
            </w:r>
          </w:p>
        </w:tc>
        <w:tc>
          <w:tcPr>
            <w:tcW w:w="9440" w:type="dxa"/>
            <w:vAlign w:val="bottom"/>
            <w:gridSpan w:val="2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Security Ownership of Certain Beneficial Owners and Management and Related Stockholder Matters</w:t>
              </w:r>
            </w:hyperlink>
          </w:p>
        </w:tc>
        <w:tc>
          <w:tcPr>
            <w:tcW w:w="21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Certain Relationships and Related Transactions, and Director Independence</w:t>
              </w:r>
            </w:hyperlink>
          </w:p>
        </w:tc>
        <w:tc>
          <w:tcPr>
            <w:tcW w:w="39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14.</w:t>
            </w:r>
          </w:p>
        </w:tc>
        <w:tc>
          <w:tcPr>
            <w:tcW w:w="9440" w:type="dxa"/>
            <w:vAlign w:val="bottom"/>
            <w:gridSpan w:val="2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79"/>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Item 15.</w:t>
            </w:r>
          </w:p>
        </w:tc>
        <w:tc>
          <w:tcPr>
            <w:tcW w:w="9440" w:type="dxa"/>
            <w:vAlign w:val="bottom"/>
            <w:gridSpan w:val="22"/>
          </w:tcPr>
          <w:p>
            <w:pPr>
              <w:spacing w:after="0" w:line="190" w:lineRule="exact"/>
              <w:rPr>
                <w:rFonts w:ascii="Arial" w:cs="Arial" w:eastAsia="Arial" w:hAnsi="Arial"/>
                <w:sz w:val="18"/>
                <w:szCs w:val="18"/>
                <w:color w:val="0000EE"/>
              </w:rPr>
            </w:pPr>
            <w:hyperlink w:anchor="page97">
              <w:r>
                <w:rPr>
                  <w:rFonts w:ascii="Arial" w:cs="Arial" w:eastAsia="Arial" w:hAnsi="Arial"/>
                  <w:sz w:val="18"/>
                  <w:szCs w:val="18"/>
                  <w:color w:val="0000EE"/>
                </w:rPr>
                <w:t>Exhibits, Financial Statement Schedules</w:t>
              </w:r>
            </w:hyperlink>
          </w:p>
        </w:tc>
        <w:tc>
          <w:tcPr>
            <w:tcW w:w="660" w:type="dxa"/>
            <w:vAlign w:val="bottom"/>
          </w:tcPr>
          <w:p>
            <w:pPr>
              <w:jc w:val="right"/>
              <w:spacing w:after="0" w:line="190"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2"/>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Form 10-K Summary</w:t>
              </w:r>
            </w:hyperlink>
          </w:p>
        </w:tc>
        <w:tc>
          <w:tcPr>
            <w:tcW w:w="654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0" w:type="dxa"/>
            <w:vAlign w:val="bottom"/>
            <w:gridSpan w:val="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34"/>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gridSpan w:val="16"/>
          </w:tcPr>
          <w:p>
            <w:pPr>
              <w:ind w:left="44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u w:val="single" w:color="auto"/>
          <w:color w:val="auto"/>
        </w:rPr>
        <w:t>Note on the Presentation</w:t>
      </w:r>
    </w:p>
    <w:p>
      <w:pPr>
        <w:spacing w:after="0" w:line="121" w:lineRule="exact"/>
        <w:rPr>
          <w:sz w:val="20"/>
          <w:szCs w:val="20"/>
          <w:color w:val="auto"/>
        </w:rPr>
      </w:pPr>
    </w:p>
    <w:p>
      <w:pPr>
        <w:ind w:right="140" w:firstLine="863"/>
        <w:spacing w:after="0" w:line="257" w:lineRule="auto"/>
        <w:rPr>
          <w:sz w:val="20"/>
          <w:szCs w:val="20"/>
          <w:color w:val="auto"/>
        </w:rPr>
      </w:pPr>
      <w:r>
        <w:rPr>
          <w:rFonts w:ascii="Arial" w:cs="Arial" w:eastAsia="Arial" w:hAnsi="Arial"/>
          <w:sz w:val="18"/>
          <w:szCs w:val="18"/>
          <w:color w:val="auto"/>
        </w:rPr>
        <w:t>Unless otherwise indicated or the context otherwise requires, references in this Annual Report on Form 10-K to (i) “Petco,” “our company,” “we,” “our,” and “us,” or like terms, refer to Petco Health and Wellness Company, Inc. and/or its subsidiaries, individually and/or collectively, and (ii) “common stock” refer to our Class A common stock, our Class B-1 common stock and our Class B-2 common stock, collectively. References to our certificate of incorporation and bylaws are to our second amended and restated certificate of incorporation and our second amended and restated bylaws, respectively.</w:t>
      </w:r>
    </w:p>
    <w:p>
      <w:pPr>
        <w:spacing w:after="0" w:line="188" w:lineRule="exact"/>
        <w:rPr>
          <w:sz w:val="20"/>
          <w:szCs w:val="20"/>
          <w:color w:val="auto"/>
        </w:rPr>
      </w:pPr>
    </w:p>
    <w:p>
      <w:pPr>
        <w:ind w:firstLine="864"/>
        <w:spacing w:after="0" w:line="286" w:lineRule="auto"/>
        <w:rPr>
          <w:sz w:val="20"/>
          <w:szCs w:val="20"/>
          <w:color w:val="auto"/>
        </w:rPr>
      </w:pPr>
      <w:r>
        <w:rPr>
          <w:rFonts w:ascii="Arial" w:cs="Arial" w:eastAsia="Arial" w:hAnsi="Arial"/>
          <w:sz w:val="17"/>
          <w:szCs w:val="17"/>
          <w:color w:val="auto"/>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w:t>
      </w:r>
    </w:p>
    <w:p>
      <w:pPr>
        <w:spacing w:after="0" w:line="165" w:lineRule="exact"/>
        <w:rPr>
          <w:sz w:val="20"/>
          <w:szCs w:val="20"/>
          <w:color w:val="auto"/>
        </w:rPr>
      </w:pPr>
    </w:p>
    <w:p>
      <w:pPr>
        <w:ind w:right="60" w:firstLine="864"/>
        <w:spacing w:after="0" w:line="263" w:lineRule="auto"/>
        <w:rPr>
          <w:sz w:val="20"/>
          <w:szCs w:val="20"/>
          <w:color w:val="auto"/>
        </w:rPr>
      </w:pPr>
      <w:r>
        <w:rPr>
          <w:rFonts w:ascii="Arial" w:cs="Arial" w:eastAsia="Arial" w:hAnsi="Arial"/>
          <w:sz w:val="18"/>
          <w:szCs w:val="18"/>
          <w:color w:val="auto"/>
        </w:rPr>
        <w:t>We report on the basis of a 52- or 53-week fiscal year, which ends on the Saturday closest to January 31. References to “fiscal year” mean the year in which that fiscal year began. For example, references to fiscal 2021 refer to the fiscal year beginning January 31, 2021 and ending January 29, 2022.</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Industry and Market Data</w:t>
      </w:r>
    </w:p>
    <w:p>
      <w:pPr>
        <w:spacing w:after="0" w:line="229" w:lineRule="exact"/>
        <w:rPr>
          <w:sz w:val="20"/>
          <w:szCs w:val="20"/>
          <w:color w:val="auto"/>
        </w:rPr>
      </w:pPr>
    </w:p>
    <w:p>
      <w:pPr>
        <w:ind w:firstLine="864"/>
        <w:spacing w:after="0" w:line="287" w:lineRule="auto"/>
        <w:rPr>
          <w:sz w:val="20"/>
          <w:szCs w:val="20"/>
          <w:color w:val="auto"/>
        </w:rPr>
      </w:pPr>
      <w:r>
        <w:rPr>
          <w:rFonts w:ascii="Arial" w:cs="Arial" w:eastAsia="Arial" w:hAnsi="Arial"/>
          <w:sz w:val="16"/>
          <w:szCs w:val="16"/>
          <w:color w:val="auto"/>
        </w:rPr>
        <w:t>This Annual Report on Form 10-K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in Part I, Item 1A of this Annual Report on Form 10-K. As a result, although we believe that these sources are reliable, we have not independently verified the information.</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0" w:firstLine="589"/>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other than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the COVID-19 pandemic on our business. Forward-looking and other statements in this Annual Report on Form 10-K may also address our progress, plans, and goals with respect to sustainability initiatives, and the inclusion of such statements is not an indication that these contents are necessarily material to investors or required to be disclosed in Petco’s filings with the U.S. Securities and Exchange Commission.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64" w:lineRule="exact"/>
        <w:rPr>
          <w:sz w:val="20"/>
          <w:szCs w:val="20"/>
          <w:color w:val="auto"/>
        </w:rPr>
      </w:pPr>
    </w:p>
    <w:p>
      <w:pPr>
        <w:ind w:right="100" w:firstLine="589"/>
        <w:spacing w:after="0" w:line="286" w:lineRule="auto"/>
        <w:rPr>
          <w:sz w:val="20"/>
          <w:szCs w:val="20"/>
          <w:color w:val="auto"/>
        </w:rPr>
      </w:pPr>
      <w:r>
        <w:rPr>
          <w:rFonts w:ascii="Arial" w:cs="Arial" w:eastAsia="Arial" w:hAnsi="Arial"/>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Annual Report on Form 10-</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K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85"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Annual Report on Form 10-K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(vii) failure to effectively manage our costs; (viii) our reliance on our information technology systems; (ix) our ability to prevent or effectively respond to 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 in Ukraine), health crises, and pandemics, including the potential effects that the ongoing COVID-19 pandemic and/or corresponding macroeconomic uncertainty could have on our financial position, results of operations and cash flows;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and (xx) the other risks, uncertainties and other factors identified herein under “Risk Factors” and “Management’s Discussion and Analysis of Financial Condition and Results of Operations.” The occurrence of any such factors could significantly alter the results set forth in these statements.</w:t>
      </w:r>
    </w:p>
    <w:p>
      <w:pPr>
        <w:spacing w:after="0" w:line="16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ind w:right="80" w:firstLine="589"/>
        <w:spacing w:after="0" w:line="257"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17" w:lineRule="exact"/>
        <w:rPr>
          <w:sz w:val="20"/>
          <w:szCs w:val="20"/>
          <w:color w:val="auto"/>
        </w:rPr>
      </w:pPr>
    </w:p>
    <w:p>
      <w:pPr>
        <w:ind w:left="1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consumer spending or a change in consumer preferences or demographics could reduce our sales or profitability and adversely affect our business.</w:t>
      </w:r>
    </w:p>
    <w:p>
      <w:pPr>
        <w:spacing w:after="0" w:line="62"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of our business depends in part on our ability to accurately predict consumer trends, successfully introduce new products and services, improve existing products and services, and expand into new offerings.</w:t>
      </w:r>
    </w:p>
    <w:p>
      <w:pPr>
        <w:spacing w:after="0" w:line="62" w:lineRule="exact"/>
        <w:rPr>
          <w:rFonts w:ascii="Arial" w:cs="Arial" w:eastAsia="Arial" w:hAnsi="Arial"/>
          <w:sz w:val="18"/>
          <w:szCs w:val="18"/>
          <w:color w:val="auto"/>
        </w:rPr>
      </w:pPr>
    </w:p>
    <w:p>
      <w:pPr>
        <w:ind w:left="1160" w:right="780" w:hanging="572"/>
        <w:spacing w:after="0" w:line="308"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38" w:lineRule="exact"/>
        <w:rPr>
          <w:rFonts w:ascii="Arial" w:cs="Arial" w:eastAsia="Arial" w:hAnsi="Arial"/>
          <w:sz w:val="17"/>
          <w:szCs w:val="17"/>
          <w:color w:val="auto"/>
        </w:rPr>
      </w:pPr>
    </w:p>
    <w:p>
      <w:pPr>
        <w:ind w:left="1160" w:right="28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execute our growth strategies successfully or manage and sustain our growth and, as a result, our business may be adversely affected.</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recruiting and retaining skilled veterinarians due to shortages that could disrupt our business.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various risks as an e-commerce retailer.</w:t>
      </w:r>
    </w:p>
    <w:p>
      <w:pPr>
        <w:spacing w:after="0" w:line="144"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generate or obtain sufficient capital to finance our growth strategies, we may be unable to sustain our growth and our business may be adversely affected.</w:t>
      </w:r>
    </w:p>
    <w:p>
      <w:pPr>
        <w:spacing w:after="0" w:line="62" w:lineRule="exact"/>
        <w:rPr>
          <w:rFonts w:ascii="Arial" w:cs="Arial" w:eastAsia="Arial" w:hAnsi="Arial"/>
          <w:sz w:val="18"/>
          <w:szCs w:val="18"/>
          <w:color w:val="auto"/>
        </w:rPr>
      </w:pPr>
    </w:p>
    <w:p>
      <w:pPr>
        <w:ind w:left="1160" w:right="160" w:hanging="572"/>
        <w:spacing w:after="0" w:line="26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75" w:lineRule="exact"/>
        <w:rPr>
          <w:rFonts w:ascii="Arial" w:cs="Arial" w:eastAsia="Arial" w:hAnsi="Arial"/>
          <w:sz w:val="18"/>
          <w:szCs w:val="18"/>
          <w:color w:val="auto"/>
        </w:rPr>
      </w:pPr>
    </w:p>
    <w:p>
      <w:pPr>
        <w:ind w:left="1160" w:right="60" w:hanging="572"/>
        <w:spacing w:after="0" w:line="286"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57" w:lineRule="exact"/>
        <w:rPr>
          <w:rFonts w:ascii="Arial" w:cs="Arial" w:eastAsia="Arial" w:hAnsi="Arial"/>
          <w:sz w:val="17"/>
          <w:szCs w:val="17"/>
          <w:color w:val="auto"/>
        </w:rPr>
      </w:pPr>
    </w:p>
    <w:p>
      <w:pPr>
        <w:ind w:left="1160" w:right="5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arising from claims that we do not properly care for animals we handle or sell could adversely affect how we are perceived by the public and reduce our sales and profitability.</w:t>
      </w:r>
    </w:p>
    <w:p>
      <w:pPr>
        <w:spacing w:after="0" w:line="62"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operating results may fluctuate due to the timing of expenses, new pet care center openings, pet care center closures, and other factors.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 food safety, quality, and health concerns could adversely affect our business.</w:t>
      </w:r>
    </w:p>
    <w:p>
      <w:pPr>
        <w:spacing w:after="0" w:line="144" w:lineRule="exact"/>
        <w:rPr>
          <w:rFonts w:ascii="Arial" w:cs="Arial" w:eastAsia="Arial" w:hAnsi="Arial"/>
          <w:sz w:val="18"/>
          <w:szCs w:val="18"/>
          <w:color w:val="auto"/>
        </w:rPr>
      </w:pPr>
    </w:p>
    <w:p>
      <w:pPr>
        <w:ind w:left="1160" w:right="2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prices and availability of certain commodities, such as grains and meat protein, could materially adversely affect our operating results.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attract and retain quality employees and experienced management personnel could adversely affect our performance.</w:t>
      </w:r>
    </w:p>
    <w:p>
      <w:pPr>
        <w:spacing w:after="0" w:line="155" w:lineRule="exact"/>
        <w:rPr>
          <w:rFonts w:ascii="Arial" w:cs="Arial" w:eastAsia="Arial" w:hAnsi="Arial"/>
          <w:sz w:val="17"/>
          <w:szCs w:val="17"/>
          <w:color w:val="auto"/>
        </w:rPr>
      </w:pPr>
    </w:p>
    <w:p>
      <w:pPr>
        <w:ind w:left="1160" w:right="60" w:hanging="572"/>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may be adversely affected by serious disruptions or catastrophic events, including public health issues, geopolitical events, and severe weather.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Risks Related to Legal and Regulatory Matters</w:t>
      </w:r>
    </w:p>
    <w:p>
      <w:pPr>
        <w:spacing w:after="0" w:line="117" w:lineRule="exact"/>
        <w:rPr>
          <w:sz w:val="20"/>
          <w:szCs w:val="20"/>
          <w:color w:val="auto"/>
        </w:rPr>
      </w:pPr>
    </w:p>
    <w:p>
      <w:pPr>
        <w:ind w:left="1160" w:right="4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5" w:lineRule="exact"/>
        <w:rPr>
          <w:rFonts w:ascii="Arial" w:cs="Arial" w:eastAsia="Arial" w:hAnsi="Arial"/>
          <w:sz w:val="18"/>
          <w:szCs w:val="18"/>
          <w:color w:val="auto"/>
        </w:rPr>
      </w:pPr>
    </w:p>
    <w:p>
      <w:pPr>
        <w:ind w:left="1160" w:right="18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spacing w:after="0" w:line="75" w:lineRule="exact"/>
        <w:rPr>
          <w:rFonts w:ascii="Arial" w:cs="Arial" w:eastAsia="Arial" w:hAnsi="Arial"/>
          <w:sz w:val="18"/>
          <w:szCs w:val="18"/>
          <w:color w:val="auto"/>
        </w:rPr>
      </w:pPr>
    </w:p>
    <w:p>
      <w:pPr>
        <w:ind w:left="1160" w:right="8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75"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party to routine litigation arising in the ordinary course of business and may become involved in additional litigation, all of which could require time and attention from certain members of management and result in significant legal expenses.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environmental, health, and safety laws and regulations that could result in costs to us.</w:t>
      </w:r>
    </w:p>
    <w:p>
      <w:pPr>
        <w:spacing w:after="0" w:line="144" w:lineRule="exact"/>
        <w:rPr>
          <w:rFonts w:ascii="Arial" w:cs="Arial" w:eastAsia="Arial" w:hAnsi="Arial"/>
          <w:sz w:val="18"/>
          <w:szCs w:val="18"/>
          <w:color w:val="auto"/>
        </w:rPr>
      </w:pPr>
    </w:p>
    <w:p>
      <w:pPr>
        <w:ind w:left="1160" w:right="400" w:hanging="572"/>
        <w:spacing w:after="0" w:line="263"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spacing w:after="0" w:line="75"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aspirations, goals, and initiatives related to sustainability, and our public statements and disclosures regarding them, expose us to numerous risks.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17" w:lineRule="exact"/>
        <w:rPr>
          <w:sz w:val="20"/>
          <w:szCs w:val="20"/>
          <w:color w:val="auto"/>
        </w:rPr>
      </w:pPr>
    </w:p>
    <w:p>
      <w:pPr>
        <w:ind w:left="1160" w:right="54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cash flows and prevent us from fulfilling our obligations under existing debt agreements.</w:t>
      </w:r>
    </w:p>
    <w:p>
      <w:pPr>
        <w:spacing w:after="0" w:line="62"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agreements governing our indebtedness include restrictive covenants that limit our operating flexibility, which could harm our long-term interests.</w:t>
      </w:r>
    </w:p>
    <w:p>
      <w:pPr>
        <w:spacing w:after="0" w:line="62" w:lineRule="exact"/>
        <w:rPr>
          <w:rFonts w:ascii="Arial" w:cs="Arial" w:eastAsia="Arial" w:hAnsi="Arial"/>
          <w:sz w:val="18"/>
          <w:szCs w:val="18"/>
          <w:color w:val="auto"/>
        </w:rPr>
      </w:pPr>
    </w:p>
    <w:p>
      <w:pPr>
        <w:ind w:left="1160" w:right="120" w:hanging="572"/>
        <w:spacing w:after="0" w:line="263"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comply with the covenants contained in the credit agreements for the First Lien Term Loan and ABL Revolving Credit Facility, including as a result of events beyond our control, could result in an event of default that could cause repayment of our debt to be accelerated.</w:t>
      </w:r>
    </w:p>
    <w:p>
      <w:pPr>
        <w:spacing w:after="0" w:line="75"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borrowings permitted under the ABL Revolving Credit Facility may fluctuate significantly, which may adversely affect our liquidity, results of operations, and financial position.</w:t>
      </w:r>
    </w:p>
    <w:p>
      <w:pPr>
        <w:spacing w:after="0" w:line="62" w:lineRule="exact"/>
        <w:rPr>
          <w:rFonts w:ascii="Arial" w:cs="Arial" w:eastAsia="Arial" w:hAnsi="Arial"/>
          <w:sz w:val="18"/>
          <w:szCs w:val="18"/>
          <w:color w:val="auto"/>
        </w:rPr>
      </w:pPr>
    </w:p>
    <w:p>
      <w:pPr>
        <w:ind w:left="1160" w:right="6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ratings downgrade or other negative action by a ratings organization could adversely affect the trading price of the shares of our Class A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Class A Common Stock</w:t>
      </w:r>
    </w:p>
    <w:p>
      <w:pPr>
        <w:spacing w:after="0" w:line="117" w:lineRule="exact"/>
        <w:rPr>
          <w:sz w:val="20"/>
          <w:szCs w:val="20"/>
          <w:color w:val="auto"/>
        </w:rPr>
      </w:pPr>
    </w:p>
    <w:p>
      <w:pPr>
        <w:ind w:left="1160" w:right="26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62" w:lineRule="exact"/>
        <w:rPr>
          <w:rFonts w:ascii="Arial" w:cs="Arial" w:eastAsia="Arial" w:hAnsi="Arial"/>
          <w:sz w:val="18"/>
          <w:szCs w:val="18"/>
          <w:color w:val="auto"/>
        </w:rPr>
      </w:pPr>
    </w:p>
    <w:p>
      <w:pPr>
        <w:ind w:left="1160" w:right="200" w:hanging="572"/>
        <w:spacing w:after="0" w:line="263"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5" w:lineRule="exact"/>
        <w:rPr>
          <w:rFonts w:ascii="Arial" w:cs="Arial" w:eastAsia="Arial" w:hAnsi="Arial"/>
          <w:sz w:val="18"/>
          <w:szCs w:val="18"/>
          <w:color w:val="auto"/>
        </w:rPr>
      </w:pPr>
    </w:p>
    <w:p>
      <w:pPr>
        <w:ind w:left="1160" w:right="620" w:hanging="572"/>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holding company with nominal net worth and will depend on dividends and distributions from our subsidiaries to pay any dividends.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116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significant portion of our total outstanding shares may be sold into the market in the near future. This could cause the market price of our Class A common stock to drop significantly, even if our business is doing well.</w:t>
      </w:r>
    </w:p>
    <w:p>
      <w:pPr>
        <w:spacing w:after="0" w:line="62" w:lineRule="exact"/>
        <w:rPr>
          <w:rFonts w:ascii="Arial" w:cs="Arial" w:eastAsia="Arial" w:hAnsi="Arial"/>
          <w:sz w:val="18"/>
          <w:szCs w:val="18"/>
          <w:color w:val="auto"/>
        </w:rPr>
      </w:pPr>
    </w:p>
    <w:p>
      <w:pPr>
        <w:ind w:left="1160" w:right="500" w:hanging="572"/>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Building on more than 55 years of service focused on providing solutions for pets and the people who love and care for them, in recent years, we have transformed our business from a successful yet traditional retailer to a disruptive, fully-integrated, omnichannel provider of holistic pet health and wellness offerings, including premium products, services, and veterinary care. Through our integrated ecosystem, we provide our over 24 million total active customers with a comprehensive offering of differentiated products and services to fulfill their pets’ health and wellness needs through our more than 1,500 pet care centers in the U.S., Mexico and Puerto Rico, our digital channel, and our flexible fulfillment options.</w:t>
      </w:r>
    </w:p>
    <w:p>
      <w:pPr>
        <w:spacing w:after="0" w:line="68"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Our product offering leverages a broad, carefully curated assortment of owned and exclusive merchandise and partnerships with premium third-party brands to provide customers with high quality nutrition without artificial ingredients, complemented by a wide variety of premium pet care supplies and companion animals. While we offer pet parents a full spectrum of product choices within our high standards of nutrition and quality, our assortment is weighted towards premium products to address the needs of the growing number of health-conscious pet parents.</w:t>
      </w:r>
    </w:p>
    <w:p>
      <w:pPr>
        <w:spacing w:after="0" w:line="63"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We integrate this differentiated product offering with our services business in order to build on the foundation of treating the whole pet, including their physical, mental and social well-being. Our service offering includes a broad suite of pet health services, including veterinary care, grooming, and training. This offering is further enhanced by a rapidly expanding, high quality, accessible, comprehensive veterinary care platform. Leveraging our decade of experience in Vetco mobile clinics, which we operate approximately 1,000 of on a weekly basis, we are rapidly expanding our full service, general practice veterinary hospitals complemented by tele-health capabilities. As of January 29, 2022, we operated 197 full service veterinary hospitals with planned expansion to approximately 900 hospitals over time.</w:t>
      </w:r>
    </w:p>
    <w:p>
      <w:pPr>
        <w:spacing w:after="0" w:line="192"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multichannel,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1,433 pet care centers across the U.S. and Puerto Rico, we are able to offer our comprehensive product and service offering in a localized manner with a meaningful last-mile advantage over much of our competition. Through our connected platform, we serve our customers in a differentiated manner by offering the convenience of buy online and pick up in store (“BOPUS”), curbside pick-up, same day delivery and ship from store. In addition to providing differentiated products and services, our over 24,000 knowledgeable, passionate partners provide important high-quality advice to our customers in our pet care centers. The full value of our health and wellness ecosystem is realized for customers through our Vital Care membership program. From the nutrition and supplies pets need each day, to the services that keep them at optimal health, Vital Care makes it easier and more affordable for pet parents to care for their pet’s whole health all in one place. Vital Care memberships are at the top of our integrated loyalty programs, followed by our perks program that provides rewards for frequent purchasing, and our Pals Rewards loyalty program, whose members accounted for approximately 80% of transactions in fiscal 2021.</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Dynamics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U.S. pet care industry is large and growing, serving millions of households with pets, and represented a total addressable market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$119 billion in 2021. Since 2008, the industry has exhibited steady growth driven by an increase in the underlying pet population coupled with strong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tailwinds associated with pet humanization. Due to the essential, repeat nature of pet care, the industry has demonstrated resilience across economic cycles,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evidenced by the strong industry performance during the Great Recession from 2008 to 2010.</w:t>
      </w:r>
    </w:p>
    <w:p>
      <w:pPr>
        <w:spacing w:after="0" w:line="211"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In addition, as a result of the COVID-19 pandemic, the industry experienced a significant increase in household pets and therefore demand, which is expected to be a tailwind for years to come. In fiscal 2020 and fiscal 2021, U.S. households welcomed millions of incremental new pets into their homes that will need to be fed, groomed, vaccinated, and treated during their lives. Importantly, the majority of these new pet parents came from Millennial and Gen Z generations, who typically spend more on their pets. Given the larger pet population and expected continued pet humanization and premiumization trends, pet category growth in the U.S is expected to maintain a 7% compound annual growth rate (“CAGR”) through 2024, slightly down from the unusually elevated 9% growth levels during the pandemic, according to Packaged Facts and company internal estimates. With respect to our business, we are strategically focused on growing our presence in three of the fastest-growing areas of the market: veterinary care; e-commerce; and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right="120" w:firstLine="589"/>
        <w:spacing w:after="0" w:line="259" w:lineRule="auto"/>
        <w:rPr>
          <w:sz w:val="20"/>
          <w:szCs w:val="20"/>
          <w:color w:val="auto"/>
        </w:rPr>
      </w:pPr>
      <w:r>
        <w:rPr>
          <w:rFonts w:ascii="Arial" w:cs="Arial" w:eastAsia="Arial" w:hAnsi="Arial"/>
          <w:sz w:val="18"/>
          <w:szCs w:val="18"/>
          <w:color w:val="auto"/>
        </w:rPr>
        <w:t>As pet care demand continues to grow, we believe we are well-positioned to expand our total addressable market through new offerings, and to capture an outsized portion of the growing market as a fully-integrated, comprehensive pet care provider. Our owned and exclusive merchandise is unique relative to other large players in the category, driving competitive insulation and focusing on the highest growth categories within the pet industry, like fresh and frozen, as well as premium nutrition and supplies more broadly.</w:t>
      </w:r>
    </w:p>
    <w:p>
      <w:pPr>
        <w:spacing w:after="0" w:line="18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services categories we participate in within the U.S. are highly fragmented. As consumer expectations around customer experience, convenience, and technology evolve, we believe that we have a competitive advantage versus our competition given the integrated digital experience that we provide our customers, including online booking and customized care reminders.</w:t>
      </w:r>
    </w:p>
    <w:p>
      <w:pPr>
        <w:spacing w:after="0" w:line="184" w:lineRule="exact"/>
        <w:rPr>
          <w:sz w:val="20"/>
          <w:szCs w:val="20"/>
          <w:color w:val="auto"/>
        </w:rPr>
      </w:pPr>
    </w:p>
    <w:p>
      <w:pPr>
        <w:jc w:val="both"/>
        <w:ind w:right="220" w:firstLine="589"/>
        <w:spacing w:after="0" w:line="286" w:lineRule="auto"/>
        <w:rPr>
          <w:sz w:val="20"/>
          <w:szCs w:val="20"/>
          <w:color w:val="auto"/>
        </w:rPr>
      </w:pPr>
      <w:r>
        <w:rPr>
          <w:rFonts w:ascii="Arial" w:cs="Arial" w:eastAsia="Arial" w:hAnsi="Arial"/>
          <w:sz w:val="17"/>
          <w:szCs w:val="17"/>
          <w:color w:val="auto"/>
        </w:rPr>
        <w:t>We believe that we have built deep competitive “moats” through the breadth and depth of assortment of premium health and wellness products, services, and veterinary care that we offer across an integrated omnichannel platform, though we do compete with various peers in individual categories, including both large and small pet specialty retailers, as well as mass and grocery retailers to a lesser extent.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Transformation</w:t>
      </w:r>
    </w:p>
    <w:p>
      <w:pPr>
        <w:spacing w:after="0" w:line="229"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Our transformation over the past four years into the health and wellness company for pets and pet parents has been driven by the relentless execution of our team of channel and category experts with best-in-class experience from Fortune 100 companies, combined with deep experience in retail led by our CEO and Chairman, Ron Coughlin. Our highly qualified leadership team has implemented significant operational and cultural changes in our business, including a substantial acceleration of our digital capabilities, optimizing the effectiveness of pet care center partners through training, enhanced analytics tools and communications, step changing marketing and customer engagement return on investment, launching an owned veterinary hospital network, and scaling our pet health and wellness offerings. Specifically, we have:</w:t>
      </w:r>
    </w:p>
    <w:p>
      <w:pPr>
        <w:spacing w:after="0" w:line="66" w:lineRule="exact"/>
        <w:rPr>
          <w:sz w:val="20"/>
          <w:szCs w:val="20"/>
          <w:color w:val="auto"/>
        </w:rPr>
      </w:pPr>
    </w:p>
    <w:p>
      <w:pPr>
        <w:ind w:right="340" w:firstLine="589"/>
        <w:spacing w:after="0" w:line="273" w:lineRule="auto"/>
        <w:rPr>
          <w:sz w:val="20"/>
          <w:szCs w:val="20"/>
          <w:color w:val="auto"/>
        </w:rPr>
      </w:pPr>
      <w:r>
        <w:rPr>
          <w:rFonts w:ascii="Arial" w:cs="Arial" w:eastAsia="Arial" w:hAnsi="Arial"/>
          <w:sz w:val="17"/>
          <w:szCs w:val="17"/>
          <w:b w:val="1"/>
          <w:bCs w:val="1"/>
          <w:i w:val="1"/>
          <w:iCs w:val="1"/>
          <w:color w:val="auto"/>
        </w:rPr>
        <w:t>Built Leading Omnichannel Capabilities that Leverage our Physical Network</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Following decades of the rise of mega retailers and digital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migration, we’ve entered a new era of retail, what we call “Retail 3.0”, with consumers seeking fully integrated physical retail and omnichannel digital offerings, brought together with sticky services and enhanced by continuous innovation and an exceptional customer experience. Through that lens, we have developed a data-driven go-to-market platform consisting of robust digital capabilities and a strategic physical network of pet care centers woven together by a singular view of the customer. Our implementation of Retail 3.0 was catalyzed by the COVID-19 pandemic as pet parents became increasingly comfortable with digital interaction, coupled with a tangible return of retail traffic in early 2021 as consumers demonstrated that physical interaction was a critical way in which they want to interact with their retailer too.</w:t>
      </w:r>
    </w:p>
    <w:p>
      <w:pPr>
        <w:spacing w:after="0" w:line="176"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Through strategic investments, we’ve rebuilt our digital experience from the ground up beginning with relaunching our e-commerce platform and building an app with one of the highest utilization rates in the category, driving increasing spend per pet. We invested in improving the speed, navigation, personalization, and services access of our website and app to drive traffic and engagement. We focused on optimizing site merchandising, dynamic pricing capabilities, and leveraging advanced analytics and precision marketing to drive customer acquisition, monetization, and retention.</w:t>
      </w:r>
    </w:p>
    <w:p>
      <w:pPr>
        <w:spacing w:after="0" w:line="15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Further differentiating our business and creating scale advantages, we leverage our physical footprint as micro-distribution centers for our digital orders, including BOPUS, curbside pickup, same day delivery, and ship from store. Nearly all of our 1,433 pet care centers in the U.S. and Puerto Rico offer grooming and training services, while approximately 1,000 offer Vetco mobile clinics, and 197 offer full-service veterinary hospitals. We also operate 108 locations in Mexico through our joint venture with Grupo Gigante.</w:t>
      </w:r>
    </w:p>
    <w:p>
      <w:pPr>
        <w:spacing w:after="0" w:line="183" w:lineRule="exact"/>
        <w:rPr>
          <w:sz w:val="20"/>
          <w:szCs w:val="20"/>
          <w:color w:val="auto"/>
        </w:rPr>
      </w:pPr>
    </w:p>
    <w:p>
      <w:pPr>
        <w:ind w:firstLine="589"/>
        <w:spacing w:after="0" w:line="261" w:lineRule="auto"/>
        <w:rPr>
          <w:sz w:val="20"/>
          <w:szCs w:val="20"/>
          <w:color w:val="auto"/>
        </w:rPr>
      </w:pPr>
      <w:r>
        <w:rPr>
          <w:rFonts w:ascii="Arial" w:cs="Arial" w:eastAsia="Arial" w:hAnsi="Arial"/>
          <w:sz w:val="18"/>
          <w:szCs w:val="18"/>
          <w:b w:val="1"/>
          <w:bCs w:val="1"/>
          <w:i w:val="1"/>
          <w:iCs w:val="1"/>
          <w:color w:val="auto"/>
        </w:rPr>
        <w:t>Launched a Full-Service Veterinary Hospital Network, and Reinvented Grooming and Training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Pet services represent the most personalized,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sticky, high-touch part of the pet market. In addition to acting as a profitable driver of new customer acquisition, we believe our differentiated service platform helps deepen our competitive moats by promoting customer retention, driving physical visit frequency and digital engagement, increasing share of wallet, and building long-term loyalty.</w:t>
      </w:r>
    </w:p>
    <w:p>
      <w:pPr>
        <w:spacing w:after="0" w:line="184"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In veterinary services, we are creating a new paradigm in the industry with integrated owned hospitals under the Vetco Total Care brand. In fiscal 2017, we embarked on one of the fastest veterinary hospital build-outs in the industry to address the growing need for high quality, accessible pet healthcare consistent with our mission to improve the lives of pets and pet parents. As of the end of fiscal 2021, we offered full-service veterinary care in 197 pet care centers. By integrating these veterinary hospitals into existing pet care centers, we benefit from significant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 w:name="page9"/>
    <w:bookmarkEnd w:id="8"/>
    <w:p>
      <w:pPr>
        <w:ind w:right="280"/>
        <w:spacing w:after="0" w:line="286" w:lineRule="auto"/>
        <w:rPr>
          <w:sz w:val="20"/>
          <w:szCs w:val="20"/>
          <w:color w:val="auto"/>
        </w:rPr>
      </w:pPr>
      <w:r>
        <w:rPr>
          <w:rFonts w:ascii="Arial" w:cs="Arial" w:eastAsia="Arial" w:hAnsi="Arial"/>
          <w:sz w:val="17"/>
          <w:szCs w:val="17"/>
          <w:color w:val="auto"/>
        </w:rPr>
        <w:t>structural advantages compared to stand-alone veterinary care providers, including lower cost of acquisition and additional basket opportunities, driving both incremental service and merchandise sales, and further unlocking the large and growing prescription food and drug total addressable market. We believe this veterinary model enhances customer lifetime value, drives retention, and delivers long-term value to our stakeholders.</w:t>
      </w:r>
    </w:p>
    <w:p>
      <w:pPr>
        <w:spacing w:after="0" w:line="165" w:lineRule="exact"/>
        <w:rPr>
          <w:sz w:val="20"/>
          <w:szCs w:val="20"/>
          <w:color w:val="auto"/>
        </w:rPr>
      </w:pPr>
    </w:p>
    <w:p>
      <w:pPr>
        <w:ind w:right="220" w:firstLine="589"/>
        <w:spacing w:after="0" w:line="263" w:lineRule="auto"/>
        <w:rPr>
          <w:sz w:val="20"/>
          <w:szCs w:val="20"/>
          <w:color w:val="auto"/>
        </w:rPr>
      </w:pPr>
      <w:r>
        <w:rPr>
          <w:rFonts w:ascii="Arial" w:cs="Arial" w:eastAsia="Arial" w:hAnsi="Arial"/>
          <w:sz w:val="18"/>
          <w:szCs w:val="18"/>
          <w:color w:val="auto"/>
        </w:rPr>
        <w:t>In grooming, we have invested in digital integration, marketing, staff compensation, and other operational improvements, which have resulted in the acquisition of new customers and an increase in groomer retention. In training, we have led with innovation, and in fiscal 2021 we launched online training classes that can be conducted at home.</w:t>
      </w:r>
    </w:p>
    <w:p>
      <w:pPr>
        <w:spacing w:after="0" w:line="180" w:lineRule="exact"/>
        <w:rPr>
          <w:sz w:val="20"/>
          <w:szCs w:val="20"/>
          <w:color w:val="auto"/>
        </w:rPr>
      </w:pPr>
    </w:p>
    <w:p>
      <w:pPr>
        <w:ind w:firstLine="589"/>
        <w:spacing w:after="0" w:line="294" w:lineRule="auto"/>
        <w:rPr>
          <w:sz w:val="20"/>
          <w:szCs w:val="20"/>
          <w:color w:val="auto"/>
        </w:rPr>
      </w:pPr>
      <w:r>
        <w:rPr>
          <w:rFonts w:ascii="Arial" w:cs="Arial" w:eastAsia="Arial" w:hAnsi="Arial"/>
          <w:sz w:val="16"/>
          <w:szCs w:val="16"/>
          <w:b w:val="1"/>
          <w:bCs w:val="1"/>
          <w:i w:val="1"/>
          <w:iCs w:val="1"/>
          <w:color w:val="auto"/>
        </w:rPr>
        <w:t>Created a Highly Differentiated Owned and Exclusive Product Offering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offer a highly differentiated owned and exclusive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assortment that engenders strong customer loyalty and repeat purchasing. We have focused on three core product differentiating capabilities: nutritional expertise; exclusive partnerships; and a leading owned brand platform. As a testament to our commitment to pet health and wellness, in May 2019 we made the decision to pivot away from dog and cat food and treats that contain artificial ingredients, making us the only major national retailer in the industry to take a stand against artificial ingredients in dog and cat food. We utilized a best brands strategy to form new partnerships with some of the most highly regarded premium food brands in the industry, such as JustFoodForDogs, with whom we expanded our partnership with in March 2022.</w:t>
      </w:r>
    </w:p>
    <w:p>
      <w:pPr>
        <w:spacing w:after="0" w:line="164" w:lineRule="exact"/>
        <w:rPr>
          <w:sz w:val="20"/>
          <w:szCs w:val="20"/>
          <w:color w:val="auto"/>
        </w:rPr>
      </w:pPr>
    </w:p>
    <w:p>
      <w:pPr>
        <w:ind w:right="60" w:firstLine="589"/>
        <w:spacing w:after="0" w:line="255" w:lineRule="auto"/>
        <w:rPr>
          <w:sz w:val="20"/>
          <w:szCs w:val="20"/>
          <w:color w:val="auto"/>
        </w:rPr>
      </w:pPr>
      <w:r>
        <w:rPr>
          <w:rFonts w:ascii="Arial" w:cs="Arial" w:eastAsia="Arial" w:hAnsi="Arial"/>
          <w:sz w:val="18"/>
          <w:szCs w:val="18"/>
          <w:color w:val="auto"/>
        </w:rPr>
        <w:t>In 2019, we leveraged our established owned brand platform and capabilities to launch Reddy, a fashion-driven supplies brand, to complement WholeHearted, our premium food brand. We have grown our owned brand sales at a double digit CAGR between fiscal 2018 and fiscal 2021. In fiscal 2021, we generated approximately 27% of our product sales from owned brands—such as WholeHearted, Reddy, and Well &amp; Good. This not only enhances our merchandise mix, but also helps the Petco ecosystem attract and retain customers, and offers an enhanced margin profile. The combination of our food and supplies strategy, including owned and exclusive brands, has enabled us to offer a premium assortment of products, many of which are not available via online, mass or grocery competitors.</w:t>
      </w:r>
    </w:p>
    <w:p>
      <w:pPr>
        <w:spacing w:after="0" w:line="188" w:lineRule="exact"/>
        <w:rPr>
          <w:sz w:val="20"/>
          <w:szCs w:val="20"/>
          <w:color w:val="auto"/>
        </w:rPr>
      </w:pPr>
    </w:p>
    <w:p>
      <w:pPr>
        <w:ind w:right="180" w:firstLine="589"/>
        <w:spacing w:after="0" w:line="274" w:lineRule="auto"/>
        <w:rPr>
          <w:sz w:val="20"/>
          <w:szCs w:val="20"/>
          <w:color w:val="auto"/>
        </w:rPr>
      </w:pPr>
      <w:r>
        <w:rPr>
          <w:rFonts w:ascii="Arial" w:cs="Arial" w:eastAsia="Arial" w:hAnsi="Arial"/>
          <w:sz w:val="17"/>
          <w:szCs w:val="17"/>
          <w:b w:val="1"/>
          <w:bCs w:val="1"/>
          <w:i w:val="1"/>
          <w:iCs w:val="1"/>
          <w:color w:val="auto"/>
        </w:rPr>
        <w:t>Implemented a Performance Culture Led by Data Analytics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singular view of the customer across products, services, and channels,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insights from our loyalty programs, online purchasing and more, provides us with access to some of the richest data in the pet category. By investing in talent and data analytics capabilities, over the past two years, we’ve turned analytics and data science into a competitive advantage, including advanced capabilities in dynamic pricing, inventory optimization, merchandising, personalization, and precision marketing. With the tools to capture purchase, search, services utilization, as well as customer and pet demographics and preferences and more, we generate a 360-degree view of customer that serves as the foundation of our data ecosystem.</w:t>
      </w:r>
    </w:p>
    <w:p>
      <w:pPr>
        <w:spacing w:after="0" w:line="17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To enhance decision-making, we implemented new capabilities to leverage this data in our pet care centers, making it available in near real time for our pet care center general managers and field leadership teams through advanced sales reporting. We developed a user-friendly, action-focused dashboard (HUB), which enables our managers to track performance across multiple dimensions, identify opportunities, and execute strategies to drive incremental sales. We also simplified the key metrics that we utilize to track performance and align incentives against those metrics by rolling out a revamped incentive structure across our field organization.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100" w:firstLine="589"/>
        <w:spacing w:after="0" w:line="255" w:lineRule="auto"/>
        <w:rPr>
          <w:sz w:val="20"/>
          <w:szCs w:val="20"/>
          <w:color w:val="auto"/>
        </w:rPr>
      </w:pPr>
      <w:r>
        <w:rPr>
          <w:rFonts w:ascii="Arial" w:cs="Arial" w:eastAsia="Arial" w:hAnsi="Arial"/>
          <w:sz w:val="18"/>
          <w:szCs w:val="18"/>
          <w:color w:val="auto"/>
        </w:rPr>
        <w:t>Over the last two years, we have significantly elevated our marketing and media strategy as we established ourselves as the health and wellness company in the pet category. This repositioning started with making our offering more health and wellness-focused by eliminating certain food and treats with artificial ingredients, the removal of human-operated and bark-activated shock collars from our shelves in favor of free introductory positive reinforcement dog training classes, and the removal of traditional rawhide products from our shelves. With our new brand positioning and 360-degree data ecosystem, we use precision marketing to drive customer acquisition, monetization and retention across our business. This has enabled market share gains across brick and mortar and digital.</w:t>
      </w:r>
    </w:p>
    <w:p>
      <w:pPr>
        <w:spacing w:after="0" w:line="192"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For more information regarding our transformative investments, please read “Management’s Discussion and Analysis of Financial Condition and Results of Operations—Innovation and Transformation.”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17" w:lineRule="exact"/>
        <w:rPr>
          <w:sz w:val="20"/>
          <w:szCs w:val="20"/>
          <w:color w:val="auto"/>
        </w:rPr>
      </w:pPr>
    </w:p>
    <w:p>
      <w:pPr>
        <w:ind w:right="20" w:firstLine="539"/>
        <w:spacing w:after="0" w:line="273" w:lineRule="auto"/>
        <w:rPr>
          <w:sz w:val="20"/>
          <w:szCs w:val="20"/>
          <w:color w:val="auto"/>
        </w:rPr>
      </w:pPr>
      <w:r>
        <w:rPr>
          <w:rFonts w:ascii="Arial" w:cs="Arial" w:eastAsia="Arial" w:hAnsi="Arial"/>
          <w:sz w:val="17"/>
          <w:szCs w:val="17"/>
          <w:color w:val="auto"/>
        </w:rPr>
        <w:t>Our Petco partners are our most significant assets, critical to the delivery of our transformation and our continued progress. Our pet care center partners offer a level of customer engagement and content that is differentiated in retail and based on a true passion for pets. As of January 29, 2022, we had a total count of approximately 28,495 employees. Our partners are primarily employed on an at-will basis and are compensated through base salary and incentive programs. We strive for our partners to grow and develop in their careers, and offer competitive compensation and benefits programs, inventive compensation, as well as a range of health and wellness offerings. None of our employees are represented by labor unions or covered by collective bargaining agreements. We consider our relationship with our employees to be good.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employees are our partners and we strive to create an environment that embraces diverse backgrounds and perspectives. Our commitment to fostering a diverse, equitable, and inclusive environment is key to our mission of improving the lives of pets, pet parents, and the Petco partners who work for us. This commitment begins at the top, where our CEO sets annual people goals related to achieving long term workforce diversity, equity, and inclusion outcomes. Progress on our people goals is tracked and reviewed regularly with our executive team and our board of directors. We are committed to creating a culture where partners feel as if they can achieve their career goals through ongoing growth and development opportunities, and fair and transparent performance management and promotion processes. So that our partners feel valued and heard, we gather and respond to our partners’ feedback, including, but not limited to, anonymous, periodic, formal, partner engagement surveys, round table sessions, and one-on-one interactions. Based on the feedback received, leaders review and create action plans in an effort to drive meaningful changes in our business. In addition, all Petco leaders participate in diversity, equity, and inclusion training aimed at building respect in the workplace.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Communities</w:t>
      </w:r>
    </w:p>
    <w:p>
      <w:pPr>
        <w:spacing w:after="0" w:line="225" w:lineRule="exact"/>
        <w:rPr>
          <w:sz w:val="20"/>
          <w:szCs w:val="20"/>
          <w:color w:val="auto"/>
        </w:rPr>
      </w:pPr>
    </w:p>
    <w:p>
      <w:pPr>
        <w:ind w:firstLine="539"/>
        <w:spacing w:after="0" w:line="272" w:lineRule="auto"/>
        <w:rPr>
          <w:sz w:val="20"/>
          <w:szCs w:val="20"/>
          <w:color w:val="auto"/>
        </w:rPr>
      </w:pPr>
      <w:r>
        <w:rPr>
          <w:rFonts w:ascii="Arial" w:cs="Arial" w:eastAsia="Arial" w:hAnsi="Arial"/>
          <w:sz w:val="17"/>
          <w:szCs w:val="17"/>
          <w:color w:val="auto"/>
        </w:rPr>
        <w:t>We believe that building and supporting connections between our employees and our communities creates a more fulfilling and enjoyable workplace experience. We have continued to expand our partner resource groups, which enable partners to build connections among themselves and their communities, as well as our diversity, inclusion and belonging programs to encourage partners to bring their “whole selves” to work. Petco currently has seven Partner Resource Groups that are foundational to our culture of inclusion and belonging. Our current partner-led Partner Resource Groups are: Ability at Petco; Black at Petco; LGBTQ+ at Petco; Pan Asian American at Petco; Petcontigo (Latinx) at Petco; Military and Veterans at Petco; and Women at Petco. In partnership with our Diversity, Equity, and Inclusion team, these seven groups facilitate engagement activities to increase cultural competencies, educate partners on issues facing affinity group members, and deepen our workplace connections.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17" w:lineRule="exact"/>
        <w:rPr>
          <w:sz w:val="20"/>
          <w:szCs w:val="20"/>
          <w:color w:val="auto"/>
        </w:rPr>
      </w:pPr>
    </w:p>
    <w:p>
      <w:pPr>
        <w:ind w:right="40" w:firstLine="540"/>
        <w:spacing w:after="0" w:line="291" w:lineRule="auto"/>
        <w:rPr>
          <w:sz w:val="20"/>
          <w:szCs w:val="20"/>
          <w:color w:val="auto"/>
        </w:rPr>
      </w:pPr>
      <w:r>
        <w:rPr>
          <w:rFonts w:ascii="Arial" w:cs="Arial" w:eastAsia="Arial" w:hAnsi="Arial"/>
          <w:sz w:val="16"/>
          <w:szCs w:val="16"/>
          <w:color w:val="auto"/>
        </w:rPr>
        <w:t>The health, safety, and overall well-being of our partners is a top priority. We are focused on protecting and supporting our partners, as well as the people and pets in our pet care centers and the communities we serve. The Petco Partner Assistance Fund has provided over $1.8 million in financial support to nearly 1,700 Petco partners who suffered a hardship, including related to COVID-19, severe weather events, and natural disasters. We have also provided additional days of paid time off to all partners to support those directly affected by COVID-19 for reasons such as partner infections, self-quarantines, living with or caring for someone at high risk or related dependent care challenges, and wellness days. Once vaccines became available, all partners who provided confirmation of vaccination received a one-time $75 payment, along with a $25 donation made to the Petco Partner Assistance Fund by us. We have also offered weekly $1,000 raffles to promote vaccination, and support scheduling flexibility for vaccination appointments.</w:t>
      </w:r>
    </w:p>
    <w:p>
      <w:pPr>
        <w:spacing w:after="0" w:line="166" w:lineRule="exact"/>
        <w:rPr>
          <w:sz w:val="20"/>
          <w:szCs w:val="20"/>
          <w:color w:val="auto"/>
        </w:rPr>
      </w:pPr>
    </w:p>
    <w:p>
      <w:pPr>
        <w:ind w:right="80" w:firstLine="576"/>
        <w:spacing w:after="0" w:line="257" w:lineRule="auto"/>
        <w:rPr>
          <w:sz w:val="20"/>
          <w:szCs w:val="20"/>
          <w:color w:val="auto"/>
        </w:rPr>
      </w:pPr>
      <w:r>
        <w:rPr>
          <w:rFonts w:ascii="Arial" w:cs="Arial" w:eastAsia="Arial" w:hAnsi="Arial"/>
          <w:sz w:val="18"/>
          <w:szCs w:val="18"/>
          <w:color w:val="auto"/>
        </w:rPr>
        <w:t>Throughout the pandemic, we have taken proactive, precautionary steps to ensure we continue to meet or exceed local, state, and federal regulations as well as recommended health and safety guidelines from the CDC. This has included social distancing, rigorous cleaning and sanitizing protocols, requiring facial coverings for both our partners and customers shopping in our pet care centers, health screening and temperature checks before shifts, and providing ample sanitizer, masks, gloves, acrylic barriers, and more across all Petco locations. We have continued to evolve our practices in line with applicable regulations and guidance.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right="200" w:firstLine="540"/>
        <w:spacing w:after="0" w:line="296" w:lineRule="auto"/>
        <w:rPr>
          <w:sz w:val="20"/>
          <w:szCs w:val="20"/>
          <w:color w:val="auto"/>
        </w:rPr>
      </w:pPr>
      <w:r>
        <w:rPr>
          <w:rFonts w:ascii="Arial" w:cs="Arial" w:eastAsia="Arial" w:hAnsi="Arial"/>
          <w:sz w:val="16"/>
          <w:szCs w:val="16"/>
          <w:color w:val="auto"/>
        </w:rPr>
        <w:t>We provide competitive compensation and benefits programs to help meet the needs of our partners and their families. In addition to base cash compensation, we offer our partners a mix of annual bonuses, restricted stock units, various incentive plans, an Employee Stock Purchase Plan, a 401(k) Plan, healthcare and insurance benefits, health savings and flexible spending accounts, paid time off, family leave, and a range of employee assistance programs. Partners experienced no increase in their 2020, 2021 or 2022 healthcare benefit premiums. In addition, we offer a range of webinars, trainings, and subscriptions to support our partners’ total wellbeing. Finally, in 2021, our Pet Care Center partners average wages grew by over 7%.</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7" w:lineRule="exact"/>
        <w:rPr>
          <w:sz w:val="20"/>
          <w:szCs w:val="20"/>
          <w:color w:val="auto"/>
        </w:rPr>
      </w:pPr>
    </w:p>
    <w:p>
      <w:pPr>
        <w:ind w:right="360" w:firstLine="540"/>
        <w:spacing w:after="0" w:line="259" w:lineRule="auto"/>
        <w:rPr>
          <w:sz w:val="20"/>
          <w:szCs w:val="20"/>
          <w:color w:val="auto"/>
        </w:rPr>
      </w:pPr>
      <w:r>
        <w:rPr>
          <w:rFonts w:ascii="Arial" w:cs="Arial" w:eastAsia="Arial" w:hAnsi="Arial"/>
          <w:sz w:val="18"/>
          <w:szCs w:val="18"/>
          <w:color w:val="auto"/>
        </w:rPr>
        <w:t>We invest significant resources to attract, develop, and retain top talent. In recent years, we have streamlined methods for setting executional priorities, provided comprehensive sales training, and developed store-level sales marketing capabilities. In fiscal 2021, we are proud to have provided more than 500,000 hours of training across our pet care center partners. In addition, approximately 47% of open General Manager and District General Managers positions were filled with internal promotions.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We currently operate six primary and two regional distribution centers located in various parts of the United States that handle almost all distribution for our company, and we plan to include at least one more primary distribution center in fiscal 2022. Our ship-from-store, BOPUS, and curbside programs enhance our distribution network, affording us the opportunity to more quickly and cost effectively serve our customers. During fiscal 2021, over 82% of our digital orders (including BOPUS, same day delivery and ship-from-store) were fulfilled by pet care centers.</w:t>
      </w:r>
    </w:p>
    <w:p>
      <w:pPr>
        <w:spacing w:after="0" w:line="171" w:lineRule="exact"/>
        <w:rPr>
          <w:sz w:val="20"/>
          <w:szCs w:val="20"/>
          <w:color w:val="auto"/>
        </w:rPr>
      </w:pPr>
    </w:p>
    <w:p>
      <w:pPr>
        <w:ind w:right="200" w:firstLine="589"/>
        <w:spacing w:after="0" w:line="342" w:lineRule="auto"/>
        <w:rPr>
          <w:sz w:val="20"/>
          <w:szCs w:val="20"/>
          <w:color w:val="auto"/>
        </w:rPr>
      </w:pPr>
      <w:r>
        <w:rPr>
          <w:rFonts w:ascii="Arial" w:cs="Arial" w:eastAsia="Arial" w:hAnsi="Arial"/>
          <w:sz w:val="16"/>
          <w:szCs w:val="16"/>
          <w:color w:val="auto"/>
        </w:rPr>
        <w:t>The majority of relationships we have with third-party domestic transportation and logistics providers are governed by non-exclusive agreements that do not obligate us to minimum volume or fees, and such agreements may generally be terminated by either party on 45 days’ prior written notice.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Arrangements</w:t>
      </w:r>
    </w:p>
    <w:p>
      <w:pPr>
        <w:spacing w:after="0" w:line="121"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We purchase merchandise from over 750 vendors. In fiscal 2021, our top 10 vendors represented approximately 30% of our annual sales, and no single vendor accounted for more than 6% of our sales. In addition, we only sell the products we carry directly to consumers and primarily purchase our products directly from our vendors rather than through third-party distributors. As such, we do not materially rely on third-party distributors to conduct our business. We onboard our vendors using a standardized process to confirm their adherence to our applicable standards, policies, and procedures, including those relating to legal compliance, human rights,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allow us to terminate the relationship for convenience at any time upon written notice to the vendor. Our vendors may terminate the relationship on 90-days’ written notice but are obligated to fulfill or perform any purchase order accepted prior to such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Petco Love</w:t>
      </w:r>
    </w:p>
    <w:p>
      <w:pPr>
        <w:spacing w:after="0" w:line="12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Petco Love, formerly the Petco Foundation, is a nonprofit organization that is changing lives by making communities and pet families healthier, stronger, and closer. It is a separately incorporated 501(c)(3) nonprofit organization supported both by contributions from us and contributions from Petco customers and community partners. Since its founding in 1999, Petco Love has inspired and empowered animal welfare organizations to make a difference, investing more than $330 million in adoption and medical care programs, spay/neuter services, pet cancer research, service and therapy animals, and numerous other lifesaving initiatives. Through the Think Adoption First program, Petco Love partners with our pet care centers and animal welfare organizations across the country to increase pet adoptions helping more than 6.5 million pets to date find their new loving families.</w:t>
      </w:r>
    </w:p>
    <w:p>
      <w:pPr>
        <w:spacing w:after="0" w:line="56" w:lineRule="exact"/>
        <w:rPr>
          <w:sz w:val="20"/>
          <w:szCs w:val="20"/>
          <w:color w:val="auto"/>
        </w:rPr>
      </w:pPr>
    </w:p>
    <w:p>
      <w:pPr>
        <w:jc w:val="both"/>
        <w:ind w:right="260" w:firstLine="589"/>
        <w:spacing w:after="0" w:line="263" w:lineRule="auto"/>
        <w:rPr>
          <w:sz w:val="20"/>
          <w:szCs w:val="20"/>
          <w:color w:val="auto"/>
        </w:rPr>
      </w:pPr>
      <w:r>
        <w:rPr>
          <w:rFonts w:ascii="Arial" w:cs="Arial" w:eastAsia="Arial" w:hAnsi="Arial"/>
          <w:sz w:val="18"/>
          <w:szCs w:val="18"/>
          <w:color w:val="auto"/>
        </w:rPr>
        <w:t>In April 2021, Petco Love launched Petco Love Lost, a searchable database that uses facial recognition technology to help reunite lost pets with their families should they ever go missing. To date, nearly 2,000 animal welfare organizations and pet industry partners across the U.S. have adopted the platform, and Petco Love Lost has helped return approximately 4,000 pets to their loving homes.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ind w:firstLine="589"/>
        <w:spacing w:after="0" w:line="259" w:lineRule="auto"/>
        <w:rPr>
          <w:sz w:val="20"/>
          <w:szCs w:val="20"/>
          <w:color w:val="auto"/>
        </w:rPr>
      </w:pPr>
      <w:r>
        <w:rPr>
          <w:rFonts w:ascii="Arial" w:cs="Arial" w:eastAsia="Arial" w:hAnsi="Arial"/>
          <w:sz w:val="18"/>
          <w:szCs w:val="18"/>
          <w:color w:val="auto"/>
        </w:rPr>
        <w:t>In August 2021, Petco Love announced a significant partnership with Merck to make over one million lifesaving vaccines available to pets for free, and over 500,000 were distributed by the end of fiscal 2021. Petco Love is working with community-based animal welfare partners across the country to distribute these much-needed vaccinations in under-resourced communities, something we believe gives all pets the best chance to live long and healthy lives.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Trademarks and Other Intellectual Property</w:t>
      </w:r>
    </w:p>
    <w:p>
      <w:pPr>
        <w:spacing w:after="0" w:line="121" w:lineRule="exact"/>
        <w:rPr>
          <w:sz w:val="20"/>
          <w:szCs w:val="20"/>
          <w:color w:val="auto"/>
        </w:rPr>
      </w:pPr>
    </w:p>
    <w:p>
      <w:pPr>
        <w:ind w:firstLine="589"/>
        <w:spacing w:after="0" w:line="290" w:lineRule="auto"/>
        <w:rPr>
          <w:sz w:val="20"/>
          <w:szCs w:val="20"/>
          <w:color w:val="auto"/>
        </w:rPr>
      </w:pPr>
      <w:r>
        <w:rPr>
          <w:rFonts w:ascii="Arial" w:cs="Arial" w:eastAsia="Arial" w:hAnsi="Arial"/>
          <w:sz w:val="16"/>
          <w:szCs w:val="16"/>
          <w:color w:val="auto"/>
        </w:rPr>
        <w:t>We believe that our rights in our intellectual property, including trademarks and domain names, as well as contractual provisions and restrictions on access to our proprietary technology, are important to our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EveryYay, Good 2 Go, Good Lovin’, Harmony, Imagitarium, Leaps &amp; Bounds, Pals Rewards, Petco, Petco Love, PetCoach, PupBox, Reddy, Ruff &amp; Mews, So Phresh, Vetco, Well &amp; Good, WholeHearted, You &amp; Me, and Youly.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spacing w:after="0" w:line="165" w:lineRule="exact"/>
        <w:rPr>
          <w:sz w:val="20"/>
          <w:szCs w:val="20"/>
          <w:color w:val="auto"/>
        </w:rPr>
      </w:pPr>
    </w:p>
    <w:p>
      <w:pPr>
        <w:jc w:val="both"/>
        <w:ind w:right="160" w:firstLine="589"/>
        <w:spacing w:after="0" w:line="259" w:lineRule="auto"/>
        <w:rPr>
          <w:sz w:val="20"/>
          <w:szCs w:val="20"/>
          <w:color w:val="auto"/>
        </w:rPr>
      </w:pPr>
      <w:r>
        <w:rPr>
          <w:rFonts w:ascii="Arial" w:cs="Arial" w:eastAsia="Arial" w:hAnsi="Arial"/>
          <w:sz w:val="18"/>
          <w:szCs w:val="18"/>
          <w:color w:val="auto"/>
        </w:rPr>
        <w:t>In addition to trademark protection, we own numerous domain names, including 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We are subject to a broad range of federal, state, local, and foreign laws and regulations intended to protect public health,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processing, packaging, storage, distribution, advertising, labeling, and import of our products, including food safety standards. For more information, please read “Risk Factors—Risks Related to Legal and Regulatory Matters—Our operations are subject to extensive governmental regulation, and we may incur material liabilities under, or costs in order to comply with, existing or future laws and regulation. Our failure to comply with such laws and regulations may result in enforcements, recalls, and other adverse actions that could disrupt our operations and adversely affect our financial results.”</w:t>
      </w:r>
    </w:p>
    <w:p>
      <w:pPr>
        <w:spacing w:after="0" w:line="178" w:lineRule="exact"/>
        <w:rPr>
          <w:sz w:val="20"/>
          <w:szCs w:val="20"/>
          <w:color w:val="auto"/>
        </w:rPr>
      </w:pPr>
    </w:p>
    <w:p>
      <w:pPr>
        <w:ind w:right="80" w:firstLine="589"/>
        <w:spacing w:after="0" w:line="254" w:lineRule="auto"/>
        <w:rPr>
          <w:sz w:val="20"/>
          <w:szCs w:val="20"/>
          <w:color w:val="auto"/>
        </w:rPr>
      </w:pPr>
      <w:r>
        <w:rPr>
          <w:rFonts w:ascii="Arial" w:cs="Arial" w:eastAsia="Arial" w:hAnsi="Arial"/>
          <w:sz w:val="18"/>
          <w:szCs w:val="18"/>
          <w:color w:val="auto"/>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spacing w:after="0" w:line="195"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labeling of pet foods is regulated by both the FDA and some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100" w:firstLine="589"/>
        <w:spacing w:after="0" w:line="301" w:lineRule="auto"/>
        <w:rPr>
          <w:sz w:val="20"/>
          <w:szCs w:val="20"/>
          <w:color w:val="auto"/>
        </w:rPr>
      </w:pPr>
      <w:r>
        <w:rPr>
          <w:rFonts w:ascii="Arial" w:cs="Arial" w:eastAsia="Arial" w:hAnsi="Arial"/>
          <w:sz w:val="16"/>
          <w:szCs w:val="16"/>
          <w:color w:val="auto"/>
        </w:rPr>
        <w:t>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 intended for use to diagnose, cure, mitigate, treat, or prevent disease, thereby meeting the statutory definitions of both a food and a drug.</w:t>
      </w:r>
    </w:p>
    <w:p>
      <w:pPr>
        <w:spacing w:after="0" w:line="157"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spacing w:after="0" w:line="184"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spacing w:after="0" w:line="19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addition, all of the states in which we operate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Our website address is petco.com, and our investor relations website is ir.petco.com. We promptly make available on our investor relations website, free of charge, the reports that we file or furnish with the U.S. Securities and Exchange Commission (“SEC”), corporate governance information (including our Code of Business Conduct and Ethics and Principles of Corporate Governance)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sec.gov that contains reports, proxy and information statements and other information regarding Petco and other issuers that file electronically with the SEC.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i w:val="1"/>
          <w:iCs w:val="1"/>
          <w:color w:val="auto"/>
        </w:rPr>
        <w:t>Investing in our securities involves uncertainty and risk due to a variety of factors. You should carefully consider the risks described below with all of the other information included in this Annual Report on Form 10-K.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i w:val="1"/>
          <w:iCs w:val="1"/>
          <w:color w:val="auto"/>
        </w:rPr>
        <w:t>your investment. For a summary of these risks, please read “Risk Factors Summary,” which immediately precedes Part I, Item 1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decline in consumer spending or a change in consumer preferences or demographics could reduce our sales or profitability and adversely affect our business.</w:t>
      </w:r>
    </w:p>
    <w:p>
      <w:pPr>
        <w:spacing w:after="0" w:line="62" w:lineRule="exact"/>
        <w:rPr>
          <w:sz w:val="20"/>
          <w:szCs w:val="20"/>
          <w:color w:val="auto"/>
        </w:rPr>
      </w:pPr>
    </w:p>
    <w:p>
      <w:pPr>
        <w:ind w:right="80" w:firstLine="589"/>
        <w:spacing w:after="0" w:line="296" w:lineRule="auto"/>
        <w:rPr>
          <w:sz w:val="20"/>
          <w:szCs w:val="20"/>
          <w:color w:val="auto"/>
        </w:rPr>
      </w:pPr>
      <w:r>
        <w:rPr>
          <w:rFonts w:ascii="Arial" w:cs="Arial" w:eastAsia="Arial" w:hAnsi="Arial"/>
          <w:sz w:val="16"/>
          <w:szCs w:val="16"/>
          <w:color w:val="auto"/>
        </w:rPr>
        <w:t>Our sales depend on consumer spending, which is influenced by factors beyond our control, including general economic conditions, disruption or volatility in global financial markets, changes in interest rates, inflation, the availability of discretionary income and credit, weather, consumer confidence, unemployment levels, and government orders restricting freedom of movement. We may experience declines in sales or changes in the types of products and services sold during economic downturns. Our business could be harmed by any material decline in the amount of consumer spending, which could reduce our sales, or a decrease in the sales of higher-margin products, which could reduce our profitability and adversely affect our business.</w:t>
      </w:r>
    </w:p>
    <w:p>
      <w:pPr>
        <w:spacing w:after="0" w:line="161"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We have also benefited from increasing pet ownership, discretionary spending on pets and current trends in humanization and premiumization in the pet industry, as well as favorable pet ownership demographics. To the extent these trends slow or reverse, our sales and profitability would be adversely affected. In particular, COVID-19 has driven an increase in pet ownership and consumer demand for our products that may not be sustained or may reverse at any time.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spacing w:after="0" w:line="2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growth of our business depends in part on our ability to accurately predict consumer trends, successfully introduce new products and services, improve existing products and services, and expand into new offerings.</w:t>
      </w:r>
    </w:p>
    <w:p>
      <w:pPr>
        <w:spacing w:after="0" w:line="6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Our growth depends, in part, on our ability to successfully introduce, improve, and reposition our products and services to meet the requirements of pet parents. This, in turn, depends on our ability to predict and respond to evolving consumer trends, demands and preferences. 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 Additionally, the development and introduction of innovative new products and services and expansion into new offerings involves considerable costs. Any new product, service or offering may not generate sufficient customer interest and sales to become profitable or to cover the costs of its development and promotion and, as a result, may adversely impact our results of operations. Concern about sustainability and climate change might cause consumer preferences to switch away from products or ingredients considered to have high climate change impact and towards products that are more sustainably grown and made, and we may incur additional costs as we potentially evolve our portfolio and engage in due diligence, verification and reporting in connection with our environmental, social and governance and sustainability initiatives.</w:t>
      </w:r>
    </w:p>
    <w:p>
      <w:pPr>
        <w:spacing w:after="0" w:line="172" w:lineRule="exact"/>
        <w:rPr>
          <w:sz w:val="20"/>
          <w:szCs w:val="20"/>
          <w:color w:val="auto"/>
        </w:rPr>
      </w:pPr>
    </w:p>
    <w:p>
      <w:pPr>
        <w:ind w:right="20" w:firstLine="589"/>
        <w:spacing w:after="0" w:line="259" w:lineRule="auto"/>
        <w:rPr>
          <w:sz w:val="20"/>
          <w:szCs w:val="20"/>
          <w:color w:val="auto"/>
        </w:rPr>
      </w:pPr>
      <w:r>
        <w:rPr>
          <w:rFonts w:ascii="Arial" w:cs="Arial" w:eastAsia="Arial" w:hAnsi="Arial"/>
          <w:sz w:val="18"/>
          <w:szCs w:val="18"/>
          <w:color w:val="auto"/>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is substantially dependent on positive perceptions of Petco, including our owned or exclusive brands.</w:t>
      </w:r>
    </w:p>
    <w:p>
      <w:pPr>
        <w:spacing w:after="0" w:line="117"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that erode trust and confidence, particularly if they result in adverse publicity or widespread reaction 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ind w:right="20"/>
        <w:spacing w:after="0" w:line="263" w:lineRule="auto"/>
        <w:rPr>
          <w:sz w:val="20"/>
          <w:szCs w:val="20"/>
          <w:color w:val="auto"/>
        </w:rPr>
      </w:pPr>
      <w:r>
        <w:rPr>
          <w:rFonts w:ascii="Arial" w:cs="Arial" w:eastAsia="Arial" w:hAnsi="Arial"/>
          <w:sz w:val="18"/>
          <w:szCs w:val="18"/>
          <w:color w:val="auto"/>
        </w:rPr>
        <w:t>social media, governmental investigations, or litigation, can have an adverse impact on these perceptions and lead to adverse effects on our business, including decreased comparable sales, consumer boycotts, loss of new pet care center development opportunities, lower partner morale and productivity, or partner recruiting and retention difficulties.</w:t>
      </w:r>
    </w:p>
    <w:p>
      <w:pPr>
        <w:spacing w:after="0" w:line="184"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62"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offerings by certain supermarkets, warehouse clubs, other retail merchandisers, and online retailers, and the entrance of additional independent pet stores with unique product and service offerings and other pet specialty retailers into the pet food and pet supply market, some of which have developed store formats similar to ours. Some competitors are larger and have access to greater capital and the ability to invest in more resources than we do.</w:t>
      </w:r>
    </w:p>
    <w:p>
      <w:pPr>
        <w:spacing w:after="0" w:line="19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We may face greater competition from national, regional, local and online retailers in the future. In particular, if any of our major competitors seeks to gain or retain market share by reducing prices or by introducing additional products or services, we may be required to reduce prices on our key products or services or introduce new offerings in order to remain competitive, which may negatively affect our profitability and require a change in our operating strategies.</w:t>
      </w:r>
    </w:p>
    <w:p>
      <w:pPr>
        <w:spacing w:after="0" w:line="187" w:lineRule="exact"/>
        <w:rPr>
          <w:sz w:val="20"/>
          <w:szCs w:val="20"/>
          <w:color w:val="auto"/>
        </w:rPr>
      </w:pPr>
    </w:p>
    <w:p>
      <w:pPr>
        <w:ind w:right="300" w:firstLine="589"/>
        <w:spacing w:after="0" w:line="259" w:lineRule="auto"/>
        <w:rPr>
          <w:sz w:val="20"/>
          <w:szCs w:val="20"/>
          <w:color w:val="auto"/>
        </w:rPr>
      </w:pPr>
      <w:r>
        <w:rPr>
          <w:rFonts w:ascii="Arial" w:cs="Arial" w:eastAsia="Arial" w:hAnsi="Arial"/>
          <w:sz w:val="18"/>
          <w:szCs w:val="18"/>
          <w:color w:val="auto"/>
        </w:rPr>
        <w:t>If consumer preferences change and thereby decrease the attractiveness of what we believe to be our competitive advantages, including our extensive product assortment, premium product offerings, omnichannel capabilities, competitive pricing, high-quality service offerings, and a unique customer experience, or if we fail to otherwise positively differentiate our customer experience from that of our competitors, our business and results of operations could be adversely affected.</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unable to execute our growth strategies successfully or manage and sustain our growth and, as a result, our business may be adversely affected.</w:t>
      </w:r>
    </w:p>
    <w:p>
      <w:pPr>
        <w:spacing w:after="0" w:line="62"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strategies include, among other things, expanding our veterinary service offerings and building out our digital and data capabilities, growing our market share in services like grooming and training, enhancing our owned brand portfolio, and introducing new offerings to better connect with our customers. However, we may not be able to execute on these strategies as effectively as anticipated. Our ability to execute on these strategies depends on a number of factors, including:</w:t>
      </w:r>
    </w:p>
    <w:p>
      <w:pPr>
        <w:spacing w:after="0" w:line="79" w:lineRule="exact"/>
        <w:rPr>
          <w:sz w:val="20"/>
          <w:szCs w:val="20"/>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we have adequate capital resources to expand our offerings and build out our digital and data capabilities;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include veterinary services in our existing pet care centers or in our remodeled or relocated pet care centers;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relocate our pet care centers and obtain favorable sites and negotiate acceptable lease terms;</w:t>
      </w:r>
    </w:p>
    <w:p>
      <w:pPr>
        <w:spacing w:after="0" w:line="144" w:lineRule="exact"/>
        <w:rPr>
          <w:rFonts w:ascii="Arial" w:cs="Arial" w:eastAsia="Arial" w:hAnsi="Arial"/>
          <w:sz w:val="18"/>
          <w:szCs w:val="18"/>
          <w:color w:val="auto"/>
        </w:rPr>
      </w:pPr>
    </w:p>
    <w:p>
      <w:pPr>
        <w:ind w:left="1160" w:right="18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train, and retain skilled managers and personnel, including veterinarians, information technology professionals, owned brand merchants, and groomers and trainers; and</w:t>
      </w:r>
    </w:p>
    <w:p>
      <w:pPr>
        <w:spacing w:after="0" w:line="62" w:lineRule="exact"/>
        <w:rPr>
          <w:rFonts w:ascii="Arial" w:cs="Arial" w:eastAsia="Arial" w:hAnsi="Arial"/>
          <w:sz w:val="18"/>
          <w:szCs w:val="18"/>
          <w:color w:val="auto"/>
        </w:rPr>
      </w:pPr>
    </w:p>
    <w:p>
      <w:pPr>
        <w:ind w:left="1160" w:right="280" w:hanging="572"/>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upgrade our information and other operating systems and to make use of the data that we collect through these systems to offer better products and services to our customers.</w:t>
      </w:r>
    </w:p>
    <w:p>
      <w:pPr>
        <w:spacing w:after="0" w:line="170" w:lineRule="exact"/>
        <w:rPr>
          <w:sz w:val="20"/>
          <w:szCs w:val="20"/>
          <w:color w:val="auto"/>
        </w:rPr>
      </w:pPr>
    </w:p>
    <w:p>
      <w:pPr>
        <w:jc w:val="both"/>
        <w:ind w:right="500" w:firstLine="589"/>
        <w:spacing w:after="0" w:line="263" w:lineRule="auto"/>
        <w:rPr>
          <w:sz w:val="20"/>
          <w:szCs w:val="20"/>
          <w:color w:val="auto"/>
        </w:rPr>
      </w:pPr>
      <w:r>
        <w:rPr>
          <w:rFonts w:ascii="Arial" w:cs="Arial" w:eastAsia="Arial" w:hAnsi="Arial"/>
          <w:sz w:val="18"/>
          <w:szCs w:val="18"/>
          <w:color w:val="auto"/>
        </w:rPr>
        <w:t>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expectations, our sales growth would come primarily from the organic growth of existing product and service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recruiting and retaining skilled veterinarians due to shortages that could disrupt our business.</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The successful growth of our veterinary services business depends significantly on our ability to recruit and retain skilled veterinarians and other veterinary technical staff. We face competition from other veterinary service providers in the labor market for veterinarians, and from time to time, we may experience shortages of skilled veterinarians in markets in which we operate our veterinary service businesses, which may require us or our affiliated veterinary practices to increase wages and enhance benefits to recruit and retain enough qualified veterinarians to adequately staff our veterinary services operations. If we are unable to recruit and retain qualified veterinarians, or to control our labor costs, our business, financial condition, and results of operations may be materially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various risks as an e-commerce retailer.</w:t>
      </w:r>
    </w:p>
    <w:p>
      <w:pPr>
        <w:spacing w:after="0" w:line="117"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As part of our growth strategy, we seek to further integrate our in-store and online operations and have made, and expect to continue to make,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spacing w:after="0" w:line="178"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Additionally, customer expectations about the methods by which they purchase and receive products or services are also becoming more demanding. Customers routinely use technology and a variety of electronic devices and digital platforms to rapidly compare products and prices, read product reviews, determine real-time product availability, and purchase products. Once products are purchased, customers are seeking alternate options for delivery of those products, and they often expect quick, timely, and low-price or free delivery and/or convenient pickup options. We must continually anticipate and adapt to these changes in the purchasing process.</w:t>
      </w:r>
    </w:p>
    <w:p>
      <w:pPr>
        <w:spacing w:after="0" w:line="188" w:lineRule="exact"/>
        <w:rPr>
          <w:sz w:val="20"/>
          <w:szCs w:val="20"/>
          <w:color w:val="auto"/>
        </w:rPr>
      </w:pPr>
    </w:p>
    <w:p>
      <w:pPr>
        <w:jc w:val="both"/>
        <w:ind w:right="240" w:firstLine="589"/>
        <w:spacing w:after="0" w:line="301" w:lineRule="auto"/>
        <w:rPr>
          <w:sz w:val="20"/>
          <w:szCs w:val="20"/>
          <w:color w:val="auto"/>
        </w:rPr>
      </w:pPr>
      <w:r>
        <w:rPr>
          <w:rFonts w:ascii="Arial" w:cs="Arial" w:eastAsia="Arial" w:hAnsi="Arial"/>
          <w:sz w:val="16"/>
          <w:szCs w:val="16"/>
          <w:color w:val="auto"/>
        </w:rPr>
        <w:t>In some circumstances, increased transactions through our website may result in reduced customer traffic in our pet care centers, particularly as customers take advantage of curbside pickup and home delivery services available for online orders when making certain types of purchases, such as for bulk orders or heavy pet products. There is a risk that any such reduced customer traffic may reduce the sales of certain products and services in our pet care centers. The availability of free shipping of online and “extended aisle” orders increases our costs and could adversely affect our profitability.</w:t>
      </w:r>
    </w:p>
    <w:p>
      <w:pPr>
        <w:spacing w:after="0" w:line="157"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could have a material adverse effect on our business, financial condition and results of operations.</w:t>
      </w: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generate or obtain sufficient capital to finance our growth strategies, we may be unable to sustain our growth and our business may be adversely affected.</w:t>
      </w:r>
    </w:p>
    <w:p>
      <w:pPr>
        <w:spacing w:after="0" w:line="6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Our growth rate depends, to a large degree, on the availability of adequate capital to fund the expansion of our offerings, including veterinary services and digital capabilities,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spacing w:after="0" w:line="187"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Moreover, the credit agreements governing the First Lien Term Loan and ABL Revolving Credit Facility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We depend on key personnel, and if we lose the services of any of our executive officers, we may not be able to run our business effectively.</w:t>
      </w:r>
    </w:p>
    <w:p>
      <w:pPr>
        <w:spacing w:after="0" w:line="140" w:lineRule="exact"/>
        <w:rPr>
          <w:sz w:val="20"/>
          <w:szCs w:val="20"/>
          <w:color w:val="auto"/>
        </w:rPr>
      </w:pPr>
    </w:p>
    <w:p>
      <w:pPr>
        <w:ind w:right="100" w:firstLine="589"/>
        <w:spacing w:after="0" w:line="272" w:lineRule="auto"/>
        <w:rPr>
          <w:sz w:val="20"/>
          <w:szCs w:val="20"/>
          <w:color w:val="auto"/>
        </w:rPr>
      </w:pPr>
      <w:r>
        <w:rPr>
          <w:rFonts w:ascii="Arial" w:cs="Arial" w:eastAsia="Arial" w:hAnsi="Arial"/>
          <w:sz w:val="17"/>
          <w:szCs w:val="17"/>
          <w:color w:val="auto"/>
        </w:rPr>
        <w:t>We are dependent upon the efforts of our key personnel, including our executive officers. The loss of any of our key personnel could affect our ability to run our business effectively. Our success will depend on our ability to retain our current management and to develop, attract, and retain qualified personnel in the future. Competition for senior management personnel is intense with increasingly aggressive compensation packages, and we cannot assure you that we can retain our key personnel or that our succession planning will prove effective. The loss of a member of senior management requires the remaining executive officers and our board of directors to divert immediate and substantial attention to seeking a replacement. The inability to fill vacancies in our key personnel positions, including executive positions, on a timely basis could adversely affect our ability to implement our business strategy, which would negatively impact our results of operations.</w:t>
      </w:r>
    </w:p>
    <w:p>
      <w:pPr>
        <w:spacing w:after="0" w:line="2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loss of any of our key merchandise vendors, or of any of our exclusive distribution arrangements with certain of our vendors, could negatively impact our business.</w:t>
      </w:r>
    </w:p>
    <w:p>
      <w:pPr>
        <w:spacing w:after="0" w:line="6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purchase significant amounts of products from a number of vendors with limited supply capabilities. There can be no assurance that our current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pet food or supply vendors will be able to accommodate our anticipated growth and expansion of our business. As a result of the disruptions resulting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COVID-19, as well as recent surges in consumer demand, shortages of raw materials and disruptions to the global supply chain resulting from,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things, lack of carrier capacity, labor shortages, port congestion and /or closures, and rising fuel prices, some of our existing vendors have not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able to supply us with products in a timely or cost-effective manner. A continued inability of our existing vendors to provide products or other product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supply disruptions that may occur in the future could impair our business, financial condition, and results of operations. To date, vendor-related supply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challenges have not had a material effect on our business or our sales and profitability. We generally do not maintain long-term supply contracts with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merchandise vendors. Thus, most vendors could discontinue selling to us at any time. Although we do not materially rely on any particular vendor, the loss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of our significant vendors of pet food, particularly premium pet food, or pet supplies that we offer could have a negative impact on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For more information regarding our vendors, please read “Business—Vendor Arrangements.”</w:t>
      </w:r>
    </w:p>
    <w:p>
      <w:pPr>
        <w:spacing w:after="0" w:line="211"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84"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Most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192" w:lineRule="exact"/>
        <w:rPr>
          <w:sz w:val="20"/>
          <w:szCs w:val="20"/>
          <w:color w:val="auto"/>
        </w:rPr>
      </w:pPr>
    </w:p>
    <w:p>
      <w:pPr>
        <w:ind w:right="340" w:firstLine="589"/>
        <w:spacing w:after="0" w:line="259" w:lineRule="auto"/>
        <w:rPr>
          <w:sz w:val="20"/>
          <w:szCs w:val="20"/>
          <w:color w:val="auto"/>
        </w:rPr>
      </w:pPr>
      <w:r>
        <w:rPr>
          <w:rFonts w:ascii="Arial" w:cs="Arial" w:eastAsia="Arial" w:hAnsi="Arial"/>
          <w:sz w:val="18"/>
          <w:szCs w:val="18"/>
          <w:color w:val="auto"/>
        </w:rPr>
        <w:t>Several of the pet food brands and product lines we currently purchase and offer for sale to our customers are not offered by our closest pet specialty competitor. However, in most cases, we have not entered into formal exclusivity agreements with the vendors for such brands. In certain circumstances, in the event these vendors choose to enter into distribution arrangements with other specialty pet retailers or other competitors our sales could suffer and our business could be adversely affected.</w:t>
      </w:r>
    </w:p>
    <w:p>
      <w:pPr>
        <w:spacing w:after="0" w:line="187" w:lineRule="exact"/>
        <w:rPr>
          <w:sz w:val="20"/>
          <w:szCs w:val="20"/>
          <w:color w:val="auto"/>
        </w:rPr>
      </w:pPr>
    </w:p>
    <w:p>
      <w:pPr>
        <w:ind w:right="40" w:firstLine="589"/>
        <w:spacing w:after="0" w:line="308" w:lineRule="auto"/>
        <w:rPr>
          <w:sz w:val="20"/>
          <w:szCs w:val="20"/>
          <w:color w:val="auto"/>
        </w:rPr>
      </w:pPr>
      <w:r>
        <w:rPr>
          <w:rFonts w:ascii="Arial" w:cs="Arial" w:eastAsia="Arial" w:hAnsi="Arial"/>
          <w:sz w:val="17"/>
          <w:szCs w:val="17"/>
          <w:color w:val="auto"/>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ind w:right="140"/>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health epidemics, pandemics, and similar outbreaks, such as the ongoing COVID-19 pandemic, which may materially and adversely affect our business, financial position, results of operations, and cash flows.</w:t>
      </w:r>
    </w:p>
    <w:p>
      <w:pPr>
        <w:spacing w:after="0" w:line="62" w:lineRule="exact"/>
        <w:rPr>
          <w:sz w:val="20"/>
          <w:szCs w:val="20"/>
          <w:color w:val="auto"/>
        </w:rPr>
      </w:pPr>
    </w:p>
    <w:p>
      <w:pPr>
        <w:ind w:right="60" w:firstLine="589"/>
        <w:spacing w:after="0" w:line="285" w:lineRule="auto"/>
        <w:rPr>
          <w:sz w:val="20"/>
          <w:szCs w:val="20"/>
          <w:color w:val="auto"/>
        </w:rPr>
      </w:pPr>
      <w:r>
        <w:rPr>
          <w:rFonts w:ascii="Arial" w:cs="Arial" w:eastAsia="Arial" w:hAnsi="Arial"/>
          <w:sz w:val="16"/>
          <w:szCs w:val="16"/>
          <w:color w:val="auto"/>
        </w:rPr>
        <w:t>Our business and financial results have been, and could be in the future, adversely affected by health epidemics, pandemics, and similar outbreaks, such as the ongoing COVID-19 pandemic. As a result of the COVID-19 pandemic, we reduced operations in many of our pet care centers in fiscal 2020, which decreased our pet care center revenues. Despite our efforts to manage these matters, their ultimate effects also depend on factors beyond our knowledge or control, including the duration, severity, and recurrence of any outbreak and actions taken to contain its spread and mitigate its public health effects. The pandemic may continue to adversely affect our business, financial position, results of operations, and cash flows, including by resulting in</w:t>
      </w:r>
    </w:p>
    <w:p>
      <w:pPr>
        <w:spacing w:after="0" w:line="2" w:lineRule="exact"/>
        <w:rPr>
          <w:sz w:val="20"/>
          <w:szCs w:val="20"/>
          <w:color w:val="auto"/>
        </w:rPr>
      </w:pPr>
    </w:p>
    <w:p>
      <w:pPr>
        <w:jc w:val="both"/>
        <w:ind w:right="80" w:firstLine="8"/>
        <w:spacing w:after="0" w:line="255"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spacing w:after="0" w:line="190" w:lineRule="exact"/>
        <w:rPr>
          <w:sz w:val="20"/>
          <w:szCs w:val="20"/>
          <w:color w:val="auto"/>
        </w:rPr>
      </w:pPr>
    </w:p>
    <w:p>
      <w:pPr>
        <w:ind w:firstLine="589"/>
        <w:spacing w:after="0" w:line="301" w:lineRule="auto"/>
        <w:rPr>
          <w:sz w:val="20"/>
          <w:szCs w:val="20"/>
          <w:color w:val="auto"/>
        </w:rPr>
      </w:pPr>
      <w:r>
        <w:rPr>
          <w:rFonts w:ascii="Arial" w:cs="Arial" w:eastAsia="Arial" w:hAnsi="Arial"/>
          <w:sz w:val="16"/>
          <w:szCs w:val="16"/>
          <w:color w:val="auto"/>
        </w:rPr>
        <w:t>As a result of COVID-19, many of our personnel continue to work remotely, and it is possible that this could have a negative impact on the execution of our business plans and operations.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consumer privacy, IT security, and fraud concerns as well as increase our exposure to potential wage and hour issues.</w:t>
      </w:r>
    </w:p>
    <w:p>
      <w:pPr>
        <w:spacing w:after="0" w:line="15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Further, as a result of COVID-19, the operations of our pet care centers and distribution centers have been, and could be in the future, substantially disrupted by federal or state mandates ordering shutdowns of certain services or by the inability of our employees to travel to work. Our expansion plans for pet care centers, veterinary services, and distribution centers may also be delayed by or become costlier due to the disruptions caused by the COVID-19 pandemic. Disruptions to the operations of our pet care centers and distribution centers and delays or increased costs in the expansion of our pet care center or distribution center capacity may negatively impact our financial performance and slow our future growth.</w:t>
      </w:r>
    </w:p>
    <w:p>
      <w:pPr>
        <w:spacing w:after="0" w:line="176"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The full extent of COVID-19’s impact on our operations and financial performance depends on future developments that are uncertain and unpredictable, including the duration of the pandemic, any future variants that may arise in 2022 or beyond, any long-term health impacts on any partners who have been infected with COVID-19, its impact on capital and financial markets, and any new information that may emerge concerning the severity of the virus, as well as the actions taken to contain it, among others.</w:t>
      </w:r>
    </w:p>
    <w:p>
      <w:pPr>
        <w:spacing w:after="0" w:line="2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1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severe weather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 significantly higher freight costs. We may not be able to pass all or any portion of these higher costs on to our customers or adjust our pricing structure in a timely manner in order to remain competitive, either of which could have a material adverse effect on our results of operations.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faced, and could continue to face, labor shortages at several of our distribution centers due to factors directly or indirectly related</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 COVID-19 and related issues such as vaccine mandates, as well as other factors, which has adversely affected our results of operations. If any of our distribution centers were to shut down, continue to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8" w:name="page19"/>
    <w:bookmarkEnd w:id="18"/>
    <w:p>
      <w:pPr>
        <w:ind w:right="40"/>
        <w:spacing w:after="0" w:line="296" w:lineRule="auto"/>
        <w:rPr>
          <w:sz w:val="20"/>
          <w:szCs w:val="20"/>
          <w:color w:val="auto"/>
        </w:rPr>
      </w:pPr>
      <w:r>
        <w:rPr>
          <w:rFonts w:ascii="Arial" w:cs="Arial" w:eastAsia="Arial" w:hAnsi="Arial"/>
          <w:sz w:val="16"/>
          <w:szCs w:val="16"/>
          <w:color w:val="auto"/>
        </w:rPr>
        <w:t>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labor shortages, or regulatory issues with respect to any of our distribution centers, could adversely affect our sales and results of operations. Interruptions in our inventory supply chain have resulted in certain out-of-stock or excess merchandise inventory levels, and could adversely affect our ability to make timely deliveries to e-commerce customers, as well as our sales and results of operations.</w:t>
      </w:r>
    </w:p>
    <w:p>
      <w:pPr>
        <w:spacing w:after="0" w:line="269"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b w:val="1"/>
          <w:bCs w:val="1"/>
          <w:i w:val="1"/>
          <w:iCs w:val="1"/>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41" w:lineRule="exact"/>
        <w:rPr>
          <w:sz w:val="20"/>
          <w:szCs w:val="20"/>
          <w:color w:val="auto"/>
        </w:rPr>
      </w:pPr>
    </w:p>
    <w:p>
      <w:pPr>
        <w:ind w:right="60" w:firstLine="589"/>
        <w:spacing w:after="0" w:line="291" w:lineRule="auto"/>
        <w:rPr>
          <w:sz w:val="20"/>
          <w:szCs w:val="20"/>
          <w:color w:val="auto"/>
        </w:rPr>
      </w:pPr>
      <w:r>
        <w:rPr>
          <w:rFonts w:ascii="Arial" w:cs="Arial" w:eastAsia="Arial" w:hAnsi="Arial"/>
          <w:sz w:val="16"/>
          <w:szCs w:val="16"/>
          <w:color w:val="auto"/>
        </w:rPr>
        <w:t>The pet care industry is highly fragmented. We have completed acquisitions in the past and may pursue expansion and acquisition opportunities in the future.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successfully integrating personnel, and eliminating or reducing redundant costs. This integration process involves inherent uncertainties, and we cannot assure you that the anticipated benefits of these acquisitions will be fully realized without incurring unanticipated costs or diverting management’s attention from our core operations.</w:t>
      </w:r>
    </w:p>
    <w:p>
      <w:pPr>
        <w:spacing w:after="0" w:line="166"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From time to time we also make strategic investments. These investments typically involve many of the same risks posed by acquisitions, particularly those risks associated with the diversion of our resources, the inability of the new venture to generate sufficient revenues,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spacing w:after="0" w:line="17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Further, we may be unsuccessful in identifying and evaluating business, legal, or financial risks as part of the due diligence process associated with a particular transaction.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spacing w:after="0" w:line="3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76" w:lineRule="exact"/>
        <w:rPr>
          <w:sz w:val="20"/>
          <w:szCs w:val="20"/>
          <w:color w:val="auto"/>
        </w:rPr>
      </w:pPr>
    </w:p>
    <w:p>
      <w:pPr>
        <w:ind w:firstLine="589"/>
        <w:spacing w:after="0" w:line="288" w:lineRule="auto"/>
        <w:rPr>
          <w:sz w:val="20"/>
          <w:szCs w:val="20"/>
          <w:color w:val="auto"/>
        </w:rPr>
      </w:pPr>
      <w:r>
        <w:rPr>
          <w:rFonts w:ascii="Arial" w:cs="Arial" w:eastAsia="Arial" w:hAnsi="Arial"/>
          <w:sz w:val="16"/>
          <w:szCs w:val="16"/>
          <w:color w:val="auto"/>
        </w:rPr>
        <w:t>We collect, store, and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to comply with public health requirements, and to mitigate the spread of COVID-19 in the workplace.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security incidents. For example, in September 2020, we discovered malware designed to illegally access our customers’ credit card information had been installed on the website of one of our business units. We engaged a cybersecurity firm to assist us in launching an investigation. Our investigation revealed that customers’ personal information exposed in this incident included names, email addresses, home addresses, credit card numbers, credit card expiration dates, credit card CVV codes, and account passwords. We notified state regulators and the affected individuals. We also took steps to remediate the breach, including shutting down the impacted systems to prevent unauthorized access to customer data.</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9" w:name="page20"/>
    <w:bookmarkEnd w:id="19"/>
    <w:p>
      <w:pPr>
        <w:ind w:firstLine="589"/>
        <w:spacing w:after="0" w:line="267" w:lineRule="auto"/>
        <w:rPr>
          <w:sz w:val="20"/>
          <w:szCs w:val="20"/>
          <w:color w:val="auto"/>
        </w:rPr>
      </w:pPr>
      <w:r>
        <w:rPr>
          <w:rFonts w:ascii="Arial" w:cs="Arial" w:eastAsia="Arial" w:hAnsi="Arial"/>
          <w:sz w:val="17"/>
          <w:szCs w:val="17"/>
          <w:color w:val="auto"/>
        </w:rPr>
        <w:t>While to date, we do not believe such identified security events have been material or significant to us, including to our reputation or business operations, or had a material financial impact, we cannot assure you that such incidents or future cyber-attacks will not expose us to material liability. Security could be compromised and confidential information, such as customer credit card numbers, employee information, or other personally identifiable information that we or our vendors collect, transmit, or store, could be misappropriated or system disruptions could occur. In addition, cyber-attacks such as ransomware attacks could lock us out of our information systems and disrupt our operations. We may not have the resources or technical sophistication to anticipate or prevent rapidly evolving types of cyber-attacks. Attacks may be targeted at us, our customers, our employees,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new technological discoveries, or other developments may result in the breach or compromise of the technology used by us to protect transactions or other sensitive data. In addition, data and security breaches could also occur as a result of non-technical issues, including intentional or inadvertent breach by our employees or by persons with whom we have commercial relationships, that result in the unauthorized release of personal or confidential information.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and significant expenditures to reimburse third parties for damages, each of which could adversely impact our results of operations. Any insurance we maintain against the risk of this type of loss may not be sufficient to cover actual losses, may not apply to the circumstances relating to any particular loss, or may become materially more costly.</w:t>
      </w:r>
    </w:p>
    <w:p>
      <w:pPr>
        <w:spacing w:after="0" w:line="191" w:lineRule="exact"/>
        <w:rPr>
          <w:sz w:val="20"/>
          <w:szCs w:val="20"/>
          <w:color w:val="auto"/>
        </w:rPr>
      </w:pPr>
    </w:p>
    <w:p>
      <w:pPr>
        <w:ind w:right="100" w:firstLine="589"/>
        <w:spacing w:after="0" w:line="269" w:lineRule="auto"/>
        <w:rPr>
          <w:sz w:val="20"/>
          <w:szCs w:val="20"/>
          <w:color w:val="auto"/>
        </w:rPr>
      </w:pPr>
      <w:r>
        <w:rPr>
          <w:rFonts w:ascii="Arial" w:cs="Arial" w:eastAsia="Arial" w:hAnsi="Arial"/>
          <w:sz w:val="17"/>
          <w:szCs w:val="17"/>
          <w:color w:val="auto"/>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Payment Card Industry (“PCI”) Data Security Standard (“PCI DSS”). In addition, PCI is controlled by a limited number of vendors that have the ability to impose changes in fee structures and operational requirements without negotiation. Such changes in fees and operational requirements may result in our failure to comply with PCI DSS, as well as significant unanticipated expenses. Any unauthorized access into our customers’ sensitive information, or other data handled by or on behalf of us, even if we are compliant with industry security standards, could put us at a competitive disadvantage, result in deterioration of our customers’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information systems or infrastructure or those of our vendors fail to perform as designed or are interrupted for a significant period of time, our business could be adversely affected.</w:t>
      </w:r>
    </w:p>
    <w:p>
      <w:pPr>
        <w:spacing w:after="0" w:line="62"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and online. The failure of our information systems or those of our vendors to perform as designed, the loss of data, or any interruption of our information systems or those of our vendors for a significant period of time could disrupt our business.</w:t>
      </w:r>
    </w:p>
    <w:p>
      <w:pPr>
        <w:spacing w:after="0" w:line="171" w:lineRule="exact"/>
        <w:rPr>
          <w:sz w:val="20"/>
          <w:szCs w:val="20"/>
          <w:color w:val="auto"/>
        </w:rPr>
      </w:pPr>
    </w:p>
    <w:p>
      <w:pPr>
        <w:ind w:right="60" w:firstLine="589"/>
        <w:spacing w:after="0" w:line="296" w:lineRule="auto"/>
        <w:rPr>
          <w:sz w:val="20"/>
          <w:szCs w:val="20"/>
          <w:color w:val="auto"/>
        </w:rPr>
      </w:pPr>
      <w:r>
        <w:rPr>
          <w:rFonts w:ascii="Arial" w:cs="Arial" w:eastAsia="Arial" w:hAnsi="Arial"/>
          <w:sz w:val="16"/>
          <w:szCs w:val="16"/>
          <w:color w:val="auto"/>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fire, floods, earthquakes, power loss, telecommunications failures, terrorist and cyber-attacks,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and be expensive to remedy.</w:t>
      </w:r>
    </w:p>
    <w:p>
      <w:pPr>
        <w:spacing w:after="0" w:line="161"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We continue to invest in our information systems and IT infrastructure. Enhancement to or replacement of our major financial or operational information systems could have a significant impact on our ability to conduct our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jc w:val="both"/>
        <w:ind w:right="500"/>
        <w:spacing w:after="0" w:line="301" w:lineRule="auto"/>
        <w:rPr>
          <w:sz w:val="20"/>
          <w:szCs w:val="20"/>
          <w:color w:val="auto"/>
        </w:rPr>
      </w:pPr>
      <w:r>
        <w:rPr>
          <w:rFonts w:ascii="Arial" w:cs="Arial" w:eastAsia="Arial" w:hAnsi="Arial"/>
          <w:sz w:val="16"/>
          <w:szCs w:val="16"/>
          <w:color w:val="auto"/>
        </w:rPr>
        <w:t>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spacing w:after="0" w:line="2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Negative publicity arising from claims that we do not properly care for animals we handle or sell could adversely affect how we are perceived by the public and reduce our sales and profitability.</w:t>
      </w:r>
    </w:p>
    <w:p>
      <w:pPr>
        <w:spacing w:after="0" w:line="62"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From time to time we receive claims or complaints alleging that we do not properly care for some of the pets we handle or for companion animals we handle and sell, which may include dogs, cats, birds, fish, reptiles, and other small animals. Deaths or injuries sometimes occur while animals are in our care. As a result, we may be subject to claims that our animal care practices, including grooming, training, veterinary, and other services, or the related training of our associates or handling of animals by them, do not provide the proper level of care. Our efforts to establish our reputation as a “health and wellness” company increase the risk of claims or complaints regarding our practices. Any such claims or complaints, as well as any related news reports or reports on social media, even if inaccurate or untrue, could cause negative publicity, which in turn could harm our business and have a material adverse effect on our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and evolving foreign trade policy may result in additional market risks, which may adversely affect our business.</w:t>
      </w:r>
    </w:p>
    <w:p>
      <w:pPr>
        <w:spacing w:after="0" w:line="140"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spacing w:after="0" w:line="76" w:lineRule="exact"/>
        <w:rPr>
          <w:sz w:val="20"/>
          <w:szCs w:val="20"/>
          <w:color w:val="auto"/>
        </w:rPr>
      </w:pPr>
    </w:p>
    <w:p>
      <w:pPr>
        <w:ind w:left="1160" w:right="480" w:hanging="572"/>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anticipating or responding to the impact that local culture and market forces may have on local consumer preferences and trends;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exchanges rates;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international staffing and employment issues;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taxes, duties, tariffs, or other trade barriers;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shipping or customs delays;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utilizing and enforcing our intellectual property rights;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burden of complying with foreign laws, including regulatory regimes, tax laws, privacy laws, and financial accounting standards;</w:t>
      </w:r>
    </w:p>
    <w:p>
      <w:pPr>
        <w:spacing w:after="0" w:line="155" w:lineRule="exact"/>
        <w:rPr>
          <w:rFonts w:ascii="Arial" w:cs="Arial" w:eastAsia="Arial" w:hAnsi="Arial"/>
          <w:sz w:val="17"/>
          <w:szCs w:val="17"/>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and developments;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issues or disputes arising with our joint venture partners, if any, in such operations; and</w:t>
      </w:r>
    </w:p>
    <w:p>
      <w:pPr>
        <w:spacing w:after="0" w:line="144" w:lineRule="exact"/>
        <w:rPr>
          <w:rFonts w:ascii="Arial" w:cs="Arial" w:eastAsia="Arial" w:hAnsi="Arial"/>
          <w:sz w:val="18"/>
          <w:szCs w:val="18"/>
          <w:color w:val="auto"/>
        </w:rPr>
      </w:pPr>
    </w:p>
    <w:p>
      <w:pPr>
        <w:ind w:left="1160" w:right="100" w:hanging="572"/>
        <w:spacing w:after="0" w:line="26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that COVID-19 causes disruptions in any country where we have significant employee presence, facilities, or critical operations, thereby impairing our ability to manage day-to-day operations and service our customers, increasing our costs of operations, and resulting in potential losses in revenue.</w:t>
      </w:r>
    </w:p>
    <w:p>
      <w:pPr>
        <w:spacing w:after="0" w:line="184" w:lineRule="exact"/>
        <w:rPr>
          <w:sz w:val="20"/>
          <w:szCs w:val="20"/>
          <w:color w:val="auto"/>
        </w:rPr>
      </w:pPr>
    </w:p>
    <w:p>
      <w:pPr>
        <w:ind w:right="20" w:firstLine="589"/>
        <w:spacing w:after="0" w:line="271" w:lineRule="auto"/>
        <w:rPr>
          <w:sz w:val="20"/>
          <w:szCs w:val="20"/>
          <w:color w:val="auto"/>
        </w:rPr>
      </w:pPr>
      <w:r>
        <w:rPr>
          <w:rFonts w:ascii="Arial" w:cs="Arial" w:eastAsia="Arial" w:hAnsi="Arial"/>
          <w:sz w:val="17"/>
          <w:szCs w:val="17"/>
          <w:color w:val="auto"/>
        </w:rPr>
        <w:t>Moreover, our products are sourced from a wide variety of vendors, including from vendors overseas, particularly in China. In addition, some of the products that we purchase from vendors in the United States also depend, in whole or in part, on vendors located outside the U.S. There continues to be uncertainty regarding the future of international trade agreements and the United States’ position on international trade. For example, the U.S. government has previously threatened to undertake a number of actions relating to trade with Mexico, including the closure of the border and the imposition of escalating tariffs on goods imported into the United States from Mexico. In addition, the U.S. government has previously raised tariffs, and imposed new tariffs, on a wide range of imports of Chinese products. Additional trade restrictions, including tariffs, quotas, embargoes, safeguards, border shutdowns, and customs restrictions, could increase the cost or reduce the supply of products available to us and to our vendors based in the United States and may require us to modify our supply chain organization or other current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business practices or raise prices, any of which could harm our business,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may fluctuate due to the timing of expenses, new pet care center openings, pet care center closures, and other factors.</w:t>
      </w:r>
    </w:p>
    <w:p>
      <w:pPr>
        <w:spacing w:after="0" w:line="152"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become established, which may result in quarterly fluctuations in operating results. Quarterly operating results are not necessarily accurate predictors of performance.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Quarterly operating results may also vary depending on a number of factors, many of which are outside of our control, including:</w:t>
      </w:r>
    </w:p>
    <w:p>
      <w:pPr>
        <w:spacing w:after="0" w:line="117"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sales and channels mix and the relevant gross margins of the products and services sold;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wage, cost, and inflationary pressures;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fuel prices or electrical rates;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related to acquisitions of businesses;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factors.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food safety, quality, and health concerns could adversely affect our business.</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could be adversely affected if consumers lose confidence in the safety and quality of our owned brand or vendor-supplied pet food products and supplies. Adverse publicity about these types of concerns, whether valid or not, may discourage consumers from buying the products in our locations or cause vendor production and delivery disruptions. The actual or perceived sale of contaminated pet food products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spacing w:after="0" w:line="2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Restrictions imposed in reaction to outbreaks of animal diseases or COVID-19 could have a material adverse effect on our business, financial condition, and results of operations.</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prices of our products to avoid margin deterioration. However, we may not be able to charge higher prices for our products without negatively impacting future sales volumes.</w:t>
      </w:r>
    </w:p>
    <w:p>
      <w:pPr>
        <w:spacing w:after="0" w:line="177"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As a result of the disruptions resulting from COVID-19, some manufacturers of pork and other protein-based ingredients we use in our products were forced to shut down processing plants or take other adverse actions. While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00"/>
        <w:spacing w:after="0" w:line="277" w:lineRule="auto"/>
        <w:rPr>
          <w:sz w:val="20"/>
          <w:szCs w:val="20"/>
          <w:color w:val="auto"/>
        </w:rPr>
      </w:pPr>
      <w:r>
        <w:rPr>
          <w:rFonts w:ascii="Arial" w:cs="Arial" w:eastAsia="Arial" w:hAnsi="Arial"/>
          <w:sz w:val="18"/>
          <w:szCs w:val="18"/>
          <w:color w:val="auto"/>
        </w:rPr>
        <w:t>our supply chain was not disrupted, similar disruptions in the future due to COVID-19 or other outbreaks could potentially limit the supply of or increase prices for certain of meat proteins used in our pet food products, adversely affecting our business and results of operations.</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certain commodities, such as grains and meat protein, could materially adversely affect our operating results.</w:t>
      </w:r>
    </w:p>
    <w:p>
      <w:pPr>
        <w:spacing w:after="0" w:line="62" w:lineRule="exact"/>
        <w:rPr>
          <w:sz w:val="20"/>
          <w:szCs w:val="20"/>
          <w:color w:val="auto"/>
        </w:rPr>
      </w:pPr>
    </w:p>
    <w:p>
      <w:pPr>
        <w:ind w:right="40" w:firstLine="589"/>
        <w:spacing w:after="0" w:line="289" w:lineRule="auto"/>
        <w:rPr>
          <w:sz w:val="20"/>
          <w:szCs w:val="20"/>
          <w:color w:val="auto"/>
        </w:rPr>
      </w:pPr>
      <w:r>
        <w:rPr>
          <w:rFonts w:ascii="Arial" w:cs="Arial" w:eastAsia="Arial" w:hAnsi="Arial"/>
          <w:sz w:val="16"/>
          <w:szCs w:val="16"/>
          <w:color w:val="auto"/>
        </w:rPr>
        <w:t>The pet food and supplies industry is subject to risks related to increases in the price of and the availability of certain commodities used in the production of certain pet food and other pet-related products, specifically seed, wheat, and rice, as well as other materials that are used in the production of certain pet accessories. Additionally, increased human and/or pet consumption or population increases may potentially limit the supply of or increase prices for certain meat proteins, many of which are used in animal feed. Throughout 2021, costs of certain commodities increased significantly due to the COVID-19 pandemic, supply chain disruptions, increased demand, and transportation and labor shortages, and we have resultingly observed increases in the costs we pay for certain vendor-supplied products. To help mitigate the impact of these cost increases, we have implemented select price increases, which is consistent with our historical practice. However, our ability to continue to pass on increased purchase costs in the future will be significantly impacted by market conditions and competitive factors. If we are unable to continue to pass on any increased purchase costs to customers, we may experience reduced margins, which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leases generally obligate us for long periods, which subjects us to various financial risks.</w:t>
      </w:r>
    </w:p>
    <w:p>
      <w:pPr>
        <w:spacing w:after="0" w:line="117" w:lineRule="exact"/>
        <w:rPr>
          <w:sz w:val="20"/>
          <w:szCs w:val="20"/>
          <w:color w:val="auto"/>
        </w:rPr>
      </w:pPr>
    </w:p>
    <w:p>
      <w:pPr>
        <w:ind w:right="20" w:firstLine="589"/>
        <w:spacing w:after="0" w:line="291" w:lineRule="auto"/>
        <w:rPr>
          <w:sz w:val="20"/>
          <w:szCs w:val="20"/>
          <w:color w:val="auto"/>
        </w:rPr>
      </w:pPr>
      <w:r>
        <w:rPr>
          <w:rFonts w:ascii="Arial" w:cs="Arial" w:eastAsia="Arial" w:hAnsi="Arial"/>
          <w:sz w:val="16"/>
          <w:szCs w:val="16"/>
          <w:color w:val="auto"/>
        </w:rPr>
        <w:t>We lease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spacing w:after="0" w:line="58" w:lineRule="exact"/>
        <w:rPr>
          <w:sz w:val="20"/>
          <w:szCs w:val="20"/>
          <w:color w:val="auto"/>
        </w:rPr>
      </w:pPr>
    </w:p>
    <w:p>
      <w:pPr>
        <w:ind w:right="260" w:firstLine="589"/>
        <w:spacing w:after="0" w:line="271" w:lineRule="auto"/>
        <w:rPr>
          <w:sz w:val="20"/>
          <w:szCs w:val="20"/>
          <w:color w:val="auto"/>
        </w:rPr>
      </w:pPr>
      <w:r>
        <w:rPr>
          <w:rFonts w:ascii="Arial" w:cs="Arial" w:eastAsia="Arial" w:hAnsi="Arial"/>
          <w:sz w:val="17"/>
          <w:szCs w:val="17"/>
          <w:color w:val="auto"/>
        </w:rPr>
        <w:t>Further, the success of our pet care centers depends on a number of factors, including the sustained success of the shopping center where the pet care center is located, consumer demographics, and consumer shopping habits and patterns. Changes in consumer shopping habits and patterns, reduced customer traffic in the shopping centers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could have a material adverse effect on our business, financial condition, and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attract and retain quality employees and experienced management personnel could adversely affect our performance.</w:t>
      </w:r>
    </w:p>
    <w:p>
      <w:pPr>
        <w:spacing w:after="0" w:line="11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Our performance depends on recruiting, developing, training, and retaining top talent in our support centers, partners who are capable sales associates in large numbers in our pet care centers, and experienced management personnel. Our ability to meet our labor needs while controlling labor costs is subject to external factors such as unemployment levels, prevailing wage rates, minimum wage legislation, inflationary pressures, the availability of qualified persons in the markets where we operate, changing demographics, behavioral changes, health and other insurance costs, and governmental labor and employment requirements. We have faced, and could continue to face, labor shortages at several of our distribution centers due to factors directly or indirectly related to COVID-19 and related issues such as vaccine mandates, as well as other factors, which has adversely affected our operations. We have also faced increased wage competition and costs across our business in recruiting and retaining top talent. Recently, various legislative movements have sought to increase the federal minimum wage in the United States and the minimum wage in a number of individual states, some of which have been successful at the state level. As federal or state minimum wage rates increase, we may need to increase not only the wage rates of our minimum wage partners but also the wages paid to our other hourly partners. If we fail to increase our wages competitively, we could fail to recruit and retain top talent and face labor shortages or staffing issues, and the quality of our workforce could decline, causing our customer service to suffer, while increasing our wages could cause our earnings to decrease. Moreover, failure to achieve and maintain a diverse workforce and leadership team, maintain a safe and inclusive environment or promote the well-being of our employees could affect our reputation and also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800"/>
        <w:spacing w:after="0" w:line="277" w:lineRule="auto"/>
        <w:rPr>
          <w:sz w:val="20"/>
          <w:szCs w:val="20"/>
          <w:color w:val="auto"/>
        </w:rPr>
      </w:pPr>
      <w:r>
        <w:rPr>
          <w:rFonts w:ascii="Arial" w:cs="Arial" w:eastAsia="Arial" w:hAnsi="Arial"/>
          <w:sz w:val="18"/>
          <w:szCs w:val="18"/>
          <w:color w:val="auto"/>
        </w:rPr>
        <w:t>result in lower performance and an inability to retain valuable employees. If we do not continue to attract, train, and retain quality associates and management personnel, our performance could be adversely affected.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may have an adverse effect on our operations.</w:t>
      </w:r>
    </w:p>
    <w:p>
      <w:pPr>
        <w:spacing w:after="0" w:line="117" w:lineRule="exact"/>
        <w:rPr>
          <w:sz w:val="20"/>
          <w:szCs w:val="20"/>
          <w:color w:val="auto"/>
        </w:rPr>
      </w:pPr>
    </w:p>
    <w:p>
      <w:pPr>
        <w:ind w:right="40" w:firstLine="589"/>
        <w:spacing w:after="0" w:line="271" w:lineRule="auto"/>
        <w:rPr>
          <w:sz w:val="20"/>
          <w:szCs w:val="20"/>
          <w:color w:val="auto"/>
        </w:rPr>
      </w:pPr>
      <w:r>
        <w:rPr>
          <w:rFonts w:ascii="Arial" w:cs="Arial" w:eastAsia="Arial" w:hAnsi="Arial"/>
          <w:sz w:val="17"/>
          <w:szCs w:val="17"/>
          <w:color w:val="auto"/>
        </w:rPr>
        <w:t>We are not currently party to a collective bargaining agreement with any of our employees. If we were to experience a union organizing campaign, this activity could be disruptive to our operations, increase our labor costs and decrease our operational flexibility. We cannot assure you that some or all of our employees will not become covered by a collective bargaining agreement or that we will not encounter labor conflicts or strikes. In addition, organized labor may benefit from new legislation or legal interpretations by the current presidential administration, as well as current or future unionization efforts among other large employers. Particularly, in light of current support for changes to federal and state labor laws, we cannot provide any assurance that we will not experience additional and more successful union organization activity in the future. Any labor disruptions could have an adverse effect on our business or results of operations and could cause us to lose customers. Further, our responses to any union organizing efforts could negatively impact our reputation and have adverse effects on our business, including on our financial results.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under our insurance plans and policies may differ from our estimates, which could adversely affect our results of operations.</w:t>
      </w:r>
    </w:p>
    <w:p>
      <w:pPr>
        <w:spacing w:after="0" w:line="129"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We use a combination of insurance and self-insurance plans to provide for potential liabilities for workers’ compensation, general liability, business interruption, property and directors’ and officers’ liability insurance, vehicle liability, and employee health-care benefits. Our insurance coverage may not be sufficient, and any insurance proceeds may not be timely paid to us. Moreover, we cannot be certain that insurance will continue to be available to us on economically reasonable terms, or at all.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spacing w:after="0" w:line="28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Resistance from veterinarians to authorize prescriptions or attempts/efforts on their part to discourage pet owners from purchasing from us could cause our sales to decrease and could adversely affect our financial condition and results of operations.</w:t>
      </w:r>
    </w:p>
    <w:p>
      <w:pPr>
        <w:spacing w:after="0" w:line="38" w:lineRule="exact"/>
        <w:rPr>
          <w:sz w:val="20"/>
          <w:szCs w:val="20"/>
          <w:color w:val="auto"/>
        </w:rPr>
      </w:pPr>
    </w:p>
    <w:p>
      <w:pPr>
        <w:ind w:right="180" w:firstLine="589"/>
        <w:spacing w:after="0" w:line="254" w:lineRule="auto"/>
        <w:rPr>
          <w:sz w:val="20"/>
          <w:szCs w:val="20"/>
          <w:color w:val="auto"/>
        </w:rPr>
      </w:pPr>
      <w:r>
        <w:rPr>
          <w:rFonts w:ascii="Arial" w:cs="Arial" w:eastAsia="Arial" w:hAnsi="Arial"/>
          <w:sz w:val="18"/>
          <w:szCs w:val="18"/>
          <w:color w:val="auto"/>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 discouraging pet owners from purchasing from us, our sales could decrease and our financial condition and results of operations may be materially adversely affected.</w:t>
      </w:r>
    </w:p>
    <w:p>
      <w:pPr>
        <w:spacing w:after="0" w:line="3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results may be adversely affected by serious disruptions or catastrophic events, including public health issues, geopolitical events, and severe weather.</w:t>
      </w:r>
    </w:p>
    <w:p>
      <w:pPr>
        <w:spacing w:after="0" w:line="62" w:lineRule="exact"/>
        <w:rPr>
          <w:sz w:val="20"/>
          <w:szCs w:val="20"/>
          <w:color w:val="auto"/>
        </w:rPr>
      </w:pPr>
    </w:p>
    <w:p>
      <w:pPr>
        <w:ind w:right="140" w:firstLine="589"/>
        <w:spacing w:after="0" w:line="289" w:lineRule="auto"/>
        <w:rPr>
          <w:sz w:val="20"/>
          <w:szCs w:val="20"/>
          <w:color w:val="auto"/>
        </w:rPr>
      </w:pPr>
      <w:r>
        <w:rPr>
          <w:rFonts w:ascii="Arial" w:cs="Arial" w:eastAsia="Arial" w:hAnsi="Arial"/>
          <w:sz w:val="16"/>
          <w:szCs w:val="16"/>
          <w:color w:val="auto"/>
        </w:rPr>
        <w:t>Geopolitical events, such as war or civil unrest in a country in which our vendors are located or dependent upon, or terrorist or military activities disrupting transportation, communication, or utility systems, local protests, and unrest and natural disasters, such as hurricanes, tornadoes, floods, earthquakes, and other severe weather and climate conditions (including those resulting from climate change), whether occurring in the United States or abroad, particularly during peak seasonal periods, could disrupt our operations or the operations of one or more of our vendors, or could severely damage or destroy one or more of our pet care centers or distribution centers located in the affected areas. For example, day-to-day operations, particularly our ability to receive products from our vendors or transport products to our pet care centers, could be adversely affected, or we could be required to close pet care centers or distribution centers in the affected areas or in areas served by the affected distribution center. These factors could also cause consumer confidence and spending to decrease or result in increased volatility in the United States and global financial markets and economy. These or other occurrences could significantly impact our operating results and financial performance.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right="140" w:firstLine="589"/>
        <w:spacing w:after="0" w:line="272" w:lineRule="auto"/>
        <w:rPr>
          <w:sz w:val="20"/>
          <w:szCs w:val="20"/>
          <w:color w:val="auto"/>
        </w:rPr>
      </w:pPr>
      <w:r>
        <w:rPr>
          <w:rFonts w:ascii="Arial" w:cs="Arial" w:eastAsia="Arial" w:hAnsi="Arial"/>
          <w:sz w:val="17"/>
          <w:szCs w:val="17"/>
          <w:color w:val="auto"/>
        </w:rPr>
        <w:t>A potential result of climate change is more frequent or more severe weather events or natural disasters. To the extent such weather events or natural disasters do become more frequent or severe, disruptions to our business and costs to repair damaged facilities or maintain or resume operations could increase. The long-term impacts of climate change, whether involving physical risks (such as extreme weather conditions or rising sea levels) or transition risks (such as regulatory or technology changes or increased operating costs, including the cost of insurance) are expected to be widespread and unpredictable. These changes over time could also affect, for example, the availability and cost of certain products, insurance, commodities and energy (including utilities), which in turn may impact our ability to procure those certain goods or services required for the operation of our business at the quantities and levels we require or on otherwise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adversely impact our financial condition and results of operations.</w:t>
      </w:r>
    </w:p>
    <w:p>
      <w:pPr>
        <w:spacing w:after="0" w:line="117" w:lineRule="exact"/>
        <w:rPr>
          <w:sz w:val="20"/>
          <w:szCs w:val="20"/>
          <w:color w:val="auto"/>
        </w:rPr>
      </w:pPr>
    </w:p>
    <w:p>
      <w:pPr>
        <w:ind w:right="100" w:firstLine="540"/>
        <w:spacing w:after="0" w:line="289" w:lineRule="auto"/>
        <w:rPr>
          <w:sz w:val="20"/>
          <w:szCs w:val="20"/>
          <w:color w:val="auto"/>
        </w:rPr>
      </w:pPr>
      <w:r>
        <w:rPr>
          <w:rFonts w:ascii="Arial" w:cs="Arial" w:eastAsia="Arial" w:hAnsi="Arial"/>
          <w:sz w:val="16"/>
          <w:szCs w:val="16"/>
          <w:color w:val="auto"/>
        </w:rPr>
        <w:t>Inflation in the United States began to rise significantly in the second half of 2021. This is primarily believed to be the result of the economic impacts from the COVID-19 pandemic, including the global supply chain disruptions, strong economic recovery and associated widespread demand for goods, and government stimulus packages, among other factors. For instance, global supply chain disruptions have resulted in shortages in materials and services. Such shortages have resulted in inflationary cost increases for labor, materials, and services, and could continue to cause costs to increase as well as scarcity of certain products. We are experiencing inflationary pressures in certain areas of our business, including with respect to employee wages and the cost of merchandise, although, to date, we have been able to mitigate such pressures through price increases and other measures. We cannot, however, predict any future trends in the rate of inflation or associated increases in our operating costs and how that may impact our business. To the extent we are unable to recover higher operating costs resulting from inflation or otherwise mitigate the impact of such costs on our business, our revenues and gross margins could decrease, and our financial condition and results of operations could be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76"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operations, including those of some of our vendors, are subject to federal, state, and local laws and regulations established by the OSHA, the FDA, the USDA, the DEA, the U.S. Environmental Protection Agency, the National Labor Relations Board,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customer and associate information; and the licensing and certification of services. In addition, we are subject to a wide range of state and local regulations relating to COVID-19, which are frequently changing. For more information regarding laws and regulations that we are subject to, please read “Business—Government Regulation.”</w:t>
      </w:r>
    </w:p>
    <w:p>
      <w:pPr>
        <w:spacing w:after="0" w:line="182" w:lineRule="exact"/>
        <w:rPr>
          <w:sz w:val="20"/>
          <w:szCs w:val="20"/>
          <w:color w:val="auto"/>
        </w:rPr>
      </w:pPr>
    </w:p>
    <w:p>
      <w:pPr>
        <w:ind w:right="60" w:firstLine="594"/>
        <w:spacing w:after="0" w:line="284" w:lineRule="auto"/>
        <w:rPr>
          <w:sz w:val="20"/>
          <w:szCs w:val="20"/>
          <w:color w:val="auto"/>
        </w:rPr>
      </w:pPr>
      <w:r>
        <w:rPr>
          <w:rFonts w:ascii="Arial" w:cs="Arial" w:eastAsia="Arial" w:hAnsi="Arial"/>
          <w:sz w:val="16"/>
          <w:szCs w:val="16"/>
          <w:color w:val="auto"/>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or third-party liability claims against us, among other things. Such laws and regulations generally have become more stringent over time and may become more so in the future, and we may incur (directly, or indirectly through our outsourced private brand manufacturing partners) material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compliance with any such laws and regulations could materially and adversely affect our business, reputation, financial condition, and results of operations. In addition, changes in the laws and regulations to which we are subject could impose significant limitations and require changes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ind w:right="240"/>
        <w:spacing w:after="0" w:line="263" w:lineRule="auto"/>
        <w:rPr>
          <w:sz w:val="20"/>
          <w:szCs w:val="20"/>
          <w:color w:val="auto"/>
        </w:rPr>
      </w:pPr>
      <w:r>
        <w:rPr>
          <w:rFonts w:ascii="Arial" w:cs="Arial" w:eastAsia="Arial" w:hAnsi="Arial"/>
          <w:sz w:val="18"/>
          <w:szCs w:val="18"/>
          <w:color w:val="auto"/>
        </w:rPr>
        <w:t>to our business, which may increase our compliance expenses, make our business costlier and less efficient to conduct, and compromise our growth strategy. Although we routinely obtain broad indemnities from our vendors in respect of their products, we could be adversely affected if we were found not to be in compliance with applicable regulations and we were not made whole by our vendors.</w:t>
      </w:r>
    </w:p>
    <w:p>
      <w:pPr>
        <w:spacing w:after="0" w:line="184" w:lineRule="exact"/>
        <w:rPr>
          <w:sz w:val="20"/>
          <w:szCs w:val="20"/>
          <w:color w:val="auto"/>
        </w:rPr>
      </w:pPr>
    </w:p>
    <w:p>
      <w:pPr>
        <w:ind w:right="20" w:firstLine="594"/>
        <w:spacing w:after="0" w:line="269" w:lineRule="auto"/>
        <w:rPr>
          <w:sz w:val="20"/>
          <w:szCs w:val="20"/>
          <w:color w:val="auto"/>
        </w:rPr>
      </w:pPr>
      <w:r>
        <w:rPr>
          <w:rFonts w:ascii="Arial" w:cs="Arial" w:eastAsia="Arial" w:hAnsi="Arial"/>
          <w:sz w:val="17"/>
          <w:szCs w:val="17"/>
          <w:color w:val="auto"/>
        </w:rPr>
        <w:t>Among other regulatory requirements, the FDA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the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and other governmental authorities.</w:t>
      </w:r>
    </w:p>
    <w:p>
      <w:pPr>
        <w:spacing w:after="0" w:line="185" w:lineRule="exact"/>
        <w:rPr>
          <w:sz w:val="20"/>
          <w:szCs w:val="20"/>
          <w:color w:val="auto"/>
        </w:rPr>
      </w:pPr>
    </w:p>
    <w:p>
      <w:pPr>
        <w:ind w:right="60" w:firstLine="594"/>
        <w:spacing w:after="0" w:line="273" w:lineRule="auto"/>
        <w:rPr>
          <w:sz w:val="20"/>
          <w:szCs w:val="20"/>
          <w:color w:val="auto"/>
        </w:rPr>
      </w:pPr>
      <w:r>
        <w:rPr>
          <w:rFonts w:ascii="Arial" w:cs="Arial" w:eastAsia="Arial" w:hAnsi="Arial"/>
          <w:sz w:val="17"/>
          <w:szCs w:val="17"/>
          <w:color w:val="auto"/>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6"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spacing w:after="0" w:line="18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Our provision of veterinary services through tele-veterinarian offerings is also subject to an evolving set of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often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spacing w:after="0" w:line="181"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 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40"/>
        <w:spacing w:after="0" w:line="296" w:lineRule="auto"/>
        <w:rPr>
          <w:sz w:val="20"/>
          <w:szCs w:val="20"/>
          <w:color w:val="auto"/>
        </w:rPr>
      </w:pPr>
      <w:r>
        <w:rPr>
          <w:rFonts w:ascii="Arial" w:cs="Arial" w:eastAsia="Arial" w:hAnsi="Arial"/>
          <w:sz w:val="16"/>
          <w:szCs w:val="16"/>
          <w:color w:val="auto"/>
        </w:rPr>
        <w:t>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 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 and our Petco Pay promotional financing program.</w:t>
      </w:r>
    </w:p>
    <w:p>
      <w:pPr>
        <w:spacing w:after="0" w:line="117"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We currently accept payments using a variety of methods, including credit cards, debit cards, Paypal, and gift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As a merchant that accepts debit and credit cards for payment, we are subject to PCI DSS, which contains compliance guidelines and standards with regard to our security surrounding the physical administrative and technical storage, processing, and transmission of individual cardholder data. By accepting debit cards for payment, we are also subject to compliance with American National Standards Institute data encryption standards and payment network security operating guidelines.</w:t>
      </w:r>
    </w:p>
    <w:p>
      <w:pPr>
        <w:spacing w:after="0" w:line="56"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65"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92"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We also occasionally receive orders placed with fraudulent data. If we are unable to detect or control fraud, our liability for these transactions could harm our business, financial condition, and results of operations.</w:t>
      </w:r>
    </w:p>
    <w:p>
      <w:pPr>
        <w:spacing w:after="0" w:line="170" w:lineRule="exact"/>
        <w:rPr>
          <w:sz w:val="20"/>
          <w:szCs w:val="20"/>
          <w:color w:val="auto"/>
        </w:rPr>
      </w:pPr>
    </w:p>
    <w:p>
      <w:pPr>
        <w:ind w:right="20" w:firstLine="589"/>
        <w:spacing w:after="0" w:line="290" w:lineRule="auto"/>
        <w:rPr>
          <w:sz w:val="20"/>
          <w:szCs w:val="20"/>
          <w:color w:val="auto"/>
        </w:rPr>
      </w:pPr>
      <w:r>
        <w:rPr>
          <w:rFonts w:ascii="Arial" w:cs="Arial" w:eastAsia="Arial" w:hAnsi="Arial"/>
          <w:sz w:val="16"/>
          <w:szCs w:val="16"/>
          <w:color w:val="auto"/>
        </w:rPr>
        <w:t>We offer promotional financing and credit cards issued by third-party banks that manage and directly extend credit to our customers through our Petco Pay program. Customers using Petco Pay can earn rewards for making purchases on the Petco-branded credit cards or receive extended payment terms and low interest financing on qualifying purchases. We believe Petco Pay will generate incremental revenue from customers who prefer the financing terms to other available forms of payment or otherwise need access to financing in order to make purchases. In addition, we earn profit- share income and share in any losses from certain of our banking partners based on the performance of the programs. The income or loss we earn in this regard is subject to numerous factors, including the volume and value of transactions, the terms of promotional financing offers, bad debt rates, interest rates, the macroeconomic, regulatory and competitive environment, and expenses of operating the program. Adverse changes to any of these factors could impair our ability to offer Petco Pay to customers, reduce customer purchases, or impair our ability to earn income from sharing in the profits of the program.</w:t>
      </w:r>
    </w:p>
    <w:p>
      <w:pPr>
        <w:spacing w:after="0" w:line="273"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spacing w:after="0" w:line="76"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We collect, maintain, use, and share consumer data provided to us through online activities and other consumer interactions in our business in order to provide a better experience for our customers. Our current and future marketing programs depend on our ability to collect, maintain, use, and share this information with service providers and other third-party vendors, and our ability to do so depends on the trust that our customers place in us and our ability to maintain that trust. Additionally, our use of consumer data is subject to the terms of our privacy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right="120"/>
        <w:spacing w:after="0" w:line="273" w:lineRule="auto"/>
        <w:rPr>
          <w:sz w:val="20"/>
          <w:szCs w:val="20"/>
          <w:color w:val="auto"/>
        </w:rPr>
      </w:pPr>
      <w:r>
        <w:rPr>
          <w:rFonts w:ascii="Arial" w:cs="Arial" w:eastAsia="Arial" w:hAnsi="Arial"/>
          <w:sz w:val="17"/>
          <w:szCs w:val="17"/>
          <w:color w:val="auto"/>
        </w:rPr>
        <w:t>policies and certain contractual restrictions in third-party contracts as well as evolving federal, state, and international laws and enforcement trends. While we strive to comply with all such regulatory and contractual obligations and believe that we are good stewards of our customers’ data, this area is rapidly evolving, and it is possible that these requirements may be interpreted and applied in a manner that is inconsistent from one jurisdiction to another, may conflict with other rules, or may conflict with our practices. If so, we may suffer damage to our reputation and be subject to proceedings or actions against us by governmental entities or others. Any such proceeding or action could hurt our reputation, force us to spend significant amounts to defend our practices, distract our management, increase our costs of doing business, and result in monetary liability.</w:t>
      </w:r>
    </w:p>
    <w:p>
      <w:pPr>
        <w:spacing w:after="0" w:line="178" w:lineRule="exact"/>
        <w:rPr>
          <w:sz w:val="20"/>
          <w:szCs w:val="20"/>
          <w:color w:val="auto"/>
        </w:rPr>
      </w:pPr>
    </w:p>
    <w:p>
      <w:pPr>
        <w:ind w:firstLine="589"/>
        <w:spacing w:after="0" w:line="269" w:lineRule="auto"/>
        <w:rPr>
          <w:sz w:val="20"/>
          <w:szCs w:val="20"/>
          <w:color w:val="auto"/>
        </w:rPr>
      </w:pPr>
      <w:r>
        <w:rPr>
          <w:rFonts w:ascii="Arial" w:cs="Arial" w:eastAsia="Arial" w:hAnsi="Arial"/>
          <w:sz w:val="17"/>
          <w:szCs w:val="17"/>
          <w:color w:val="auto"/>
        </w:rPr>
        <w:t>One of the ways we track consumer data and interactions for marketing purposes is through the use of third-party “cookies.” Federal and state governmental authorities continue to evaluate the privacy implications inherent in the use of third-party cookies and other methods of online tracking for behavioral advertising and other purposes. The U.S. government and various states have enacted, have considered, or are considering legislation or regulations that could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materially and adversely affect our business, financial condition, and results of operations.</w:t>
      </w:r>
    </w:p>
    <w:p>
      <w:pPr>
        <w:spacing w:after="0" w:line="182" w:lineRule="exact"/>
        <w:rPr>
          <w:sz w:val="20"/>
          <w:szCs w:val="20"/>
          <w:color w:val="auto"/>
        </w:rPr>
      </w:pPr>
    </w:p>
    <w:p>
      <w:pPr>
        <w:ind w:right="60" w:firstLine="589"/>
        <w:spacing w:after="0" w:line="284" w:lineRule="auto"/>
        <w:rPr>
          <w:sz w:val="20"/>
          <w:szCs w:val="20"/>
          <w:color w:val="auto"/>
        </w:rPr>
      </w:pPr>
      <w:r>
        <w:rPr>
          <w:rFonts w:ascii="Arial" w:cs="Arial" w:eastAsia="Arial" w:hAnsi="Arial"/>
          <w:sz w:val="16"/>
          <w:szCs w:val="16"/>
          <w:color w:val="auto"/>
        </w:rPr>
        <w:t>In addition, various federal and state legislative and regulatory bodies, or self-regulatory organizations, may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gives California residents expanded rights to access and delete their personal information, opt out of certain sales of personal information, and receive detailed information about what personal information is collected, how their personal information is used, and how that personal information is shared. The CCPA provides for civil penalties for violations enforced by the California Attorney General, as well as a private right of action for data breaches that has resulted in an increase data breach litigation. Further, on November 3, 2020, the California Privacy Rights Act (the “CPRA”) was voted into law by California residents. The CPRA significantly amends the CCPA, and imposes additional data protection obligations on companies doing business in California, including additional consumer rights processes and opt outs for certain uses of sensitive data. It also creates a new California data protection agency specifically tasked to enforce the law, which could result in increased regulatory scrutiny of California businesses in the areas of data protection and security. The substantive requirements for businesses subject to the CPRA will go into effect on January 1, 2023 and become enforceable on July 1, 2023. Some observers have noted that the CCPA and CPRA could mark the beginning of a trend toward more stringent state privacy legislation in the United States. Similar laws have been passed in Virginia and Colorado (specifically, the Virginia Consumer Data Protection Act (“VCDPA”) and the Colorado Privacy Act (“CPA”)), and will become effective on January 1, 2023, and have been proposed in other states and at the federal level. If passed, such laws may have potentially conflicting requirements that would make compliance challenging. We have incurred and may continue to incur costs to adapt our systems and practices to comply with the current CCPA requirements and the future requirements of the CPRA, VCDPA, and CPA, and these costs may adversely affect our financial condition and results of operations. Additionally, the Federal Trade Commission (the “FTC”) and many state attorneys general are interpreting existing federal and state consumer protection laws to impose evolving standards for the online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may be subject to government claims of unfair or deceptive trade practices, which could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spacing w:after="0" w:line="175"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Each of these privacy, security, and data protection laws and regulations—and others, including the CAN-SPAM Act of 2003, regulating our use of certain electronic mail marketing and state data breach notification 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40"/>
        <w:spacing w:after="0" w:line="301" w:lineRule="auto"/>
        <w:rPr>
          <w:sz w:val="20"/>
          <w:szCs w:val="20"/>
          <w:color w:val="auto"/>
        </w:rPr>
      </w:pPr>
      <w:r>
        <w:rPr>
          <w:rFonts w:ascii="Arial" w:cs="Arial" w:eastAsia="Arial" w:hAnsi="Arial"/>
          <w:sz w:val="16"/>
          <w:szCs w:val="16"/>
          <w:color w:val="auto"/>
        </w:rPr>
        <w:t>requiring notifications to state residents in certain instances—and any other such changes or new laws or regulations, could impose significant limitations, require changes to our business, or restrict our use or storage of personal information, which may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the risk of litigation resulting from unauthorized text messages sent in violation of the Telephone Consumer Protection Act.</w:t>
      </w:r>
    </w:p>
    <w:p>
      <w:pPr>
        <w:spacing w:after="0" w:line="129" w:lineRule="exact"/>
        <w:rPr>
          <w:sz w:val="20"/>
          <w:szCs w:val="20"/>
          <w:color w:val="auto"/>
        </w:rPr>
      </w:pPr>
    </w:p>
    <w:p>
      <w:pPr>
        <w:ind w:right="40" w:firstLine="589"/>
        <w:spacing w:after="0" w:line="287" w:lineRule="auto"/>
        <w:rPr>
          <w:sz w:val="20"/>
          <w:szCs w:val="20"/>
          <w:color w:val="auto"/>
        </w:rPr>
      </w:pPr>
      <w:r>
        <w:rPr>
          <w:rFonts w:ascii="Arial" w:cs="Arial" w:eastAsia="Arial" w:hAnsi="Arial"/>
          <w:sz w:val="16"/>
          <w:szCs w:val="16"/>
          <w:color w:val="auto"/>
        </w:rPr>
        <w:t>We send short message service, or SMS, text messages to customers. The actual or perceived improper sending of text messages may subject us to potential risks, including liabilities or claims relating to consumer protection laws. For example, the Telephone Consumer Protection Act of 1991, a federal statute that protects consumers from unwanted telephone calls, faxes, and text messages, restricts telemarketing and the use of automated SMS text messages without proper consent. Numerous class-action suits under federal and state laws have been filed in recent years against companies who conduct SMS texting programs, with many resulting in multi-million-dollar settlements to the plaintiffs. Federal or state regulatory authorities or private litigants may claim that the notices and disclosures we provide, form of consents we obtain, or our SMS texting practices are not adequate or violate applicable law, resulting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or could face negative publicity, and our business, financial condition, and results of operations could be adversely affected as a result. Even an unsuccessful challenge of our SMS texting practices by our customers, regulatory authorities, or other third parties could result in negative publicity and could require a costly response from and defense by us.</w:t>
      </w:r>
    </w:p>
    <w:p>
      <w:pPr>
        <w:spacing w:after="0" w:line="2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Product recalls and product liability, as well as changes in product safety and other consumer protection laws, may adversely impact our operations, merchandise offerings, reputation, financial condition, results of operations, and cash flows.</w:t>
      </w:r>
    </w:p>
    <w:p>
      <w:pPr>
        <w:spacing w:after="0" w:line="62" w:lineRule="exact"/>
        <w:rPr>
          <w:sz w:val="20"/>
          <w:szCs w:val="20"/>
          <w:color w:val="auto"/>
        </w:rPr>
      </w:pPr>
    </w:p>
    <w:p>
      <w:pPr>
        <w:ind w:right="40" w:firstLine="589"/>
        <w:spacing w:after="0" w:line="268" w:lineRule="auto"/>
        <w:rPr>
          <w:sz w:val="20"/>
          <w:szCs w:val="20"/>
          <w:color w:val="auto"/>
        </w:rPr>
      </w:pPr>
      <w:r>
        <w:rPr>
          <w:rFonts w:ascii="Arial" w:cs="Arial" w:eastAsia="Arial" w:hAnsi="Arial"/>
          <w:sz w:val="17"/>
          <w:szCs w:val="17"/>
          <w:color w:val="auto"/>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 manufactured in foreign countries, could cause those products to be recalled. If our vendors fail to manufacture or import merchandise that adheres to our quality control standards, product safety requirements, or applicable governmental regulations, our reputation and brands could be damaged, potentially leading to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 believe we are complying with current regulations applicable to us, significant fines or penalties could result, and could adversely affect our reputation, financial condition, results of operations, and cash flows.</w:t>
      </w:r>
    </w:p>
    <w:p>
      <w:pPr>
        <w:spacing w:after="0" w:line="292"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1"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trademarks, such as Bond &amp; Co., EveryYay, Good 2 Go, Good Lovin’, Harmony, Imagitarium, Leaps &amp; Bounds, Pals Rewards, Petco, Petco Love, PetCoach, PupBox, Reddy, Ruff &amp; Mews, So Phresh, Vetco, Well &amp; Good, WholeHearted, You &amp; Me, and Youly are valuable assets that support our 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9" w:name="page30"/>
    <w:bookmarkEnd w:id="29"/>
    <w:p>
      <w:pPr>
        <w:spacing w:after="0" w:line="267" w:lineRule="auto"/>
        <w:rPr>
          <w:sz w:val="20"/>
          <w:szCs w:val="20"/>
          <w:color w:val="auto"/>
        </w:rPr>
      </w:pPr>
      <w:r>
        <w:rPr>
          <w:rFonts w:ascii="Arial" w:cs="Arial" w:eastAsia="Arial" w:hAnsi="Arial"/>
          <w:sz w:val="17"/>
          <w:szCs w:val="17"/>
          <w:color w:val="auto"/>
        </w:rPr>
        <w:t>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or other allegations, which could result in substantial damages and diversion of management’s efforts and attention.</w:t>
      </w:r>
    </w:p>
    <w:p>
      <w:pPr>
        <w:spacing w:after="0" w:line="62" w:lineRule="exact"/>
        <w:rPr>
          <w:sz w:val="20"/>
          <w:szCs w:val="20"/>
          <w:color w:val="auto"/>
        </w:rPr>
      </w:pPr>
    </w:p>
    <w:p>
      <w:pPr>
        <w:ind w:right="300" w:firstLine="589"/>
        <w:spacing w:after="0" w:line="273" w:lineRule="auto"/>
        <w:rPr>
          <w:sz w:val="20"/>
          <w:szCs w:val="20"/>
          <w:color w:val="auto"/>
        </w:rPr>
      </w:pPr>
      <w:r>
        <w:rPr>
          <w:rFonts w:ascii="Arial" w:cs="Arial" w:eastAsia="Arial" w:hAnsi="Arial"/>
          <w:sz w:val="17"/>
          <w:szCs w:val="17"/>
          <w:color w:val="auto"/>
        </w:rPr>
        <w:t>We have obligations with respect to the non-use and non-disclosure of third-party intellectual property. The steps we take to prevent misappropriation, infringement, or other violations of the intellectual property of others may not be successful. From time to time, third parties have asserted intellectual property infringement claims against us and may continue to do so in the future. These risks have been amplified by the increase in third parties whose sole or primary business is to assert such claims.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spacing w:after="0" w:line="178"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Any claims that our products, services, systems, applications, or marketing materials infringe the proprietary rights of third parties, regardless of their merit or resolution, could be costly to investigate, defend and/or settle, result in injunctions against us or payment of damages or licensing fees by us, and may divert the efforts and attention of our management and technical personnel. We may not prevail in such proceedings given the complex technical issues and inherent uncertainties in intellectual property litigation. If such proceedings result in an adverse outcome, we could, among other things, be required to:</w:t>
      </w:r>
    </w:p>
    <w:p>
      <w:pPr>
        <w:spacing w:after="0" w:line="80"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(potentially treble damages in the United States);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distribution, or sale of the infringing products, operations, or services;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discontinue the use of the infringing methods or processes;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expend significant resources to develop non-infringing products, operations, or services or re-brand our business and products; and</w:t>
      </w:r>
    </w:p>
    <w:p>
      <w:pPr>
        <w:spacing w:after="0" w:line="155" w:lineRule="exact"/>
        <w:rPr>
          <w:rFonts w:ascii="Arial" w:cs="Arial" w:eastAsia="Arial" w:hAnsi="Arial"/>
          <w:sz w:val="17"/>
          <w:szCs w:val="17"/>
          <w:color w:val="auto"/>
        </w:rPr>
      </w:pPr>
    </w:p>
    <w:p>
      <w:pPr>
        <w:ind w:left="1160" w:right="160" w:hanging="572"/>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 license from the third party claiming infringement, which may not be available on commercially reasonable terms, or may not be available at all.</w:t>
      </w:r>
    </w:p>
    <w:p>
      <w:pPr>
        <w:spacing w:after="0" w:line="170"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If any of the foregoing occurs, our ability to compete could be affected or our business, financial condition, and results of operations may be materially adversely affected.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300"/>
        <w:spacing w:after="0" w:line="308" w:lineRule="auto"/>
        <w:rPr>
          <w:sz w:val="20"/>
          <w:szCs w:val="20"/>
          <w:color w:val="auto"/>
        </w:rPr>
      </w:pPr>
      <w:r>
        <w:rPr>
          <w:rFonts w:ascii="Arial" w:cs="Arial" w:eastAsia="Arial" w:hAnsi="Arial"/>
          <w:sz w:val="17"/>
          <w:szCs w:val="17"/>
          <w:b w:val="1"/>
          <w:bCs w:val="1"/>
          <w:i w:val="1"/>
          <w:iCs w:val="1"/>
          <w:color w:val="auto"/>
        </w:rPr>
        <w:t>We are party to routine litigation arising in the ordinary course of our business and may become involved in additional litigation, all of which could require time and attention from certain members of management and result in significant legal expenses.</w:t>
      </w:r>
    </w:p>
    <w:p>
      <w:pPr>
        <w:spacing w:after="0" w:line="3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We are involved in litigation arising in the ordinary course of business, including claims related to federal or state wage and hour laws, working conditions, product liability, consumer protection, advertising, employment, intellectual property, tort, privacy and data protection, disputes with landlords and vendors, claims from customers or employees alleging failure to maintain safe premises, including with respect to protocols relating to COVID-19, and other matters. Even if we prevail, litigation can be time-consuming and expensive. An unfavorable outcome in one or more of these existing lawsuits, or future litigation to which we become a party, could have a material adverse effect on our business, financial condition, results of operations, and cash flows.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environmental, health, and safety laws and regulations that could result in costs to us.</w:t>
      </w:r>
    </w:p>
    <w:p>
      <w:pPr>
        <w:spacing w:after="0" w:line="117" w:lineRule="exact"/>
        <w:rPr>
          <w:sz w:val="20"/>
          <w:szCs w:val="20"/>
          <w:color w:val="auto"/>
        </w:rPr>
      </w:pPr>
    </w:p>
    <w:p>
      <w:pPr>
        <w:ind w:right="120" w:firstLine="589"/>
        <w:spacing w:after="0" w:line="296" w:lineRule="auto"/>
        <w:rPr>
          <w:sz w:val="20"/>
          <w:szCs w:val="20"/>
          <w:color w:val="auto"/>
        </w:rPr>
      </w:pPr>
      <w:r>
        <w:rPr>
          <w:rFonts w:ascii="Arial" w:cs="Arial" w:eastAsia="Arial" w:hAnsi="Arial"/>
          <w:sz w:val="16"/>
          <w:szCs w:val="16"/>
          <w:color w:val="auto"/>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spacing w:after="0" w:line="53" w:lineRule="exact"/>
        <w:rPr>
          <w:sz w:val="20"/>
          <w:szCs w:val="20"/>
          <w:color w:val="auto"/>
        </w:rPr>
      </w:pPr>
    </w:p>
    <w:p>
      <w:pPr>
        <w:ind w:right="220" w:firstLine="589"/>
        <w:spacing w:after="0" w:line="296" w:lineRule="auto"/>
        <w:rPr>
          <w:sz w:val="20"/>
          <w:szCs w:val="20"/>
          <w:color w:val="auto"/>
        </w:rPr>
      </w:pPr>
      <w:r>
        <w:rPr>
          <w:rFonts w:ascii="Arial" w:cs="Arial" w:eastAsia="Arial" w:hAnsi="Arial"/>
          <w:sz w:val="16"/>
          <w:szCs w:val="16"/>
          <w:color w:val="auto"/>
        </w:rPr>
        <w:t>Continuing political and social attention to the issue of climate change has resulted in both existing and pending international agreements and national, regional, or local legislation and regulatory measures to limit greenhouse gas emissions, such as cap and trade regimes, carbon taxes, restrictive permitting, increased fuel efficiency standards, and incentives or mandates for renewable energy. Such measures could subject us and our vendors to additional costs and restrictions and require significant operating and capital expenditures, including with respect to waste and energy reduction, compliance costs, and workforce initiatives, which could adversely impact our business, financial condition, results of operations and cash flows.</w:t>
      </w:r>
    </w:p>
    <w:p>
      <w:pPr>
        <w:spacing w:after="0" w:line="269" w:lineRule="exact"/>
        <w:rPr>
          <w:sz w:val="20"/>
          <w:szCs w:val="20"/>
          <w:color w:val="auto"/>
        </w:rPr>
      </w:pPr>
    </w:p>
    <w:p>
      <w:pPr>
        <w:ind w:right="880"/>
        <w:spacing w:after="0" w:line="375" w:lineRule="auto"/>
        <w:rPr>
          <w:sz w:val="20"/>
          <w:szCs w:val="20"/>
          <w:color w:val="auto"/>
        </w:rPr>
      </w:pPr>
      <w:r>
        <w:rPr>
          <w:rFonts w:ascii="Arial" w:cs="Arial" w:eastAsia="Arial" w:hAnsi="Arial"/>
          <w:sz w:val="15"/>
          <w:szCs w:val="15"/>
          <w:b w:val="1"/>
          <w:bCs w:val="1"/>
          <w:i w:val="1"/>
          <w:iCs w:val="1"/>
          <w:color w:val="auto"/>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spacing w:after="0" w:line="1" w:lineRule="exact"/>
        <w:rPr>
          <w:sz w:val="20"/>
          <w:szCs w:val="20"/>
          <w:color w:val="auto"/>
        </w:rPr>
      </w:pPr>
    </w:p>
    <w:p>
      <w:pPr>
        <w:ind w:right="140" w:firstLine="589"/>
        <w:spacing w:after="0" w:line="293" w:lineRule="auto"/>
        <w:rPr>
          <w:sz w:val="20"/>
          <w:szCs w:val="20"/>
          <w:color w:val="auto"/>
        </w:rPr>
      </w:pPr>
      <w:r>
        <w:rPr>
          <w:rFonts w:ascii="Arial" w:cs="Arial" w:eastAsia="Arial" w:hAnsi="Arial"/>
          <w:sz w:val="16"/>
          <w:szCs w:val="16"/>
          <w:color w:val="auto"/>
        </w:rPr>
        <w:t>The sale and delivery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 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of prescription pet medications through our veterinary services businesses.</w:t>
      </w:r>
    </w:p>
    <w:p>
      <w:pPr>
        <w:spacing w:after="0" w:line="164"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spacing w:after="0" w:line="295" w:lineRule="exact"/>
        <w:rPr>
          <w:sz w:val="20"/>
          <w:szCs w:val="20"/>
          <w:color w:val="auto"/>
        </w:rPr>
      </w:pPr>
    </w:p>
    <w:p>
      <w:pPr>
        <w:ind w:right="100" w:firstLine="589"/>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laws, regulations, and stock exchange listing standards, which impose additional costs on us and require our management’s attention.</w:t>
      </w:r>
    </w:p>
    <w:p>
      <w:pPr>
        <w:spacing w:after="0" w:line="170"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as amended (the “Sarbanes-Oxley Act”), the Dodd-Frank Wall Street Reform and Consumer Protection Act of 2010, the listing requirements of Nasdaq, and other applicable securities laws and regulations. Compliance with these laws and regulations has increased our legal and financial compliance costs and makes some activities more difficult, time-consuming, or costly. For example, the Exchange Act requires us, among other things, to file annual, quarterly, and current reports with respect to our business and operating results. Being subject to rules and regulations applicable to public companies makes it more expensive for us to obtain director and officer liability insurance, and we may be required to accept reduced coverage or incur substantially higher costs to obtain coverage. These additional requirements impose significant additional costs on us and require a significant amount of our management’s attention, and could affect our ability to attract and retain qualified board members.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ind w:right="780" w:firstLine="540"/>
        <w:spacing w:after="0" w:line="277" w:lineRule="auto"/>
        <w:rPr>
          <w:sz w:val="20"/>
          <w:szCs w:val="20"/>
          <w:color w:val="auto"/>
        </w:rPr>
      </w:pPr>
      <w:r>
        <w:rPr>
          <w:rFonts w:ascii="Arial" w:cs="Arial" w:eastAsia="Arial" w:hAnsi="Arial"/>
          <w:sz w:val="18"/>
          <w:szCs w:val="18"/>
          <w:b w:val="1"/>
          <w:bCs w:val="1"/>
          <w:i w:val="1"/>
          <w:iCs w:val="1"/>
          <w:color w:val="auto"/>
        </w:rPr>
        <w:t>Our aspirations, goals, and initiatives related to sustainability, and our public statements and disclosures regarding them, expose us to numerous risks.</w:t>
      </w:r>
    </w:p>
    <w:p>
      <w:pPr>
        <w:spacing w:after="0" w:line="62"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We have developed, and will continue to establish, goals, targets, and other objectives related to sustainability matters. These statements reflect our current plans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evolving disclosure standards and/or policies established by standards organizations, stockholders and proxy advisory firms, the pace of changes in technology, the availability of requisite financing, and the availability of suppliers that can meet our sustainability and other standards.</w:t>
      </w:r>
    </w:p>
    <w:p>
      <w:pPr>
        <w:spacing w:after="0" w:line="17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business may face increased scrutiny from the investment community, other stakeholders, and the media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the timelines we announce, or at all, could have the same negative impacts, as well as expose us to government enforcement actions and private litigation. Even if we achieve our goals, targets, and objectives, we may not realize all of the benefits that we expected at the time they were established.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cash flows and prevent us from fulfilling our obligations under existing debt agreements.</w:t>
      </w:r>
    </w:p>
    <w:p>
      <w:pPr>
        <w:spacing w:after="0" w:line="140"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At January 29, 2022, we had outstanding a (i) $1,700 million secured term loan facility maturing on March 4, 2028 (the “First Lien Term Loan”) and (ii) secured asset-based revolving credit facility providing for senior secured financing of up to $500 million, subject to a borrowing base, maturing on March 4, 2026 (the “ABL Revolving Credit Facility”). Our substantial indebtedness could restrict our operations and could have important consequences. For example, it could:</w:t>
      </w:r>
    </w:p>
    <w:p>
      <w:pPr>
        <w:spacing w:after="0" w:line="79"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existing indebtedness;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44" w:lineRule="exact"/>
        <w:rPr>
          <w:rFonts w:ascii="Arial" w:cs="Arial" w:eastAsia="Arial" w:hAnsi="Arial"/>
          <w:sz w:val="18"/>
          <w:szCs w:val="18"/>
          <w:color w:val="auto"/>
        </w:rPr>
      </w:pPr>
    </w:p>
    <w:p>
      <w:pPr>
        <w:ind w:left="1160" w:right="580" w:hanging="572"/>
        <w:spacing w:after="0" w:line="342"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15" w:lineRule="exact"/>
        <w:rPr>
          <w:rFonts w:ascii="Arial" w:cs="Arial" w:eastAsia="Arial" w:hAnsi="Arial"/>
          <w:sz w:val="16"/>
          <w:szCs w:val="16"/>
          <w:color w:val="auto"/>
        </w:rPr>
      </w:pPr>
    </w:p>
    <w:p>
      <w:pPr>
        <w:ind w:left="1160" w:right="120" w:hanging="572"/>
        <w:spacing w:after="0" w:line="277"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industry, which may place us at a competitive disadvantage compared to our competitors that have less debt;</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other investments or cause us to make non-strategic divestitures; and</w:t>
      </w:r>
    </w:p>
    <w:p>
      <w:pPr>
        <w:spacing w:after="0" w:line="144" w:lineRule="exact"/>
        <w:rPr>
          <w:rFonts w:ascii="Arial" w:cs="Arial" w:eastAsia="Arial" w:hAnsi="Arial"/>
          <w:sz w:val="18"/>
          <w:szCs w:val="18"/>
          <w:color w:val="auto"/>
        </w:rPr>
      </w:pPr>
    </w:p>
    <w:p>
      <w:pPr>
        <w:ind w:left="1160" w:right="60" w:hanging="572"/>
        <w:spacing w:after="0" w:line="308"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spacing w:after="0" w:line="146" w:lineRule="exact"/>
        <w:rPr>
          <w:sz w:val="20"/>
          <w:szCs w:val="20"/>
          <w:color w:val="auto"/>
        </w:rPr>
      </w:pPr>
    </w:p>
    <w:p>
      <w:pPr>
        <w:ind w:right="400" w:firstLine="589"/>
        <w:spacing w:after="0" w:line="277" w:lineRule="auto"/>
        <w:rPr>
          <w:sz w:val="20"/>
          <w:szCs w:val="20"/>
          <w:color w:val="auto"/>
        </w:rPr>
      </w:pPr>
      <w:r>
        <w:rPr>
          <w:rFonts w:ascii="Arial" w:cs="Arial" w:eastAsia="Arial" w:hAnsi="Arial"/>
          <w:sz w:val="18"/>
          <w:szCs w:val="18"/>
          <w:color w:val="auto"/>
        </w:rPr>
        <w:t>Please read “Management’s Discussion and Analysis of Financial Condition and Results of Operations—Liquidity and Capital Resources” for descriptions of the First Lien Term Loan and ABL Revolving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agreements governing our indebtedness include restrictive covenants that limit our operating flexibility, which could harm our long-term interests.</w:t>
      </w:r>
    </w:p>
    <w:p>
      <w:pPr>
        <w:spacing w:after="0" w:line="152"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The First Lien Term Loan and ABL Revolving Credit Facility both impose material restrictions on us. These restrictions, subject in certain cases to ordinary course of business and other exceptions, may limit our ability to engage in some transactions, including the following: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incurring additional debt;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paying dividends, redeeming capital stock, or making other restricted payments or investments;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selling assets, properties, or licenses;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liens on assets;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sale and lease-back transactions;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undergoing a change in control;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merging, consolidating, or disposing of substantially all assets;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new lines of business;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transactions with affiliates;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restrictions on the ability of subsidiaries to pay dividends or make other payments.</w:t>
      </w:r>
    </w:p>
    <w:p>
      <w:pPr>
        <w:spacing w:after="0" w:line="252"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spacing w:after="0" w:line="165" w:lineRule="exact"/>
        <w:rPr>
          <w:sz w:val="20"/>
          <w:szCs w:val="20"/>
          <w:color w:val="auto"/>
        </w:rPr>
      </w:pPr>
    </w:p>
    <w:p>
      <w:pPr>
        <w:ind w:right="380" w:firstLine="589"/>
        <w:spacing w:after="0" w:line="311" w:lineRule="auto"/>
        <w:rPr>
          <w:sz w:val="20"/>
          <w:szCs w:val="20"/>
          <w:color w:val="auto"/>
        </w:rPr>
      </w:pPr>
      <w:r>
        <w:rPr>
          <w:rFonts w:ascii="Arial" w:cs="Arial" w:eastAsia="Arial" w:hAnsi="Arial"/>
          <w:sz w:val="16"/>
          <w:szCs w:val="16"/>
          <w:color w:val="auto"/>
        </w:rPr>
        <w:t>Any future debt that we incur may contain financial maintenance covenants. In addition, the ABL Revolving Credit Facility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spacing w:after="0" w:line="149"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Any failure to comply with the restrictions of the First Lien Term Loan, ABL Revolving Credit Facility,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may incur substantial additional indebtedness in the future. This could further increase the risks associated with our substantial leverage.</w:t>
      </w:r>
    </w:p>
    <w:p>
      <w:pPr>
        <w:spacing w:after="0" w:line="62"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We may incur substantial additional indebtedness in the future, which would increase our debt service obligations and could further reduce the cash available to invest in operations. The terms of the credit agreements governing the First Lien Term Loan and ABL Revolving Credit Facility allow us and our subsidiaries to incur additional indebtedness, subject to limitations. As of January 29, 2022, we and our subsidiaries had an additional $438.2 million of unused commitments available to be borrowed under the ABL Revolving Credit Facility. This amount is net of $61.8 million of outstanding letters of credit issued in the normal course of business and no borrowing base reduction for a shortfall in qualifying assets. If new debt is added to our debt levels, or any debt is incurred by our subsidiaries, the related risks that we and our subsidiaries now face could increase.</w:t>
      </w:r>
    </w:p>
    <w:p>
      <w:pPr>
        <w:spacing w:after="0" w:line="27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To service our indebtedness, we require a significant amount of cash. Our ability to generate or access cash depends on many factors beyond our control.</w:t>
      </w:r>
    </w:p>
    <w:p>
      <w:pPr>
        <w:spacing w:after="0" w:line="62"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Our ability to make payments on and refinance our indebtedness, and to fund planned capital expenditures, depends on our ability to generate or access cash in the future. This ability is subject to general economic, financial, competitive, legislative, regulatory, and other factors that are beyond our control.</w:t>
      </w:r>
    </w:p>
    <w:p>
      <w:pPr>
        <w:spacing w:after="0" w:line="184"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refinance any of our indebtedness, including the First Lien Term Loan and the ABL Revolving Credit Facility, on commercially reasonable terms, or at all.</w:t>
      </w:r>
    </w:p>
    <w:p>
      <w:pPr>
        <w:spacing w:after="0" w:line="356"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Our failure to comply with the covenants contained in the credit agreements for the First Lien Term Loan and the ABL Revolving Credit Facility, including as a result of events beyond our control, could result in an event of default that could cause repayment of our debt to be accelerated.</w:t>
      </w:r>
    </w:p>
    <w:p>
      <w:pPr>
        <w:spacing w:after="0" w:line="1" w:lineRule="exact"/>
        <w:rPr>
          <w:sz w:val="20"/>
          <w:szCs w:val="20"/>
          <w:color w:val="auto"/>
        </w:rPr>
      </w:pPr>
    </w:p>
    <w:p>
      <w:pPr>
        <w:ind w:right="40" w:firstLine="589"/>
        <w:spacing w:after="0" w:line="270" w:lineRule="auto"/>
        <w:rPr>
          <w:sz w:val="20"/>
          <w:szCs w:val="20"/>
          <w:color w:val="auto"/>
        </w:rPr>
      </w:pPr>
      <w:r>
        <w:rPr>
          <w:rFonts w:ascii="Arial" w:cs="Arial" w:eastAsia="Arial" w:hAnsi="Arial"/>
          <w:sz w:val="17"/>
          <w:szCs w:val="17"/>
          <w:color w:val="auto"/>
        </w:rPr>
        <w:t>If we are not able to comply with the covenants and other requirements contained in the credit agreements governing the First Lien Term Loan, the ABL Revolving Credit Facility,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 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 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amount of borrowings permitted under the ABL Revolving Credit Facility may fluctuate significantly, which may adversely affect our liquidity, results of operations, and financial position.</w:t>
      </w:r>
    </w:p>
    <w:p>
      <w:pPr>
        <w:spacing w:after="0" w:line="62"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variable rate indebtedness subjects us to interest rate risk, which could cause our indebtedness service obligations to increase significantly.</w:t>
      </w:r>
    </w:p>
    <w:p>
      <w:pPr>
        <w:spacing w:after="0" w:line="140"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Borrowings under the First Lien Term Loan and ABL Revolving Credit Facility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w:t>
      </w:r>
    </w:p>
    <w:p>
      <w:pPr>
        <w:spacing w:after="0" w:line="2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ratings downgrade or other negative action by a ratings organization could adversely affect the trading price of the shares of our Class A common stock.</w:t>
      </w:r>
    </w:p>
    <w:p>
      <w:pPr>
        <w:spacing w:after="0" w:line="62" w:lineRule="exact"/>
        <w:rPr>
          <w:sz w:val="20"/>
          <w:szCs w:val="20"/>
          <w:color w:val="auto"/>
        </w:rPr>
      </w:pPr>
    </w:p>
    <w:p>
      <w:pPr>
        <w:ind w:right="100" w:firstLine="589"/>
        <w:spacing w:after="0" w:line="275" w:lineRule="auto"/>
        <w:rPr>
          <w:sz w:val="20"/>
          <w:szCs w:val="20"/>
          <w:color w:val="auto"/>
        </w:rPr>
      </w:pPr>
      <w:r>
        <w:rPr>
          <w:rFonts w:ascii="Arial" w:cs="Arial" w:eastAsia="Arial" w:hAnsi="Arial"/>
          <w:sz w:val="17"/>
          <w:szCs w:val="17"/>
          <w:color w:val="auto"/>
        </w:rPr>
        <w:t>Credit rating agencies continually revise their ratings for companies they follow. The condition of the financial and credit markets and prevailing interest rates have fluctuated in the past and are likely to fluctuate in the future. In addition, developments in our business and operations, including with respect to sustainability matters, could lead to a ratings downgrade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affecting the availability of LIBOR may have consequences for us that cannot yet be reasonably predicted.</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We have outstanding debt with variable interest rates based on the London Inter-bank Offered Rate (“LIBOR”). Advances under the ABL Revolving Credit Facility and the First Lien Term Loan generally bear interest based on (i) the Eurodollar Rate (as defined in our credit agreements and calculated using LIBOR) or (ii) the Base Rate (as defined in our credit agreements). The LIBOR benchmark has been the subject of national, international, and other regulatory guidance and proposals to reform. In July 2017, the United Kingdom Financial Conduct Authority (the authority that regulates LIBOR) announced that it intended to stop compelling banks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40"/>
        <w:spacing w:after="0" w:line="272" w:lineRule="auto"/>
        <w:rPr>
          <w:sz w:val="20"/>
          <w:szCs w:val="20"/>
          <w:color w:val="auto"/>
        </w:rPr>
      </w:pPr>
      <w:r>
        <w:rPr>
          <w:rFonts w:ascii="Arial" w:cs="Arial" w:eastAsia="Arial" w:hAnsi="Arial"/>
          <w:sz w:val="17"/>
          <w:szCs w:val="17"/>
          <w:color w:val="auto"/>
        </w:rPr>
        <w:t>submit rates for the calculation of LIBOR after 2021. At the end of 2021, the ICE Benchmark Administration, the administrator for LIBOR, ceased publishing one-week and two-month U.S. dollar LIBOR and will cease publishing all remaining U.S. dollar LIBOR tenors in mid-2023. Concurrently, the United Kingdom’s Financial Conduct Authority announced the cessation or loss of representativeness of the U.S. dollar LIBOR tenors from those dates. The Alternative Reference Rates Committee, a group of market participants convened by the U.S. Federal Reserve Board and the Federal Reserve Bank of New York, has recommended the Secured Overnight Financing Rate (“SOFR”), a rate calculated based on repurchase agreements backed by treasury securities, as its recommended alternative benchmark rate to replace USD LIBOR. At this time, it is not known whether or when SOFR or other alternative reference rates will attain market traction as replacements for LIBOR.</w:t>
      </w:r>
    </w:p>
    <w:p>
      <w:pPr>
        <w:spacing w:after="0" w:line="177"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These reforms may cause LIBOR to perform differently than it has in the past. After the cessation of LIBOR, alternative benchmark rates will replace LIBOR and could affect our debt securities, debt payments, and receipts. At this time, it is not possible to predict the effect of the cessation of LIBOR or the establishment of alternative benchmark rates. Any new benchmark rate will likely not replicate LIBOR exactly, which could impact our contracts that terminate after 2021 or mid-2023, as applicable. There is uncertainty about how applicable law and the courts will address the replacement of LIBOR with alternative rates on variable rate retail loan contracts and other contracts that do not include alternative rate fallback provisions. After mid-2023, the interest rates on the ABL Revolving Credit Facility and the First Lien Term Loan will be based on the Base Rate or a SOFR-based alternative benchmark rate, which may result in higher interest rates. In addition, changes to benchmark rates may have an uncertain impact on our cost of funds and our access to the capital markets, which could impact our results of operations and cash flows. Uncertainty as to the nature of such potential changes may also adversely affect the trading market for our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62"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We are currently controlled by our Sponsors through our Principal Stockholder. Our Principal Stockholder controls approximately 69% of the outstanding voting power of our company. As long as our Sponsors beneficially own or control at least a majority of our outstanding voting power, they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of our assets. Even if their ownership falls below 50%, our Sponsors will continue to be able to strongly influence or effectively control our decisions.</w:t>
      </w:r>
    </w:p>
    <w:p>
      <w:pPr>
        <w:spacing w:after="0" w:line="178"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spacing w:after="0" w:line="2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6"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spacing w:after="0" w:line="79"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44" w:lineRule="exact"/>
        <w:rPr>
          <w:rFonts w:ascii="Arial" w:cs="Arial" w:eastAsia="Arial" w:hAnsi="Arial"/>
          <w:sz w:val="18"/>
          <w:szCs w:val="18"/>
          <w:color w:val="auto"/>
        </w:rPr>
      </w:pPr>
    </w:p>
    <w:p>
      <w:pPr>
        <w:ind w:left="1160" w:right="32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left="1160" w:right="420" w:hanging="572"/>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 with a written charter addressing the committee’s purpose and responsibilities.</w:t>
      </w:r>
    </w:p>
    <w:p>
      <w:pPr>
        <w:spacing w:after="0" w:line="170" w:lineRule="exact"/>
        <w:rPr>
          <w:sz w:val="20"/>
          <w:szCs w:val="20"/>
          <w:color w:val="auto"/>
        </w:rPr>
      </w:pPr>
    </w:p>
    <w:p>
      <w:pPr>
        <w:ind w:right="40" w:firstLine="589"/>
        <w:spacing w:after="0" w:line="286" w:lineRule="auto"/>
        <w:rPr>
          <w:sz w:val="20"/>
          <w:szCs w:val="20"/>
          <w:color w:val="auto"/>
        </w:rPr>
      </w:pPr>
      <w:r>
        <w:rPr>
          <w:rFonts w:ascii="Arial" w:cs="Arial" w:eastAsia="Arial" w:hAnsi="Arial"/>
          <w:sz w:val="17"/>
          <w:szCs w:val="17"/>
          <w:color w:val="auto"/>
        </w:rPr>
        <w:t>We currently utilize all of these exemptions. As a result, we do not have a majority of independent directors and our Compensation Committee and Nominating and Corporate Governance Committee do not consist entirely of independent directors. Accordingly, you will not have the same protections afforded to stockholders of companies that are subject to all of the corporate governance requirements of Nasdaq.</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directors have relationships with our Sponsors, which may cause conflicts of interest with respect to our business.</w:t>
      </w:r>
    </w:p>
    <w:p>
      <w:pPr>
        <w:spacing w:after="0" w:line="11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Six of our eleven directors are affiliated with our Sponsors.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w:t>
      </w:r>
    </w:p>
    <w:p>
      <w:pPr>
        <w:spacing w:after="0" w:line="292"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stock.</w:t>
      </w:r>
    </w:p>
    <w:p>
      <w:pPr>
        <w:spacing w:after="0" w:line="38"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62" w:lineRule="exact"/>
        <w:rPr>
          <w:sz w:val="20"/>
          <w:szCs w:val="20"/>
          <w:color w:val="auto"/>
        </w:rPr>
      </w:pPr>
    </w:p>
    <w:p>
      <w:pPr>
        <w:ind w:left="1160" w:right="340" w:hanging="572"/>
        <w:spacing w:after="0" w:line="308"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that, except with regard to directors nominated by our Principal Stockholder, vacancies on our board of directors shall be filled only by a majority of directors then in office, even though less than a quorum, or by a sole remaining director;</w:t>
      </w:r>
    </w:p>
    <w:p>
      <w:pPr>
        <w:spacing w:after="0" w:line="38" w:lineRule="exact"/>
        <w:rPr>
          <w:rFonts w:ascii="Arial" w:cs="Arial" w:eastAsia="Arial" w:hAnsi="Arial"/>
          <w:sz w:val="17"/>
          <w:szCs w:val="17"/>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44" w:lineRule="exact"/>
        <w:rPr>
          <w:rFonts w:ascii="Arial" w:cs="Arial" w:eastAsia="Arial" w:hAnsi="Arial"/>
          <w:sz w:val="18"/>
          <w:szCs w:val="18"/>
          <w:color w:val="auto"/>
        </w:rPr>
      </w:pPr>
    </w:p>
    <w:p>
      <w:pPr>
        <w:ind w:left="1160" w:right="100" w:hanging="572"/>
        <w:spacing w:after="0" w:line="263"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can be removed for cause only, once our Principal Stockholder (including its permitted transferees under the stockholder’s agreement with our Principal Stockholder (the “stockholder’s agreement”)) no longer beneficially owns 50% or more of our outstanding Class A common stock and Class B-1 common stock;</w:t>
      </w:r>
    </w:p>
    <w:p>
      <w:pPr>
        <w:spacing w:after="0" w:line="75" w:lineRule="exact"/>
        <w:rPr>
          <w:rFonts w:ascii="Arial" w:cs="Arial" w:eastAsia="Arial" w:hAnsi="Arial"/>
          <w:sz w:val="18"/>
          <w:szCs w:val="18"/>
          <w:color w:val="auto"/>
        </w:rPr>
      </w:pPr>
    </w:p>
    <w:p>
      <w:pPr>
        <w:ind w:left="1160" w:hanging="572"/>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spacing w:after="0" w:line="78" w:lineRule="exact"/>
        <w:rPr>
          <w:rFonts w:ascii="Arial" w:cs="Arial" w:eastAsia="Arial" w:hAnsi="Arial"/>
          <w:sz w:val="18"/>
          <w:szCs w:val="18"/>
          <w:color w:val="auto"/>
        </w:rPr>
      </w:pPr>
    </w:p>
    <w:p>
      <w:pPr>
        <w:ind w:left="1160" w:right="80" w:hanging="572"/>
        <w:spacing w:after="0" w:line="296"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 stockholders of our company shall be called by the Chairman of our board of directors or our Secretary at the request of our Principal Stockholder, in addition to being able to be called by the Chairman of our board of directors and by our board of directors);</w:t>
      </w:r>
    </w:p>
    <w:p>
      <w:pPr>
        <w:spacing w:after="0" w:line="53" w:lineRule="exact"/>
        <w:rPr>
          <w:rFonts w:ascii="Arial" w:cs="Arial" w:eastAsia="Arial" w:hAnsi="Arial"/>
          <w:sz w:val="16"/>
          <w:szCs w:val="16"/>
          <w:color w:val="auto"/>
        </w:rPr>
      </w:pPr>
    </w:p>
    <w:p>
      <w:pPr>
        <w:ind w:left="1160" w:right="100" w:hanging="572"/>
        <w:spacing w:after="0" w:line="259"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spacing w:after="0" w:line="78"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further action by the stockholders, shares of undesignated preferred stock; and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 three classes of common stock.</w:t>
      </w:r>
    </w:p>
    <w:p>
      <w:pPr>
        <w:spacing w:after="0" w:line="252"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 203. 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Since we have no current plans to pay regular cash dividends on our Class A common stock, you may not receive any return on investment unless you sell your Class A common stock for a price greater than that which you paid for it.</w:t>
      </w:r>
    </w:p>
    <w:p>
      <w:pPr>
        <w:spacing w:after="0" w:line="62"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We have not paid, and do not anticipate paying, any regular cash dividends on our Class A common stock. Any decision to declare and pay dividends in the future will be made at the discretion of our board of directors and 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First Lien Term Loan and ABL Revolving Credit Facility, as well as by the terms of our stockholder’s agreement. Therefore, any return on investment in our Class A common stock is solely dependent upon the appreciation of the price of our Class A common stock on the open market, which may not occur. Please read “Dividend Policy” for more detail.</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holding company with nominal net worth and will depend on dividends and distributions from our subsidiaries to pay any dividends.</w:t>
      </w:r>
    </w:p>
    <w:p>
      <w:pPr>
        <w:spacing w:after="0" w:line="140"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Petco Health and Wellness Company, Inc. and certain of our subsidiaries are holding companies with nominal net worth. We do not have any material assets or conduct any business operations other than our investments in our subsidiaries. Our business operations are conducted primarily out of our indirect operating subsidiary, Petco Animal Supplies Stores, Inc. and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market for our Class A common stock.</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multi-class capital structure makes us ineligible for inclusion in any of these indices, and mutual funds, exchange-traded funds and other investment vehicles that attempt to passively track these indices will not be investing in our stock. Further,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7" w:name="page38"/>
    <w:bookmarkEnd w:id="37"/>
    <w:p>
      <w:pPr>
        <w:ind w:right="140"/>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9"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Our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made in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 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liquid trading market for our Class A common stock may not be sustained, which may limit your ability to sell your shares.</w:t>
      </w:r>
    </w:p>
    <w:p>
      <w:pPr>
        <w:spacing w:after="0" w:line="129"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Prior to our initial public offering in January 2021, there was no public market for our Class A common stock. Although our Class A common stock is now listed on Nasdaq under the symbol “WOOF,” an active trading market for our shares may not be sustained. A public trading market having the desirable characteristics of depth, liquidity, and orderliness depends upon the existence of willing buyers and sellers at any given time, and its existence is dependent upon the individual decisions of buyers and sellers over which neither we nor any market maker has control. The failure of an active and liquid trading market to continue would likely have a material adverse effect on the value of our Class A common stock. The market price of our Class A common stock may decline. An inactive market may also impair our ability to raise capital to continue to fund operations by selling shares and may impair our ability to acquire other companies or technologies by using our shares as consideration.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Class A common stock may drop.</w:t>
      </w:r>
    </w:p>
    <w:p>
      <w:pPr>
        <w:spacing w:after="0" w:line="117"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You may not be able to resell your shares at or above the price that you paid for them, or at all. Our operating results and the trading price of our shares may fluctuate in response to various factors, including:</w:t>
      </w:r>
    </w:p>
    <w:p>
      <w:pPr>
        <w:spacing w:after="0" w:line="80"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debt ratings;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 that vary from expectations of securities analysts and investors;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by us, our competitors, or our vendors of significant contracts or acquisitions;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legal, or political developments;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 and</w:t>
      </w:r>
    </w:p>
    <w:p>
      <w:pPr>
        <w:spacing w:after="0" w:line="144" w:lineRule="exact"/>
        <w:rPr>
          <w:rFonts w:ascii="Arial" w:cs="Arial" w:eastAsia="Arial" w:hAnsi="Arial"/>
          <w:sz w:val="18"/>
          <w:szCs w:val="18"/>
          <w:color w:val="auto"/>
        </w:rPr>
      </w:pPr>
    </w:p>
    <w:p>
      <w:pPr>
        <w:ind w:left="1160" w:right="220" w:hanging="572"/>
        <w:spacing w:after="0" w:line="277"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events or factors, including those from severe weather events (including as a result of climate change), natural disasters, pandemic, pet disease, war, acts of terrorism, or responses to these events.</w:t>
      </w:r>
    </w:p>
    <w:p>
      <w:pPr>
        <w:spacing w:after="0" w:line="170"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brought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3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62" w:lineRule="exact"/>
        <w:rPr>
          <w:sz w:val="20"/>
          <w:szCs w:val="20"/>
          <w:color w:val="auto"/>
        </w:rPr>
      </w:pPr>
    </w:p>
    <w:p>
      <w:pPr>
        <w:ind w:right="60" w:firstLine="589"/>
        <w:spacing w:after="0" w:line="290" w:lineRule="auto"/>
        <w:rPr>
          <w:sz w:val="20"/>
          <w:szCs w:val="20"/>
          <w:color w:val="auto"/>
        </w:rPr>
      </w:pPr>
      <w:r>
        <w:rPr>
          <w:rFonts w:ascii="Arial" w:cs="Arial" w:eastAsia="Arial" w:hAnsi="Arial"/>
          <w:sz w:val="16"/>
          <w:szCs w:val="16"/>
          <w:color w:val="auto"/>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spacing w:after="0" w:line="2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in the near future. This could cause the market price of our Class A common stock to drop significantly, even if our business is doing well.</w:t>
      </w:r>
    </w:p>
    <w:p>
      <w:pPr>
        <w:spacing w:after="0" w:line="62"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a Form S-8 under the Securities Act to register all shares of Class A common stock that we may issue under our equity compensation plans. In addition, our Principal Stockholder has demand registration rights that will require us to file registration statements in connection with future sales of our stock by our Principal Stockholder, including in connection with the note purchase agreement described below. Sales by our Principal Stockholder could be significant. Once we register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9" w:name="page40"/>
    <w:bookmarkEnd w:id="39"/>
    <w:p>
      <w:pPr>
        <w:ind w:right="40"/>
        <w:spacing w:after="0" w:line="263" w:lineRule="auto"/>
        <w:rPr>
          <w:sz w:val="20"/>
          <w:szCs w:val="20"/>
          <w:color w:val="auto"/>
        </w:rPr>
      </w:pPr>
      <w:r>
        <w:rPr>
          <w:rFonts w:ascii="Arial" w:cs="Arial" w:eastAsia="Arial" w:hAnsi="Arial"/>
          <w:sz w:val="18"/>
          <w:szCs w:val="18"/>
          <w:color w:val="auto"/>
        </w:rPr>
        <w:t>these shares, they can be freely resold in the public market, subject to legal or contractual restrictions, such as lock-up agreements. As restrictions on resale end, the market price of our stock could decline if the holders of currently restricted shares sell them or are perceived by the market as intending to sell them.</w:t>
      </w:r>
    </w:p>
    <w:p>
      <w:pPr>
        <w:spacing w:after="0" w:line="76"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Lastly, our Principal Stockholder has entered into a note purchase agreement. The obligations under the note purchase agreement are secured by a pledge of all of the shares of our common stock owned by our Principal Stockholder and its affiliates. If our Principal Stockholder were to default on any of its obligations under the note purchase agreement or in the event of a collateral deficiency the holders would have the right to foreclose on all of our common stock subject to the pledge and sell such shares of common stock. Such an event could further cause our stock price to decline and could result in a change in control of our company that could trigger a default under, or acceleration of, the obligations under our First Lien Term Loan and ABL Revolving Credit Facility. Any foreclosure on our common stock that secures obligations under the note purchase agreement could result in the sale of a significant number of shares of our common stock, which could result in a decrease in the price of our common stock.</w:t>
      </w:r>
    </w:p>
    <w:p>
      <w:pPr>
        <w:spacing w:after="0" w:line="27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about our business, if they adversely change their recommendations regarding our shares, or if our results of operations do not meet their expectations, our share price and trading volume could decline.</w:t>
      </w:r>
    </w:p>
    <w:p>
      <w:pPr>
        <w:spacing w:after="0" w:line="38"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trading market for our shares likely will be influenced by the research and reports that industry or securities analysts publish about us or our business. We do not have any control over these analysts. If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62" w:lineRule="exact"/>
        <w:rPr>
          <w:sz w:val="20"/>
          <w:szCs w:val="20"/>
          <w:color w:val="auto"/>
        </w:rPr>
      </w:pPr>
    </w:p>
    <w:p>
      <w:pPr>
        <w:ind w:right="60" w:firstLine="589"/>
        <w:spacing w:after="0" w:line="271" w:lineRule="auto"/>
        <w:rPr>
          <w:sz w:val="20"/>
          <w:szCs w:val="20"/>
          <w:color w:val="auto"/>
        </w:rPr>
      </w:pPr>
      <w:r>
        <w:rPr>
          <w:rFonts w:ascii="Arial" w:cs="Arial" w:eastAsia="Arial" w:hAnsi="Arial"/>
          <w:sz w:val="17"/>
          <w:szCs w:val="17"/>
          <w:color w:val="auto"/>
        </w:rPr>
        <w:t>We have been, and anticipate to continue, providing guidance on our expected operating and financial results for future periods on an annual basis, as we believe this approach is better aligned with the long-term view we take in managing our business and our focus on long-term stockholder value creation. Although we believe that this guidance will provide investors and analysts with a better understanding of management’s expectations for the future and is useful to our stockholders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spacing w:after="0" w:line="28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spacing w:after="0" w:line="76" w:lineRule="exact"/>
        <w:rPr>
          <w:sz w:val="20"/>
          <w:szCs w:val="20"/>
          <w:color w:val="auto"/>
        </w:rPr>
      </w:pPr>
    </w:p>
    <w:p>
      <w:pPr>
        <w:ind w:right="20" w:firstLine="589"/>
        <w:spacing w:after="0" w:line="288" w:lineRule="auto"/>
        <w:rPr>
          <w:sz w:val="20"/>
          <w:szCs w:val="20"/>
          <w:color w:val="auto"/>
        </w:rPr>
      </w:pPr>
      <w:r>
        <w:rPr>
          <w:rFonts w:ascii="Arial" w:cs="Arial" w:eastAsia="Arial" w:hAnsi="Arial"/>
          <w:sz w:val="16"/>
          <w:szCs w:val="16"/>
          <w:color w:val="auto"/>
        </w:rPr>
        <w:t>As a public company, we are required to comply with the requirements of the Sarbanes-Oxley Act. The Sarbanes-Oxley Act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to report on the effectiveness of our internal control over financial reporting, as required by Section 404 of the Sarbanes-Oxley Act. Additionally, to the extent we are deemed to be a “large accelerated filer,” as defined in the Exchange Act, our independent public accounting firm also will be required to issue an attestation report on the effectiveness of our internal control over financial reporting, as required by Section 404 of the Sarbanes-Oxley Act. Our testing, or the subsequent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540"/>
        <w:spacing w:after="0" w:line="277" w:lineRule="auto"/>
        <w:rPr>
          <w:sz w:val="20"/>
          <w:szCs w:val="20"/>
          <w:color w:val="auto"/>
        </w:rPr>
      </w:pPr>
      <w:r>
        <w:rPr>
          <w:rFonts w:ascii="Arial" w:cs="Arial" w:eastAsia="Arial" w:hAnsi="Arial"/>
          <w:sz w:val="18"/>
          <w:szCs w:val="18"/>
          <w:color w:val="auto"/>
        </w:rPr>
        <w:t>management resources. Moreover, any material weaknesses could result in a material misstatement of our annual or quarterly consolidated financial statements or disclosures that may not be prevented or detected.</w:t>
      </w:r>
    </w:p>
    <w:p>
      <w:pPr>
        <w:spacing w:after="0" w:line="2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right="220" w:firstLine="589"/>
        <w:spacing w:after="0" w:line="342" w:lineRule="auto"/>
        <w:rPr>
          <w:sz w:val="20"/>
          <w:szCs w:val="20"/>
          <w:color w:val="auto"/>
        </w:rPr>
      </w:pPr>
      <w:r>
        <w:rPr>
          <w:rFonts w:ascii="Arial" w:cs="Arial" w:eastAsia="Arial" w:hAnsi="Arial"/>
          <w:sz w:val="16"/>
          <w:szCs w:val="16"/>
          <w:color w:val="auto"/>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spacing w:after="0" w:line="16" w:lineRule="exact"/>
        <w:rPr>
          <w:sz w:val="20"/>
          <w:szCs w:val="20"/>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effects of stock-based compensation; 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52" w:lineRule="exact"/>
        <w:rPr>
          <w:sz w:val="20"/>
          <w:szCs w:val="20"/>
          <w:color w:val="auto"/>
        </w:rPr>
      </w:pPr>
    </w:p>
    <w:p>
      <w:pPr>
        <w:ind w:right="280" w:firstLine="540"/>
        <w:spacing w:after="0" w:line="263" w:lineRule="auto"/>
        <w:rPr>
          <w:sz w:val="20"/>
          <w:szCs w:val="20"/>
          <w:color w:val="auto"/>
        </w:rPr>
      </w:pPr>
      <w:r>
        <w:rPr>
          <w:rFonts w:ascii="Arial" w:cs="Arial" w:eastAsia="Arial" w:hAnsi="Arial"/>
          <w:sz w:val="18"/>
          <w:szCs w:val="18"/>
          <w:color w:val="auto"/>
        </w:rPr>
        <w:t>From time to time, U.S. tax authorities, including state and local governments, consider legislation that could increase our effective tax rate. For example, the U.S. Congress has advanced a variety of tax legislation proposals, and while the final form of any legislation is uncertain, the current proposals, if enacted, could have a material effect on our effective tax rate.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addition, we may be subject to audits of our income, sales, and other transaction taxes by U.S. federal, state, and local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89"/>
        <w:spacing w:after="0" w:line="263" w:lineRule="auto"/>
        <w:rPr>
          <w:sz w:val="20"/>
          <w:szCs w:val="20"/>
          <w:color w:val="auto"/>
        </w:rPr>
      </w:pPr>
      <w:r>
        <w:rPr>
          <w:rFonts w:ascii="Arial" w:cs="Arial" w:eastAsia="Arial" w:hAnsi="Arial"/>
          <w:sz w:val="18"/>
          <w:szCs w:val="18"/>
          <w:color w:val="auto"/>
        </w:rPr>
        <w:t>We have co-headquartered facilities, located in San Diego, California, and San Antonio, Texas. Our San Diego, California location was completed in the summer of fiscal 2015, comprising a total of approximately 257,000 square feet, and is under a long-term lease. Our San Antonio location consists of a sub-divided leased facility, comprising a total of approximately 73,000 square feet.</w:t>
      </w:r>
    </w:p>
    <w:p>
      <w:pPr>
        <w:spacing w:after="0" w:line="184"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We lease all of our distribution center locations and all of our 1,433 pet care centers in the U.S. and Puerto Rico. The original lease term for pet care centers is generally ten years, with certain leases being shorter or longer, and many of these leases contain renewal options. The vast majority of pet care center leases, excluding renewal options, expire at various dates over the next ten years. Our pet care centers are generally located at sites co-anchored by strong destination stores. Certain leases require payment of property taxes, utilities, common area maintenance and insurance and, if annual sales at certain locations exceed specified amounts, provide for additional rent expense.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We are involved in the legal proceedings described in Note 16, Commitments and Contingencies, in our consolidated financial statements included elsewhere in this Annual Report on Form 10-K, and we are subject to 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right="240" w:firstLine="589"/>
        <w:spacing w:after="0" w:line="263" w:lineRule="auto"/>
        <w:rPr>
          <w:sz w:val="20"/>
          <w:szCs w:val="20"/>
          <w:color w:val="auto"/>
        </w:rPr>
      </w:pPr>
      <w:r>
        <w:rPr>
          <w:rFonts w:ascii="Arial" w:cs="Arial" w:eastAsia="Arial" w:hAnsi="Arial"/>
          <w:sz w:val="18"/>
          <w:szCs w:val="18"/>
          <w:color w:val="auto"/>
        </w:rPr>
        <w:t>Our Class A common stock is currently listed on The Nasdaq Global Select Market under the ticker “WOOF” and began trading on January 14, 2021. Prior to that date, there was no public trading market for our Class A common stock. There is no public trading market for our Class B-1 common stock, par value $0.001 per share, or our Class B-2 common stock, par value $0.000001 per share.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320" w:firstLine="589"/>
        <w:spacing w:after="0" w:line="286" w:lineRule="auto"/>
        <w:rPr>
          <w:sz w:val="20"/>
          <w:szCs w:val="20"/>
          <w:color w:val="auto"/>
        </w:rPr>
      </w:pPr>
      <w:r>
        <w:rPr>
          <w:rFonts w:ascii="Arial" w:cs="Arial" w:eastAsia="Arial" w:hAnsi="Arial"/>
          <w:sz w:val="17"/>
          <w:szCs w:val="17"/>
          <w:color w:val="auto"/>
        </w:rPr>
        <w:t>As of March 22, 2022, there were thirty-eight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89"/>
        <w:spacing w:after="0" w:line="272"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and pay down our indebtedness. Our future dividend policy is within the discretion of our board of directors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The graph below compares the cumulative total return on our Class A common stock with the cumulative total returns of the Nasdaq Composite index and S&amp;P Retail index from January14, 2021 (the initial day of trading for our Class A common stock) through January 29, 2022. The graph assumes that the value of the investment in our Class A common stock, in each index, and in the peer group (including reinvestment of dividends) was $100 on January 14, 2021 and tracks it through January 29, 2022. The comparisons in the graph below are based upon historical data and are not indicative of, nor intended to forecast, future performance of our Class A common stock.</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320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1/14/21</w:t>
            </w: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1/21</w:t>
            </w:r>
          </w:p>
        </w:tc>
        <w:tc>
          <w:tcPr>
            <w:tcW w:w="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2/21</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3/21</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4/21</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5/21</w:t>
            </w: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6/21</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7/21</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8/21</w:t>
            </w: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9/21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10/21</w:t>
            </w:r>
          </w:p>
        </w:tc>
      </w:tr>
      <w:tr>
        <w:trPr>
          <w:trHeight w:val="396"/>
        </w:trPr>
        <w:tc>
          <w:tcPr>
            <w:tcW w:w="2880" w:type="dxa"/>
            <w:vAlign w:val="bottom"/>
          </w:tcPr>
          <w:p>
            <w:pPr>
              <w:spacing w:after="0"/>
              <w:rPr>
                <w:sz w:val="20"/>
                <w:szCs w:val="20"/>
                <w:color w:val="auto"/>
              </w:rPr>
            </w:pPr>
            <w:r>
              <w:rPr>
                <w:rFonts w:ascii="Arial" w:cs="Arial" w:eastAsia="Arial" w:hAnsi="Arial"/>
                <w:sz w:val="13"/>
                <w:szCs w:val="13"/>
                <w:b w:val="1"/>
                <w:bCs w:val="1"/>
                <w:color w:val="auto"/>
              </w:rPr>
              <w:t>Petco Health and Wellness Company Inc.</w:t>
            </w:r>
          </w:p>
        </w:tc>
        <w:tc>
          <w:tcPr>
            <w:tcW w:w="1160" w:type="dxa"/>
            <w:vAlign w:val="bottom"/>
          </w:tcPr>
          <w:p>
            <w:pPr>
              <w:jc w:val="right"/>
              <w:ind w:right="137"/>
              <w:spacing w:after="0"/>
              <w:rPr>
                <w:sz w:val="20"/>
                <w:szCs w:val="20"/>
                <w:color w:val="auto"/>
              </w:rPr>
            </w:pPr>
            <w:r>
              <w:rPr>
                <w:rFonts w:ascii="Arial" w:cs="Arial" w:eastAsia="Arial" w:hAnsi="Arial"/>
                <w:sz w:val="13"/>
                <w:szCs w:val="13"/>
                <w:b w:val="1"/>
                <w:bCs w:val="1"/>
                <w:color w:val="auto"/>
              </w:rPr>
              <w:t>100.00</w:t>
            </w: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88.54</w:t>
            </w: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67.79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75.37</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80.34</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77.04</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76.22</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70.17</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73.23</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71.77</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84.12</w:t>
            </w:r>
          </w:p>
        </w:tc>
      </w:tr>
      <w:tr>
        <w:trPr>
          <w:trHeight w:val="203"/>
        </w:trPr>
        <w:tc>
          <w:tcPr>
            <w:tcW w:w="2880" w:type="dxa"/>
            <w:vAlign w:val="bottom"/>
          </w:tcPr>
          <w:p>
            <w:pPr>
              <w:spacing w:after="0"/>
              <w:rPr>
                <w:sz w:val="20"/>
                <w:szCs w:val="20"/>
                <w:color w:val="auto"/>
              </w:rPr>
            </w:pPr>
            <w:r>
              <w:rPr>
                <w:rFonts w:ascii="Arial" w:cs="Arial" w:eastAsia="Arial" w:hAnsi="Arial"/>
                <w:sz w:val="13"/>
                <w:szCs w:val="13"/>
                <w:b w:val="1"/>
                <w:bCs w:val="1"/>
                <w:color w:val="auto"/>
              </w:rPr>
              <w:t>NASDAQ Composite</w:t>
            </w:r>
          </w:p>
        </w:tc>
        <w:tc>
          <w:tcPr>
            <w:tcW w:w="1160" w:type="dxa"/>
            <w:vAlign w:val="bottom"/>
          </w:tcPr>
          <w:p>
            <w:pPr>
              <w:jc w:val="right"/>
              <w:ind w:right="137"/>
              <w:spacing w:after="0"/>
              <w:rPr>
                <w:sz w:val="20"/>
                <w:szCs w:val="20"/>
                <w:color w:val="auto"/>
              </w:rPr>
            </w:pPr>
            <w:r>
              <w:rPr>
                <w:rFonts w:ascii="Arial" w:cs="Arial" w:eastAsia="Arial" w:hAnsi="Arial"/>
                <w:sz w:val="13"/>
                <w:szCs w:val="13"/>
                <w:b w:val="1"/>
                <w:bCs w:val="1"/>
                <w:color w:val="auto"/>
              </w:rPr>
              <w:t>100.00</w:t>
            </w: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101.44</w:t>
            </w: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102.47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102.95</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108.55</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106.98</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112.92</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114.26</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118.92</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112.66</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120.88</w:t>
            </w:r>
          </w:p>
        </w:tc>
      </w:tr>
      <w:tr>
        <w:trPr>
          <w:trHeight w:val="203"/>
        </w:trPr>
        <w:tc>
          <w:tcPr>
            <w:tcW w:w="2880" w:type="dxa"/>
            <w:vAlign w:val="bottom"/>
          </w:tcPr>
          <w:p>
            <w:pPr>
              <w:spacing w:after="0"/>
              <w:rPr>
                <w:sz w:val="20"/>
                <w:szCs w:val="20"/>
                <w:color w:val="auto"/>
              </w:rPr>
            </w:pPr>
            <w:r>
              <w:rPr>
                <w:rFonts w:ascii="Arial" w:cs="Arial" w:eastAsia="Arial" w:hAnsi="Arial"/>
                <w:sz w:val="13"/>
                <w:szCs w:val="13"/>
                <w:b w:val="1"/>
                <w:bCs w:val="1"/>
                <w:color w:val="auto"/>
              </w:rPr>
              <w:t>S&amp;P Retail Index</w:t>
            </w:r>
          </w:p>
        </w:tc>
        <w:tc>
          <w:tcPr>
            <w:tcW w:w="1160" w:type="dxa"/>
            <w:vAlign w:val="bottom"/>
          </w:tcPr>
          <w:p>
            <w:pPr>
              <w:jc w:val="right"/>
              <w:ind w:right="137"/>
              <w:spacing w:after="0"/>
              <w:rPr>
                <w:sz w:val="20"/>
                <w:szCs w:val="20"/>
                <w:color w:val="auto"/>
              </w:rPr>
            </w:pPr>
            <w:r>
              <w:rPr>
                <w:rFonts w:ascii="Arial" w:cs="Arial" w:eastAsia="Arial" w:hAnsi="Arial"/>
                <w:sz w:val="13"/>
                <w:szCs w:val="13"/>
                <w:b w:val="1"/>
                <w:bCs w:val="1"/>
                <w:color w:val="auto"/>
              </w:rPr>
              <w:t>100.00</w:t>
            </w: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99.27</w:t>
            </w:r>
          </w:p>
        </w:tc>
        <w:tc>
          <w:tcPr>
            <w:tcW w:w="740" w:type="dxa"/>
            <w:vAlign w:val="bottom"/>
          </w:tcPr>
          <w:p>
            <w:pPr>
              <w:jc w:val="right"/>
              <w:ind w:right="177"/>
              <w:spacing w:after="0"/>
              <w:rPr>
                <w:sz w:val="20"/>
                <w:szCs w:val="20"/>
                <w:color w:val="auto"/>
              </w:rPr>
            </w:pPr>
            <w:r>
              <w:rPr>
                <w:rFonts w:ascii="Arial" w:cs="Arial" w:eastAsia="Arial" w:hAnsi="Arial"/>
                <w:sz w:val="13"/>
                <w:szCs w:val="13"/>
                <w:b w:val="1"/>
                <w:bCs w:val="1"/>
                <w:color w:val="auto"/>
              </w:rPr>
              <w:t>97.20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101.76</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111.17</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105.99</w:t>
            </w: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rPr>
              <w:t>111.38</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110.21</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113.41</w:t>
            </w: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rPr>
              <w:t>108.62</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114.93</w:t>
            </w:r>
          </w:p>
        </w:tc>
      </w:tr>
      <w:tr>
        <w:trPr>
          <w:trHeight w:val="192"/>
        </w:trPr>
        <w:tc>
          <w:tcPr>
            <w:tcW w:w="2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3"/>
        </w:trPr>
        <w:tc>
          <w:tcPr>
            <w:tcW w:w="2880" w:type="dxa"/>
            <w:vAlign w:val="bottom"/>
          </w:tcPr>
          <w:p>
            <w:pPr>
              <w:spacing w:after="0"/>
              <w:rPr>
                <w:sz w:val="15"/>
                <w:szCs w:val="15"/>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b w:val="1"/>
                <w:bCs w:val="1"/>
                <w:color w:val="auto"/>
              </w:rPr>
              <w:t>11/21</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12/21</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1/22</w:t>
            </w: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96"/>
        </w:trPr>
        <w:tc>
          <w:tcPr>
            <w:tcW w:w="2880" w:type="dxa"/>
            <w:vAlign w:val="bottom"/>
          </w:tcPr>
          <w:p>
            <w:pPr>
              <w:spacing w:after="0"/>
              <w:rPr>
                <w:sz w:val="24"/>
                <w:szCs w:val="24"/>
                <w:color w:val="auto"/>
              </w:rPr>
            </w:pPr>
          </w:p>
        </w:tc>
        <w:tc>
          <w:tcPr>
            <w:tcW w:w="1160" w:type="dxa"/>
            <w:vAlign w:val="bottom"/>
            <w:tcBorders>
              <w:top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65.20</w:t>
            </w:r>
          </w:p>
        </w:tc>
        <w:tc>
          <w:tcPr>
            <w:tcW w:w="7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67.31</w:t>
            </w:r>
          </w:p>
        </w:tc>
        <w:tc>
          <w:tcPr>
            <w:tcW w:w="7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62.24</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2880" w:type="dxa"/>
            <w:vAlign w:val="bottom"/>
          </w:tcPr>
          <w:p>
            <w:pPr>
              <w:spacing w:after="0"/>
              <w:rPr>
                <w:sz w:val="17"/>
                <w:szCs w:val="17"/>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b w:val="1"/>
                <w:bCs w:val="1"/>
                <w:color w:val="auto"/>
              </w:rPr>
              <w:t>121.28</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122.18</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111.23</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160" w:type="dxa"/>
            <w:vAlign w:val="bottom"/>
          </w:tcPr>
          <w:p>
            <w:pPr>
              <w:jc w:val="right"/>
              <w:ind w:right="217"/>
              <w:spacing w:after="0"/>
              <w:rPr>
                <w:sz w:val="20"/>
                <w:szCs w:val="20"/>
                <w:color w:val="auto"/>
              </w:rPr>
            </w:pPr>
            <w:r>
              <w:rPr>
                <w:rFonts w:ascii="Arial" w:cs="Arial" w:eastAsia="Arial" w:hAnsi="Arial"/>
                <w:sz w:val="13"/>
                <w:szCs w:val="13"/>
                <w:b w:val="1"/>
                <w:bCs w:val="1"/>
                <w:color w:val="auto"/>
              </w:rPr>
              <w:t>119.06</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117.30</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105.55</w:t>
            </w: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182" w:lineRule="exact"/>
        <w:rPr>
          <w:sz w:val="20"/>
          <w:szCs w:val="20"/>
          <w:color w:val="auto"/>
        </w:rPr>
      </w:pPr>
    </w:p>
    <w:p>
      <w:pPr>
        <w:ind w:right="320" w:firstLine="589"/>
        <w:spacing w:after="0" w:line="328" w:lineRule="auto"/>
        <w:rPr>
          <w:sz w:val="20"/>
          <w:szCs w:val="20"/>
          <w:color w:val="auto"/>
        </w:rPr>
      </w:pPr>
      <w:r>
        <w:rPr>
          <w:rFonts w:ascii="Arial" w:cs="Arial" w:eastAsia="Arial" w:hAnsi="Arial"/>
          <w:sz w:val="15"/>
          <w:szCs w:val="15"/>
          <w:i w:val="1"/>
          <w:iCs w:val="1"/>
          <w:color w:val="auto"/>
        </w:rPr>
        <w:t>The above performance graph shall not be deemed "filed" for purposes of Section 18 of the Exchange Act, or incorporated by reference into any filing of Petco Health and Wellness Company, Inc. under the Securities Act or the Exchange Act, except as shall be expressly set forth by specific reference in such filing.</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The risks described in documents we file from time to time with the U.S. Securities and Exchange Commission (the “SEC”), including the sections entitled “Cautionary Note Regarding Forward-Looking Statements” and “Risk Factors” in this Annual Report on Form 10-K, should be carefully reviewed.</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Petco Health and Wellness Company, Inc. (“Petco”, the “Company”, “we”, “our” and “us”) is a category-defining health and wellness company focused on improving the lives of pets, pet parents, and our own partners. Since our founding in 1965, we have been striving to set new standards in pet care, delivering comprehensive wellness solutions through our products and services, and creating communities that deepen the pet-pet parent bond. In recent years, our world-class leadership team and our dedicated and passionate partners have transformed our business from a successful yet traditional retailer to a disruptive, fully integrated, omnichannel provider of holistic pet health and wellness offerings, including premium products, services, and veterinary care. We operate more than 1,500 Petco locations across the U.S., Mexico, and Puerto Rico, including a growing network of nearly 200 in-store veterinary hospitals, and offer a complete online resource for pet health and wellness at petco.com and on the Petco app.</w:t>
      </w:r>
    </w:p>
    <w:p>
      <w:pPr>
        <w:spacing w:after="0" w:line="58"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multichannel,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1,433 pet care centers across the U.S. and Puerto Rico, we are able to offer our comprehensive product and service offering in a localized manner with a meaningful last-mile advantage over much of our competition.</w:t>
      </w:r>
    </w:p>
    <w:p>
      <w:pPr>
        <w:spacing w:after="0" w:line="68"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more than 6.5 million animals.</w:t>
      </w:r>
    </w:p>
    <w:p>
      <w:pPr>
        <w:spacing w:after="0" w:line="187" w:lineRule="exact"/>
        <w:rPr>
          <w:sz w:val="20"/>
          <w:szCs w:val="20"/>
          <w:color w:val="auto"/>
        </w:rPr>
      </w:pPr>
    </w:p>
    <w:p>
      <w:pPr>
        <w:ind w:firstLine="589"/>
        <w:spacing w:after="0" w:line="286" w:lineRule="auto"/>
        <w:rPr>
          <w:sz w:val="20"/>
          <w:szCs w:val="20"/>
          <w:color w:val="auto"/>
        </w:rPr>
      </w:pPr>
      <w:r>
        <w:rPr>
          <w:rFonts w:ascii="Arial" w:cs="Arial" w:eastAsia="Arial" w:hAnsi="Arial"/>
          <w:sz w:val="16"/>
          <w:szCs w:val="16"/>
          <w:color w:val="auto"/>
        </w:rPr>
        <w:t>Through our multi-channel platform, we provide a comprehensive offering of differentiated products and services that fulfill the needs of pet parents and their pets. Our product offering leverages a broad, carefully curated assortment of owned brand and exclusive merchandise and partnerships with premium third-party brands to provide customers with high quality nutrition without artificial ingredients, complemented by a wide variety of premium pet care supplies and companion animals. While we offer pet parents a full spectrum of product choices within our high standards of nutrition and quality, our assortment is differentially weighted towards premium products to address the needs of the growing number of health-conscious pet parents. We integrate this differentiated product offering with our services business in order to build on the foundation of treating the whole pet, including their physical, mental and social well-being. Our service offering includes a broad suite of pet health services, including veterinary care, grooming and training. This offering is further enhanced by a rapidly expanding, high quality, accessible, comprehensive veterinary care platform, which includes full-service veterinary hospitals, Vetco mobile clinics, and tele-health services. The full value of our health and wellness ecosystem is realized for customers through our Vital Care membership program. From the nutrition and supplies pets need each day, to the services that keep them at optimal heath, Vital Care makes it easier and more affordable for pet parents to care for their pet’s health all in one place. We are increasingly linking our offerings with membership programs such as Vital Care and pet health insurance that create deeper engagement with our customers, and with our Pals Rewards loyalty program members specifically, which members accounted for over 80% of transactions in fiscal 2021. In addition to providing differentiated products and services, our over 24,000 knowledgeable, passionate partners provide important high-quality advice to our customers in our pet care centers.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4" w:name="page45"/>
    <w:bookmarkEnd w:id="44"/>
    <w:p>
      <w:pPr>
        <w:ind w:left="600"/>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95"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320" w:firstLine="589"/>
        <w:spacing w:after="0" w:line="279" w:lineRule="auto"/>
        <w:rPr>
          <w:sz w:val="20"/>
          <w:szCs w:val="20"/>
          <w:color w:val="auto"/>
        </w:rPr>
      </w:pPr>
      <w:r>
        <w:rPr>
          <w:rFonts w:ascii="Arial" w:cs="Arial" w:eastAsia="Arial" w:hAnsi="Arial"/>
          <w:sz w:val="17"/>
          <w:szCs w:val="17"/>
          <w:color w:val="auto"/>
        </w:rPr>
        <w:t>Management and our board of directors review, in addition to GAAP (as defined herein) measures, certain non-GAAP financial measures, including Adjusted EBITDA, Free Cash Flow, and Net Debt,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Factors Affecting Our Business</w:t>
      </w:r>
    </w:p>
    <w:p>
      <w:pPr>
        <w:spacing w:after="0" w:line="121" w:lineRule="exact"/>
        <w:rPr>
          <w:sz w:val="20"/>
          <w:szCs w:val="20"/>
          <w:color w:val="auto"/>
        </w:rPr>
      </w:pPr>
    </w:p>
    <w:p>
      <w:pPr>
        <w:ind w:right="220" w:firstLine="589"/>
        <w:spacing w:after="0" w:line="342" w:lineRule="auto"/>
        <w:rPr>
          <w:sz w:val="20"/>
          <w:szCs w:val="20"/>
          <w:color w:val="auto"/>
        </w:rPr>
      </w:pPr>
      <w:r>
        <w:rPr>
          <w:rFonts w:ascii="Arial" w:cs="Arial" w:eastAsia="Arial" w:hAnsi="Arial"/>
          <w:sz w:val="16"/>
          <w:szCs w:val="16"/>
          <w:color w:val="auto"/>
        </w:rPr>
        <w:t>We believe that our performance and future success depend on several factors that present significant opportunities for us but also pose risks and challenges, including those discussed below and in the section titled “Risk Factors” included in Part I, Item 1A of this Annual Report on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Industry Trends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U.S. pet care industry is large and growing, serving millions of households with pets, and represented a total addressable market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$119 billion in 2021. Since 2008, the industry has exhibited steady growth driven by an increase in the underlying pet population coupled with strong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tailwinds associated with pet humanization. Due to the essential, repeat nature of pet care, the industry has demonstrated resilience across economic cycles,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evidenced by the strong industry performance during the Great Recession from 2008 to 2010. In addition, as a result of the COVID-19 pandemic,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industry experienced a significant increase in household pets and therefore demand, which is expected to be a tailwind for years to come. In fiscal 2020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fiscal 2021, U.S. households welcomed millions of incremental new pets into their homes that will need to be fed, groomed, vaccinated, and treated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their lives.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Pet Purchase Trends</w:t>
      </w:r>
    </w:p>
    <w:p>
      <w:pPr>
        <w:spacing w:after="0" w:line="117" w:lineRule="exact"/>
        <w:rPr>
          <w:sz w:val="20"/>
          <w:szCs w:val="20"/>
          <w:color w:val="auto"/>
        </w:rPr>
      </w:pPr>
    </w:p>
    <w:p>
      <w:pPr>
        <w:ind w:right="260" w:firstLine="589"/>
        <w:spacing w:after="0" w:line="259" w:lineRule="auto"/>
        <w:rPr>
          <w:sz w:val="20"/>
          <w:szCs w:val="20"/>
          <w:color w:val="auto"/>
        </w:rPr>
      </w:pPr>
      <w:r>
        <w:rPr>
          <w:rFonts w:ascii="Arial" w:cs="Arial" w:eastAsia="Arial" w:hAnsi="Arial"/>
          <w:sz w:val="18"/>
          <w:szCs w:val="18"/>
          <w:color w:val="auto"/>
        </w:rPr>
        <w:t>Our multi-channel integrated ecosystem is designed to support our customers regardless of how customers choose to shop for their pet care needs. As we saw the major purchase trend shift and growth into areas like e-commerce, services, and veterinary care, we actively invested to build capabilities and offerings to effectively capitalize on the opportunity. Our business will be impacted by our ability to continue to understand and react to changing customer purchase trends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Customer Acquisition, Retention, and Spend</w:t>
      </w:r>
    </w:p>
    <w:p>
      <w:pPr>
        <w:spacing w:after="0" w:line="117"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Our business is impacted by our ability to successfully attract new customers to any one of our channels, build their loyalty to encourage return visits, and expand their spend with Petco across multiple purchase channels (e.g., pet care centers, e-commerce, and services) and categories (e.g., pet food, supplies, and companion animal). This is the primary focus of all our customer engagement efforts from digital, to performance marketing campaigns, to new product introductions, and to Petco partner cross- and up-selling activities in pet care centers. The ability to convert more of our customers to loyal, multi-channel shoppers will positively affect business performance. As pet care demand continues to grow, we believe we are well-positioned to capture an outsized portion of the growing market as a fully-integrated, comprehensive pet care provider.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Transformation</w:t>
      </w:r>
    </w:p>
    <w:p>
      <w:pPr>
        <w:spacing w:after="0" w:line="117"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Our operating results reflect significant investments made to support innovation and business transformation strategies. These investments include: digital and e-commerce integration and expansion; enhanced supply chain capacity; data analytical capabilities; veterinary services; marketing and advertising; and our owned brands. We also have developed advanced sales reporting that provides our pet care center General Managers and field leadership teams with data to track performance across multiple dimensions, identify opportunities, and execute strategies to drive incremental sales.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Specifically, some of these investments have included:</w:t>
      </w:r>
    </w:p>
    <w:p>
      <w:pPr>
        <w:spacing w:after="0" w:line="117" w:lineRule="exact"/>
        <w:rPr>
          <w:sz w:val="20"/>
          <w:szCs w:val="20"/>
          <w:color w:val="auto"/>
        </w:rPr>
      </w:pPr>
    </w:p>
    <w:p>
      <w:pPr>
        <w:ind w:left="1160" w:right="52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$221.5 million of capital investments in fiscal 2021 and fiscal 2020 in our new and existing pet care center locations, including the build-out of over 116 veterinary hospitals.</w:t>
      </w:r>
    </w:p>
    <w:p>
      <w:pPr>
        <w:spacing w:after="0" w:line="62" w:lineRule="exact"/>
        <w:rPr>
          <w:rFonts w:ascii="Arial" w:cs="Arial" w:eastAsia="Arial" w:hAnsi="Arial"/>
          <w:sz w:val="18"/>
          <w:szCs w:val="18"/>
          <w:color w:val="auto"/>
        </w:rPr>
      </w:pPr>
    </w:p>
    <w:p>
      <w:pPr>
        <w:ind w:left="1160" w:right="660" w:hanging="572"/>
        <w:spacing w:after="0" w:line="263"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$125.6 million of capital investments in fiscal 2021 and fiscal 2020 related to digital and information technology, specifically the development of integration capabilities with our pet care center locations, our Petco App, and the development and deployment of data analytical and reporting capabilities.</w:t>
      </w:r>
    </w:p>
    <w:p>
      <w:pPr>
        <w:spacing w:after="0" w:line="75" w:lineRule="exact"/>
        <w:rPr>
          <w:rFonts w:ascii="Arial" w:cs="Arial" w:eastAsia="Arial" w:hAnsi="Arial"/>
          <w:sz w:val="18"/>
          <w:szCs w:val="18"/>
          <w:color w:val="auto"/>
        </w:rPr>
      </w:pPr>
    </w:p>
    <w:p>
      <w:pPr>
        <w:ind w:left="1160" w:right="3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Approximately $51.6 million of capital investments in fiscal 2021 and fiscal 2020 related to supply chain enhancements and expansion including capital spend on a new distribution center in fiscal 2021.</w:t>
      </w:r>
    </w:p>
    <w:p>
      <w:pPr>
        <w:spacing w:after="0" w:line="62" w:lineRule="exact"/>
        <w:rPr>
          <w:rFonts w:ascii="Arial" w:cs="Arial" w:eastAsia="Arial" w:hAnsi="Arial"/>
          <w:sz w:val="18"/>
          <w:szCs w:val="18"/>
          <w:color w:val="auto"/>
        </w:rPr>
      </w:pPr>
    </w:p>
    <w:p>
      <w:pPr>
        <w:ind w:left="1160" w:right="460" w:hanging="572"/>
        <w:spacing w:after="0" w:line="277"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$59.5 million increase in advertising in fiscal 2021 compared to fiscal 2020 to further adapt our advertising footprint to support the acceleration of our e-commerce and digital sales growth.</w:t>
      </w:r>
    </w:p>
    <w:p>
      <w:pPr>
        <w:spacing w:after="0" w:line="170"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While these investments provided a key foundation and drive increased sales, ongoing performance of the business will depend on our ability to leverage our existing distribution network and pet care center locations for product delivery and fulfillment, including BOPUS, curbside pick-up, and same day delivery, and build upon and enhance these efforts.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Expense Management</w:t>
      </w:r>
    </w:p>
    <w:p>
      <w:pPr>
        <w:spacing w:after="0" w:line="117" w:lineRule="exact"/>
        <w:rPr>
          <w:sz w:val="20"/>
          <w:szCs w:val="20"/>
          <w:color w:val="auto"/>
        </w:rPr>
      </w:pPr>
    </w:p>
    <w:p>
      <w:pPr>
        <w:ind w:firstLine="589"/>
        <w:spacing w:after="0" w:line="275" w:lineRule="auto"/>
        <w:rPr>
          <w:sz w:val="20"/>
          <w:szCs w:val="20"/>
          <w:color w:val="auto"/>
        </w:rPr>
      </w:pPr>
      <w:r>
        <w:rPr>
          <w:rFonts w:ascii="Arial" w:cs="Arial" w:eastAsia="Arial" w:hAnsi="Arial"/>
          <w:sz w:val="17"/>
          <w:szCs w:val="17"/>
          <w:color w:val="auto"/>
        </w:rPr>
        <w:t>Our operating results are impacted by our ability to convert revenue growth into higher gross margin and operating margin. The sales mix related to consumables, supplies, and services, with services typically having lower gross margins (though attractive operating margins), as well as customer shopping preferences, impacts our gross margin results. We focus gross margin and expense management on achieving a balance between ensuring adequate resource spend to grow sales with attention to driving increased profitability. The business has successfully implemented cost optimization initiatives in the past and will continue to find opportunities to enhance profit margins and operate more efficiently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Culture</w:t>
      </w:r>
    </w:p>
    <w:p>
      <w:pPr>
        <w:spacing w:after="0" w:line="11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6"/>
          <w:szCs w:val="16"/>
          <w:color w:val="auto"/>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our ongoing growth.</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COVID-19 pandemic has impacted every aspect of the economy. As an essential retailer, all of our pet care centers remained open, some with limited or suspended services, as we are the grocery store, pharmacy, and doctor’s office for many of our nation’s pets. Market data indicates that with more of the working population staying home, there has been an increase in pet ownership and the percentage of disposable income spent on home-related goods and services, including pet care, relative to pre-pandemic levels. Overall, this macroeconomic trend has continued to favorably impact our business results to date with millions of additional new pets that need to be fed, groomed and vaccinated for years to come, but the possible continued spread of COVID-19, and any government response thereto, increases the uncertainty regarding potential economic conditions that could impact our business in the future.</w:t>
      </w:r>
    </w:p>
    <w:p>
      <w:pPr>
        <w:spacing w:after="0" w:line="164"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We cannot predict the duration or ultimate severity of COVID-19 or its ultimate long-term impact on the broader economy or our operations and liquidity. Please refer to the risk factors in Part I, Item 1A of this Annual Report on Form 10-K.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Significant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180" w:firstLine="589"/>
        <w:spacing w:after="0" w:line="342" w:lineRule="auto"/>
        <w:rPr>
          <w:sz w:val="20"/>
          <w:szCs w:val="20"/>
          <w:color w:val="auto"/>
        </w:rPr>
      </w:pPr>
      <w:r>
        <w:rPr>
          <w:rFonts w:ascii="Arial" w:cs="Arial" w:eastAsia="Arial" w:hAnsi="Arial"/>
          <w:sz w:val="16"/>
          <w:szCs w:val="16"/>
          <w:color w:val="auto"/>
        </w:rPr>
        <w:t>Our net sales comprise gross sales of products and services, net of sales tax and certain discounts and promotions offered to our customers, including those offered under our customer loyalty programs. Net sales are driven by comparable sales, new pet center locations, and expanded offerings.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Gross profit is equal to our net sales minus our cost of sales. Gross profit rate measures gross profit as a percentage of net sales.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cost of sales includes the following types of expenses:</w:t>
      </w:r>
    </w:p>
    <w:p>
      <w:pPr>
        <w:spacing w:after="0" w:line="117" w:lineRule="exact"/>
        <w:rPr>
          <w:sz w:val="20"/>
          <w:szCs w:val="20"/>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(net of vendor rebates, allowances, and discounts for products sold) including inbound freight charges;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shipping and handling costs associated with sales to customers;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freight costs associated with moving merchandise inventories;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shrinkage costs and write-downs;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payroll costs of pet groomers, trainers, veterinarians, and other direct costs of services;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operating our distribution centers including payroll, occupancy costs and depreciation.</w:t>
      </w:r>
    </w:p>
    <w:p>
      <w:pPr>
        <w:spacing w:after="0" w:line="252" w:lineRule="exact"/>
        <w:rPr>
          <w:sz w:val="20"/>
          <w:szCs w:val="20"/>
          <w:color w:val="auto"/>
        </w:rPr>
      </w:pPr>
    </w:p>
    <w:p>
      <w:pPr>
        <w:ind w:right="240" w:firstLine="589"/>
        <w:spacing w:after="0" w:line="342" w:lineRule="auto"/>
        <w:rPr>
          <w:sz w:val="20"/>
          <w:szCs w:val="20"/>
          <w:color w:val="auto"/>
        </w:rPr>
      </w:pPr>
      <w:r>
        <w:rPr>
          <w:rFonts w:ascii="Arial" w:cs="Arial" w:eastAsia="Arial" w:hAnsi="Arial"/>
          <w:sz w:val="16"/>
          <w:szCs w:val="16"/>
          <w:color w:val="auto"/>
        </w:rPr>
        <w:t>Our digital gross profit rate tends to be lower than the gross profit rate from sales in our pet care centers due to incremental costs associated with shipping and other expenses of delivery to customers. In addition, our gross profit rate tends to be lower for services than for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types of expenses are included in our selling, general, and administrative costs (“SG&amp;A”):</w:t>
      </w:r>
    </w:p>
    <w:p>
      <w:pPr>
        <w:spacing w:after="0" w:line="117" w:lineRule="exact"/>
        <w:rPr>
          <w:sz w:val="20"/>
          <w:szCs w:val="20"/>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payroll and benefit costs of pet care center employees and corporate employees;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occupancy and operating costs of pet care centers and corporate facilities;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related to pet care centers and corporate assets;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store pre-opening and remodeling costs;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advertising costs;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7" w:name="page48"/>
    <w:bookmarkEnd w:id="47"/>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selling and administrative costs.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SG&amp;A includes both fixed and variable costs and therefore is not directly correlated with net sales.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Impairment</w:t>
      </w:r>
    </w:p>
    <w:p>
      <w:pPr>
        <w:spacing w:after="0" w:line="117" w:lineRule="exact"/>
        <w:rPr>
          <w:sz w:val="20"/>
          <w:szCs w:val="20"/>
          <w:color w:val="auto"/>
        </w:rPr>
      </w:pPr>
    </w:p>
    <w:p>
      <w:pPr>
        <w:jc w:val="both"/>
        <w:ind w:right="200" w:firstLine="589"/>
        <w:spacing w:after="0" w:line="286" w:lineRule="auto"/>
        <w:rPr>
          <w:sz w:val="20"/>
          <w:szCs w:val="20"/>
          <w:color w:val="auto"/>
        </w:rPr>
      </w:pPr>
      <w:r>
        <w:rPr>
          <w:rFonts w:ascii="Arial" w:cs="Arial" w:eastAsia="Arial" w:hAnsi="Arial"/>
          <w:sz w:val="17"/>
          <w:szCs w:val="17"/>
          <w:color w:val="auto"/>
        </w:rPr>
        <w:t>In connection with the fiscal 2015 acquisition by our Sponsors, we recorded goodwill of approximately $3.0 billion and an indefinite-lived trade name asset of $1.1 billion. We evaluate these assets for impairment annually and whenever events or changes in circumstances indicate that the carrying value may not be recoverable. Please read the discussion of these assets under “Critical Accounting Policies and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Our interest expense in fiscal 2019, fiscal 2020, and a portion of fiscal 2021 was primarily associated with a term loan facility, a revolving credit facility, the Floating Rate Senior Notes (as defined herein), the 3.00% Senior Notes (as defined herein), and interest rate caps. In January 2021, the Floating Rate Senior Notes and the 3.00% Senior Notes were exchanged, canceled, and/or redeemed in connection with the initial public offering, and our interest rate caps were settled in accordance with their contractual terms. On March 4, 2021, we borrowed $1,700.0 million under a new first lien term loan facility, repaid all outstanding principal and interest on the existing term loan facility, and replaced our existing revolving credit facility with a new revolving credit facility. Please read the discussion under “Liquidity and Capital Resources—Sources of Liquidity” for further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Income taxes consist of an estimate of federal and state income taxes based on enacted federal and state tax rates, as adjusted for allowable credits, deductions, and the valuation allowance against deferred tax assets, as applicable.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Equity Method Investees</w:t>
      </w:r>
    </w:p>
    <w:p>
      <w:pPr>
        <w:spacing w:after="0" w:line="117"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Our equity method investments prior to fiscal 2019 consisted primarily of our 50% owned veterinary joint venture and our 50% owned Mexico joint venture. Beginning in fiscal 2019, the veterinary joint venture is now included in our consolidated results. Please read “Net Loss Attributable to Noncontrolling Interest” below for more information regarding our noncontrolling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The noncontrolling interest represents 50% of the net loss of our veterinary joint venture, which is a variable interest entity for which we were deemed to be the primary beneficiary beginning in fiscal 2019 due to revisions made in the joint operating agreement. Prior to fiscal 2019, the veterinary joint venture was accounted for as an equity method investment.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380" w:firstLine="589"/>
        <w:spacing w:after="0" w:line="342" w:lineRule="auto"/>
        <w:rPr>
          <w:sz w:val="20"/>
          <w:szCs w:val="20"/>
          <w:color w:val="auto"/>
        </w:rPr>
      </w:pPr>
      <w:r>
        <w:rPr>
          <w:rFonts w:ascii="Arial" w:cs="Arial" w:eastAsia="Arial" w:hAnsi="Arial"/>
          <w:sz w:val="16"/>
          <w:szCs w:val="16"/>
          <w:color w:val="auto"/>
        </w:rPr>
        <w:t>Our business transformation initiatives, accelerated by an increase in pet ownership and a shift in customer discretionary spend toward the pet category, have driven strong top-and bottom-line growth in our business. Comparing fiscal 2021 and fiscal 2020, we achieved the following results:</w:t>
      </w:r>
    </w:p>
    <w:p>
      <w:pPr>
        <w:spacing w:after="0" w:line="16"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net sales from $4.92 billion to $5.81 billion, representing period-over-period growth of 18.0%;</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sales growth of 18.9%;</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operating income from $194.4 million to $266.1 million, representing period-over-period growth of 36.9%;</w:t>
      </w:r>
    </w:p>
    <w:p>
      <w:pPr>
        <w:spacing w:after="0" w:line="144" w:lineRule="exact"/>
        <w:rPr>
          <w:rFonts w:ascii="Arial" w:cs="Arial" w:eastAsia="Arial" w:hAnsi="Arial"/>
          <w:sz w:val="18"/>
          <w:szCs w:val="18"/>
          <w:color w:val="auto"/>
        </w:rPr>
      </w:pPr>
    </w:p>
    <w:p>
      <w:pPr>
        <w:ind w:left="1160" w:right="180" w:hanging="572"/>
        <w:spacing w:after="0" w:line="308"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attributable to Class A and B-1 common stockholders of $164.4 million, compared to net loss attributable to Class A and B-1 common stockholders of $26.5 million in the prior year; and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48" w:name="page49"/>
    <w:bookmarkEnd w:id="48"/>
    <w:p>
      <w:pPr>
        <w:ind w:left="1160" w:hanging="572"/>
        <w:spacing w:after="0"/>
        <w:tabs>
          <w:tab w:leader="none" w:pos="1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improvement in net cash flows provided by operating activities from $268.6 million in fiscal 2020 to $358.2 million in fiscal 2021.</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January 29,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140" w:type="dxa"/>
            <w:vAlign w:val="bottom"/>
          </w:tcPr>
          <w:p>
            <w:pPr>
              <w:spacing w:after="0"/>
              <w:rPr>
                <w:sz w:val="11"/>
                <w:szCs w:val="11"/>
                <w:color w:val="auto"/>
              </w:rPr>
            </w:pPr>
          </w:p>
        </w:tc>
        <w:tc>
          <w:tcPr>
            <w:tcW w:w="120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r>
      <w:tr>
        <w:trPr>
          <w:trHeight w:val="171"/>
        </w:trPr>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110"/>
              <w:spacing w:after="0" w:line="155" w:lineRule="exact"/>
              <w:rPr>
                <w:sz w:val="20"/>
                <w:szCs w:val="20"/>
                <w:color w:val="auto"/>
              </w:rPr>
            </w:pPr>
            <w:r>
              <w:rPr>
                <w:rFonts w:ascii="Arial" w:cs="Arial" w:eastAsia="Arial" w:hAnsi="Arial"/>
                <w:sz w:val="14"/>
                <w:szCs w:val="14"/>
                <w:b w:val="1"/>
                <w:bCs w:val="1"/>
                <w:color w:val="auto"/>
                <w:w w:val="93"/>
              </w:rPr>
              <w:t>(52 weeks)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0"/>
              <w:spacing w:after="0" w:line="155"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5,807,149</w:t>
            </w:r>
          </w:p>
        </w:tc>
        <w:tc>
          <w:tcPr>
            <w:tcW w:w="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4,434,514</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3,380,539</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2,813,464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2,527,995</w:t>
            </w:r>
          </w:p>
        </w:tc>
        <w:tc>
          <w:tcPr>
            <w:tcW w:w="10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2,426,610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2,106,738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1,906,519</w:t>
            </w: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2,160,539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1,912,314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1,776,919</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impairment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FF0FC"/>
          </w:tcPr>
          <w:p>
            <w:pPr>
              <w:spacing w:after="0"/>
              <w:rPr>
                <w:sz w:val="19"/>
                <w:szCs w:val="19"/>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266,071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194,424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110,600</w:t>
            </w:r>
          </w:p>
        </w:tc>
        <w:tc>
          <w:tcPr>
            <w:tcW w:w="10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(335)</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77,397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219,083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253,018</w:t>
            </w: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and modification of debt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20,838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(34,497)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 and income from</w:t>
            </w:r>
          </w:p>
        </w:tc>
        <w:tc>
          <w:tcPr>
            <w:tcW w:w="1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equity method investees</w:t>
            </w: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202,395</w:t>
            </w: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(41,555)</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(142,083)</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53,473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(3,337)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(35,658)</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method investees</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(10,883)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(6,482)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(2,441)</w:t>
            </w: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159,805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(31,736)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(103,984)</w:t>
            </w: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(5,253)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(8,111)</w:t>
            </w:r>
          </w:p>
        </w:tc>
      </w:tr>
      <w:tr>
        <w:trPr>
          <w:trHeight w:val="209"/>
        </w:trPr>
        <w:tc>
          <w:tcPr>
            <w:tcW w:w="5140" w:type="dxa"/>
            <w:vAlign w:val="bottom"/>
          </w:tcPr>
          <w:p>
            <w:pPr>
              <w:ind w:left="500"/>
              <w:spacing w:after="0"/>
              <w:rPr>
                <w:sz w:val="20"/>
                <w:szCs w:val="20"/>
                <w:color w:val="auto"/>
              </w:rPr>
            </w:pPr>
            <w:r>
              <w:rPr>
                <w:rFonts w:ascii="Arial" w:cs="Arial" w:eastAsia="Arial" w:hAnsi="Arial"/>
                <w:sz w:val="18"/>
                <w:szCs w:val="18"/>
                <w:color w:val="auto"/>
                <w:w w:val="99"/>
              </w:rPr>
              <w:t>Net income (loss) attributable to Class A and B-1 common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40" w:type="dxa"/>
            <w:vAlign w:val="bottom"/>
          </w:tcPr>
          <w:p>
            <w:pPr>
              <w:ind w:left="640"/>
              <w:spacing w:after="0"/>
              <w:rPr>
                <w:sz w:val="20"/>
                <w:szCs w:val="20"/>
                <w:color w:val="auto"/>
              </w:rPr>
            </w:pPr>
            <w:r>
              <w:rPr>
                <w:rFonts w:ascii="Arial" w:cs="Arial" w:eastAsia="Arial" w:hAnsi="Arial"/>
                <w:sz w:val="18"/>
                <w:szCs w:val="18"/>
                <w:color w:val="auto"/>
              </w:rPr>
              <w:t>stockholders</w:t>
            </w:r>
          </w:p>
        </w:tc>
        <w:tc>
          <w:tcPr>
            <w:tcW w:w="17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164,417</w:t>
            </w:r>
          </w:p>
        </w:tc>
        <w:tc>
          <w:tcPr>
            <w:tcW w:w="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(26,483)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(95,873)</w:t>
            </w:r>
          </w:p>
        </w:tc>
      </w:tr>
      <w:tr>
        <w:trPr>
          <w:trHeight w:val="445"/>
        </w:trPr>
        <w:tc>
          <w:tcPr>
            <w:tcW w:w="5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4"/>
          </w:tcPr>
          <w:p>
            <w:pPr>
              <w:jc w:val="center"/>
              <w:ind w:right="58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jc w:val="center"/>
              <w:ind w:right="7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140" w:type="dxa"/>
            <w:vAlign w:val="bottom"/>
          </w:tcPr>
          <w:p>
            <w:pPr>
              <w:spacing w:after="0"/>
              <w:rPr>
                <w:sz w:val="11"/>
                <w:szCs w:val="11"/>
                <w:color w:val="auto"/>
              </w:rPr>
            </w:pPr>
          </w:p>
        </w:tc>
        <w:tc>
          <w:tcPr>
            <w:tcW w:w="1080" w:type="dxa"/>
            <w:vAlign w:val="bottom"/>
          </w:tcPr>
          <w:p>
            <w:pPr>
              <w:jc w:val="center"/>
              <w:ind w:right="153"/>
              <w:spacing w:after="0" w:line="133" w:lineRule="exact"/>
              <w:rPr>
                <w:sz w:val="20"/>
                <w:szCs w:val="20"/>
                <w:color w:val="auto"/>
              </w:rPr>
            </w:pPr>
            <w:r>
              <w:rPr>
                <w:rFonts w:ascii="Arial" w:cs="Arial" w:eastAsia="Arial" w:hAnsi="Arial"/>
                <w:sz w:val="14"/>
                <w:szCs w:val="14"/>
                <w:b w:val="1"/>
                <w:bCs w:val="1"/>
                <w:color w:val="auto"/>
                <w:w w:val="95"/>
              </w:rPr>
              <w:t>February 1,</w:t>
            </w:r>
          </w:p>
        </w:tc>
        <w:tc>
          <w:tcPr>
            <w:tcW w:w="220" w:type="dxa"/>
            <w:vAlign w:val="bottom"/>
            <w:gridSpan w:val="2"/>
          </w:tcPr>
          <w:p>
            <w:pPr>
              <w:spacing w:after="0"/>
              <w:rPr>
                <w:sz w:val="11"/>
                <w:szCs w:val="11"/>
                <w:color w:val="auto"/>
              </w:rPr>
            </w:pPr>
          </w:p>
        </w:tc>
      </w:tr>
      <w:tr>
        <w:trPr>
          <w:trHeight w:val="171"/>
        </w:trPr>
        <w:tc>
          <w:tcPr>
            <w:tcW w:w="5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center"/>
              <w:ind w:right="172"/>
              <w:spacing w:after="0" w:line="155" w:lineRule="exact"/>
              <w:rPr>
                <w:sz w:val="20"/>
                <w:szCs w:val="20"/>
                <w:color w:val="auto"/>
              </w:rPr>
            </w:pPr>
            <w:r>
              <w:rPr>
                <w:rFonts w:ascii="Arial" w:cs="Arial" w:eastAsia="Arial" w:hAnsi="Arial"/>
                <w:sz w:val="14"/>
                <w:szCs w:val="14"/>
                <w:b w:val="1"/>
                <w:bCs w:val="1"/>
                <w:color w:val="auto"/>
                <w:w w:val="90"/>
              </w:rPr>
              <w:t>(52 weeks)</w:t>
            </w:r>
          </w:p>
        </w:tc>
        <w:tc>
          <w:tcPr>
            <w:tcW w:w="3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213"/>
              <w:spacing w:after="0" w:line="155" w:lineRule="exact"/>
              <w:rPr>
                <w:sz w:val="20"/>
                <w:szCs w:val="20"/>
                <w:color w:val="auto"/>
              </w:rPr>
            </w:pPr>
            <w:r>
              <w:rPr>
                <w:rFonts w:ascii="Arial" w:cs="Arial" w:eastAsia="Arial" w:hAnsi="Arial"/>
                <w:sz w:val="14"/>
                <w:szCs w:val="14"/>
                <w:b w:val="1"/>
                <w:bCs w:val="1"/>
                <w:color w:val="auto"/>
                <w:w w:val="90"/>
              </w:rPr>
              <w:t>(52 weeks)</w:t>
            </w:r>
          </w:p>
        </w:tc>
        <w:tc>
          <w:tcPr>
            <w:tcW w:w="3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153"/>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gridSpan w:val="2"/>
          </w:tcPr>
          <w:p>
            <w:pPr>
              <w:spacing w:after="0"/>
              <w:rPr>
                <w:sz w:val="13"/>
                <w:szCs w:val="13"/>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impairment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1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and modification of debt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 and income from</w:t>
            </w:r>
          </w:p>
        </w:tc>
        <w:tc>
          <w:tcPr>
            <w:tcW w:w="12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1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equity method investees</w:t>
            </w: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method investees</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r>
      <w:tr>
        <w:trPr>
          <w:trHeight w:val="223"/>
        </w:trPr>
        <w:tc>
          <w:tcPr>
            <w:tcW w:w="514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1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r>
      <w:tr>
        <w:trPr>
          <w:trHeight w:val="209"/>
        </w:trPr>
        <w:tc>
          <w:tcPr>
            <w:tcW w:w="5140" w:type="dxa"/>
            <w:vAlign w:val="bottom"/>
          </w:tcPr>
          <w:p>
            <w:pPr>
              <w:ind w:left="500"/>
              <w:spacing w:after="0"/>
              <w:rPr>
                <w:sz w:val="20"/>
                <w:szCs w:val="20"/>
                <w:color w:val="auto"/>
              </w:rPr>
            </w:pPr>
            <w:r>
              <w:rPr>
                <w:rFonts w:ascii="Arial" w:cs="Arial" w:eastAsia="Arial" w:hAnsi="Arial"/>
                <w:sz w:val="18"/>
                <w:szCs w:val="18"/>
                <w:color w:val="auto"/>
                <w:w w:val="99"/>
              </w:rPr>
              <w:t>Net income (loss) attributable to Class A and B-1 common</w:t>
            </w:r>
          </w:p>
        </w:tc>
        <w:tc>
          <w:tcPr>
            <w:tcW w:w="1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40" w:type="dxa"/>
            <w:vAlign w:val="bottom"/>
          </w:tcPr>
          <w:p>
            <w:pPr>
              <w:ind w:left="640"/>
              <w:spacing w:after="0"/>
              <w:rPr>
                <w:sz w:val="20"/>
                <w:szCs w:val="20"/>
                <w:color w:val="auto"/>
              </w:rPr>
            </w:pPr>
            <w:r>
              <w:rPr>
                <w:rFonts w:ascii="Arial" w:cs="Arial" w:eastAsia="Arial" w:hAnsi="Arial"/>
                <w:sz w:val="18"/>
                <w:szCs w:val="18"/>
                <w:color w:val="auto"/>
              </w:rPr>
              <w:t>stockholders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r>
      <w:tr>
        <w:trPr>
          <w:trHeight w:val="432"/>
        </w:trPr>
        <w:tc>
          <w:tcPr>
            <w:tcW w:w="5140" w:type="dxa"/>
            <w:vAlign w:val="bottom"/>
          </w:tcPr>
          <w:p>
            <w:pPr>
              <w:spacing w:after="0"/>
              <w:rPr>
                <w:sz w:val="24"/>
                <w:szCs w:val="24"/>
                <w:color w:val="auto"/>
              </w:rPr>
            </w:pPr>
          </w:p>
        </w:tc>
        <w:tc>
          <w:tcPr>
            <w:tcW w:w="1280" w:type="dxa"/>
            <w:vAlign w:val="bottom"/>
          </w:tcPr>
          <w:p>
            <w:pPr>
              <w:jc w:val="right"/>
              <w:ind w:right="61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6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January 29,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80" w:type="dxa"/>
            <w:vAlign w:val="bottom"/>
          </w:tcPr>
          <w:p>
            <w:pPr>
              <w:spacing w:after="0"/>
              <w:rPr>
                <w:sz w:val="11"/>
                <w:szCs w:val="11"/>
                <w:color w:val="auto"/>
              </w:rPr>
            </w:pPr>
          </w:p>
        </w:tc>
        <w:tc>
          <w:tcPr>
            <w:tcW w:w="112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5"/>
              </w:rPr>
              <w:t>February 1,</w:t>
            </w:r>
          </w:p>
        </w:tc>
        <w:tc>
          <w:tcPr>
            <w:tcW w:w="180" w:type="dxa"/>
            <w:vAlign w:val="bottom"/>
          </w:tcPr>
          <w:p>
            <w:pPr>
              <w:spacing w:after="0"/>
              <w:rPr>
                <w:sz w:val="11"/>
                <w:szCs w:val="11"/>
                <w:color w:val="auto"/>
              </w:rPr>
            </w:pPr>
          </w:p>
        </w:tc>
      </w:tr>
      <w:tr>
        <w:trPr>
          <w:trHeight w:val="171"/>
        </w:trPr>
        <w:tc>
          <w:tcPr>
            <w:tcW w:w="6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2021</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r>
      <w:tr>
        <w:trPr>
          <w:trHeight w:val="155"/>
        </w:trPr>
        <w:tc>
          <w:tcPr>
            <w:tcW w:w="6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3"/>
              </w:rPr>
              <w:t>(52 weeks)</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0"/>
              </w:rPr>
              <w:t>(52 weeks)</w:t>
            </w:r>
          </w:p>
        </w:tc>
        <w:tc>
          <w:tcPr>
            <w:tcW w:w="180" w:type="dxa"/>
            <w:vAlign w:val="bottom"/>
          </w:tcPr>
          <w:p>
            <w:pPr>
              <w:spacing w:after="0"/>
              <w:rPr>
                <w:sz w:val="13"/>
                <w:szCs w:val="13"/>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Comparable sales increase</w:t>
            </w: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Total pet care centers (U.S. and Puerto Rico) at end of period</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w:t>
            </w:r>
          </w:p>
        </w:tc>
        <w:tc>
          <w:tcPr>
            <w:tcW w:w="1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Total veterinarian practices at end of period</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(in thousands)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591,478</w:t>
            </w:r>
          </w:p>
        </w:tc>
        <w:tc>
          <w:tcPr>
            <w:tcW w:w="2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484,348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424,547</w:t>
            </w:r>
          </w:p>
        </w:tc>
        <w:tc>
          <w:tcPr>
            <w:tcW w:w="180" w:type="dxa"/>
            <w:vAlign w:val="bottom"/>
            <w:shd w:val="clear" w:color="auto" w:fill="CFF0FC"/>
          </w:tcPr>
          <w:p>
            <w:pPr>
              <w:spacing w:after="0"/>
              <w:rPr>
                <w:sz w:val="19"/>
                <w:szCs w:val="19"/>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2021 (52 weeks) Compared with Fiscal 2020 (52 weeks)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Comparable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Fiscal years ended</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1"/>
                <w:szCs w:val="11"/>
                <w:color w:val="auto"/>
              </w:rPr>
            </w:pPr>
          </w:p>
        </w:tc>
        <w:tc>
          <w:tcPr>
            <w:tcW w:w="16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29,</w:t>
            </w:r>
          </w:p>
        </w:tc>
        <w:tc>
          <w:tcPr>
            <w:tcW w:w="260" w:type="dxa"/>
            <w:vAlign w:val="bottom"/>
          </w:tcPr>
          <w:p>
            <w:pPr>
              <w:spacing w:after="0"/>
              <w:rPr>
                <w:sz w:val="11"/>
                <w:szCs w:val="11"/>
                <w:color w:val="auto"/>
              </w:rPr>
            </w:pPr>
          </w:p>
        </w:tc>
        <w:tc>
          <w:tcPr>
            <w:tcW w:w="168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30,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496"/>
              <w:spacing w:after="0" w:line="133" w:lineRule="exact"/>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2,533,755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2,123,499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410,256</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2,603,104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2,328,663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274,441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670,290</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468,040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202,250</w:t>
            </w:r>
          </w:p>
        </w:tc>
        <w:tc>
          <w:tcPr>
            <w:tcW w:w="1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5,807,149</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4,920,202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886,947</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Net sales increased $886.9 million, or 18.0%, to $5.81 billion in fiscal 2021 compared to net sales of $4.92 billion in fiscal 2020, driven by a 18.9% increase in our comparable sales. With our investments in our business over the past two years, we were, and continue to be, well-positioned to meet the increasing and evolving needs of pets and their parents. Our sales growth period-over-period was driven by our strong execution and differentiated product model across digital and in our pet care centers, coupled with an increase in new pet ownership and a resulting increase in sales to meet the needs of these pet parents. Net sales during fiscal 2021 were impacted by inflation, as we have taken pricing actions to offset cost increases on some vendor-supplied product. Where possible, we have worked with our merchant partners to help offset cost input increases. In the aggregate, we have not experienced a material impact on units as a result of these actions.</w:t>
      </w:r>
    </w:p>
    <w:p>
      <w:pPr>
        <w:spacing w:after="0" w:line="8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8"/>
          <w:szCs w:val="18"/>
          <w:color w:val="auto"/>
        </w:rPr>
        <w:t>The increase in consumables and supplies and companion animals sales between the periods was driven by the increase in new pets, our strategic investments in customer acquisition along with continued expansion of our product assortment. The increase in services and other was due to the increase in new pets, the continued growth in our veterinary hospital business with the addition of 72 new hospitals period-over-period, and the expansion of our membership and subscription programs, coupled with headwinds experienced during fiscal 2020 while stay-at-home orders were in place and some of our services were limited or suspended temporarily.</w:t>
      </w:r>
    </w:p>
    <w:p>
      <w:pPr>
        <w:spacing w:after="0" w:line="80"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fiscal 2021, pet care center merchandise delivered growth of 15.4% with higher retail traffic and strong growth in all major categories, including consumables, supplies, and companion animals. Our e-commerce and digital sales increased 21.1% from fiscal 2020 to fiscal 2021, reflecting our expanded brand assortment, enhanced personalization and extended fulfillment options.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589"/>
        <w:spacing w:after="0" w:line="255" w:lineRule="auto"/>
        <w:rPr>
          <w:sz w:val="20"/>
          <w:szCs w:val="20"/>
          <w:color w:val="auto"/>
        </w:rPr>
      </w:pPr>
      <w:r>
        <w:rPr>
          <w:rFonts w:ascii="Arial" w:cs="Arial" w:eastAsia="Arial" w:hAnsi="Arial"/>
          <w:sz w:val="18"/>
          <w:szCs w:val="18"/>
          <w:color w:val="auto"/>
        </w:rPr>
        <w:t>Gross profit increased $319.9 million, or 15.2%, to $2.43 billion in fiscal 2021 compared to gross profit of $2.11 billion for fiscal 2020. As a percentage of sales, our gross profit rate was 41.8% for fiscal 2021 compared to 42.8% for fiscal 2020. The increase in gross profit was due to the overall increase in net sales. The decrease in gross profit rate was primarily due to the mix impact of strong consumables sales during fiscal 2021. While the strong consumables mix impacts the gross margin rate, the average consumables customer has a higher lifetime value than most other categories of customer. Sales channel impacts driven by strength in our digital, services and vet business, and moderate increases in distribution costs also contributed to the decrease in gross profit rate during fiscal 2021 as compared to fiscal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SG&amp;A expenses increased $248.2 million, or 13.0%, to $2.16 billion for fiscal 2021 compared to $1.91 billion for fiscal 2020. As a percentage of net sales, SG&amp;A expenses decreased from 38.9% in fiscal 2020 to 37.2%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line="255" w:lineRule="auto"/>
        <w:rPr>
          <w:sz w:val="20"/>
          <w:szCs w:val="20"/>
          <w:color w:val="auto"/>
        </w:rPr>
      </w:pPr>
      <w:r>
        <w:rPr>
          <w:rFonts w:ascii="Arial" w:cs="Arial" w:eastAsia="Arial" w:hAnsi="Arial"/>
          <w:sz w:val="18"/>
          <w:szCs w:val="18"/>
          <w:color w:val="auto"/>
        </w:rPr>
        <w:t>fiscal 2021 reflecting operating leverage from net sales growth. The increase in SG&amp;A expenses period-over-period was to support our growth as we continue to invest in marketing, infrastructure, and people. The increase in SG&amp;A expenses period-over-period included a $59.5 million increase in advertising expenses to support the acceleration of our sales growth and a $36.4 million increase in equity-based compensation expense driven by awards issued in conjunction with our initial public offering. The remainder of the increase was predominantly due to higher incentive compensation for corporate and field partners attributable to our strong financial performance, a legal settlement accrual for class action matters, and increased variable costs associated with our higher sales growth.</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Interest expense decreased $141.7 million, or 64.7%, to $77.4 million in fiscal 2021 compared with $219.1 million in fiscal 2020. The decrease was primarily driven by the redemption/cancellation of the Floating Rate Senior Notes and the 3.00% Senior Notes and repayment of a portion of our then-outstanding Amended Term Loan Facility (each as defined in Note 9, “</w:t>
      </w:r>
      <w:r>
        <w:rPr>
          <w:rFonts w:ascii="Arial" w:cs="Arial" w:eastAsia="Arial" w:hAnsi="Arial"/>
          <w:sz w:val="18"/>
          <w:szCs w:val="18"/>
          <w:i w:val="1"/>
          <w:iCs w:val="1"/>
          <w:color w:val="auto"/>
        </w:rPr>
        <w:t>Senior Notes</w:t>
      </w:r>
      <w:r>
        <w:rPr>
          <w:rFonts w:ascii="Arial" w:cs="Arial" w:eastAsia="Arial" w:hAnsi="Arial"/>
          <w:sz w:val="18"/>
          <w:szCs w:val="18"/>
          <w:color w:val="auto"/>
        </w:rPr>
        <w:t>,” and Note 8,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in the Notes to Consolidated Financial Statements included in Part II, Item 8 of this Annual Report on Form 10-K) in connection with our initial public offering. In March 2020, we borrowed $250.0 million on our then-outstanding senior secured asset-based revolving credit facility (the “Amended Revolving Credit Facility”) as a precautionary measure given the uncertainty of the macroeconomic environment at the start of the COVID-19 pandemic. We subsequently repaid the amount in full in the second quarter of fiscal 2020 and had no borrowings outstanding on the Amended Revolving Credit Facility as of January 30, 2021 or January 29, 2022.</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and Modification of Debt</w:t>
      </w:r>
    </w:p>
    <w:p>
      <w:pPr>
        <w:spacing w:after="0" w:line="225"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In fiscal 2021, the Company recognized $20.8 million of losses on the March 2021 refinancing of the Amended Term Loan Facility and Amended Revolving Credit Facility. In fiscal 2020, the Company recognized $17.5 million of losses on the partial extinguishment of debt in conjunction with the Company’s initial public offering. For more information regarding these activities, refer to Note 8, “</w:t>
      </w:r>
      <w:r>
        <w:rPr>
          <w:rFonts w:ascii="Arial" w:cs="Arial" w:eastAsia="Arial" w:hAnsi="Arial"/>
          <w:sz w:val="16"/>
          <w:szCs w:val="16"/>
          <w:i w:val="1"/>
          <w:iCs w:val="1"/>
          <w:color w:val="auto"/>
        </w:rPr>
        <w:t>Senior Secured Credit Facilities</w:t>
      </w:r>
      <w:r>
        <w:rPr>
          <w:rFonts w:ascii="Arial" w:cs="Arial" w:eastAsia="Arial" w:hAnsi="Arial"/>
          <w:sz w:val="16"/>
          <w:szCs w:val="16"/>
          <w:color w:val="auto"/>
        </w:rPr>
        <w:t>,” and Note 9, “</w:t>
      </w:r>
      <w:r>
        <w:rPr>
          <w:rFonts w:ascii="Arial" w:cs="Arial" w:eastAsia="Arial" w:hAnsi="Arial"/>
          <w:sz w:val="16"/>
          <w:szCs w:val="16"/>
          <w:i w:val="1"/>
          <w:iCs w:val="1"/>
          <w:color w:val="auto"/>
        </w:rPr>
        <w:t>Senior</w:t>
      </w:r>
      <w:r>
        <w:rPr>
          <w:rFonts w:ascii="Arial" w:cs="Arial" w:eastAsia="Arial" w:hAnsi="Arial"/>
          <w:sz w:val="16"/>
          <w:szCs w:val="16"/>
          <w:color w:val="auto"/>
        </w:rPr>
        <w:t xml:space="preserve"> </w:t>
      </w:r>
      <w:r>
        <w:rPr>
          <w:rFonts w:ascii="Arial" w:cs="Arial" w:eastAsia="Arial" w:hAnsi="Arial"/>
          <w:sz w:val="16"/>
          <w:szCs w:val="16"/>
          <w:i w:val="1"/>
          <w:iCs w:val="1"/>
          <w:color w:val="auto"/>
        </w:rPr>
        <w:t>Notes</w:t>
      </w:r>
      <w:r>
        <w:rPr>
          <w:rFonts w:ascii="Arial" w:cs="Arial" w:eastAsia="Arial" w:hAnsi="Arial"/>
          <w:sz w:val="16"/>
          <w:szCs w:val="16"/>
          <w:color w:val="auto"/>
        </w:rPr>
        <w:t>,” in the Notes to Consolidated Financial Statements included in Part II, Item 8 of this Annual Report on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w:t>
      </w:r>
    </w:p>
    <w:p>
      <w:pPr>
        <w:spacing w:after="0" w:line="225" w:lineRule="exact"/>
        <w:rPr>
          <w:sz w:val="20"/>
          <w:szCs w:val="20"/>
          <w:color w:val="auto"/>
        </w:rPr>
      </w:pPr>
    </w:p>
    <w:p>
      <w:pPr>
        <w:ind w:right="60" w:firstLine="589"/>
        <w:spacing w:after="0" w:line="301" w:lineRule="auto"/>
        <w:rPr>
          <w:sz w:val="20"/>
          <w:szCs w:val="20"/>
          <w:color w:val="auto"/>
        </w:rPr>
      </w:pPr>
      <w:r>
        <w:rPr>
          <w:rFonts w:ascii="Arial" w:cs="Arial" w:eastAsia="Arial" w:hAnsi="Arial"/>
          <w:sz w:val="16"/>
          <w:szCs w:val="16"/>
          <w:color w:val="auto"/>
        </w:rPr>
        <w:t xml:space="preserve">Other non-operating income was $34.5 million for fiscal 2021 and related to non-cash gains from the remeasurement of the fair value of our investment in Rover Group, Inc which began after the consummation of its merger with a publicly traded special purpose acquisition company in fiscal 2021. There was no other non-operating income or loss recognized during fiscal 2020. For more information regarding this activity, refer to Note 11,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w:t>
      </w:r>
      <w:r>
        <w:rPr>
          <w:rFonts w:ascii="Arial" w:cs="Arial" w:eastAsia="Arial" w:hAnsi="Arial"/>
          <w:sz w:val="16"/>
          <w:szCs w:val="16"/>
          <w:color w:val="auto"/>
        </w:rPr>
        <w:t>to the Notes to Consolidated Financial Statements included in Part II, Item 8 of this Annual Report on Form 10-K.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Our effective tax rate was 24.5% for fiscal 2021, resulting in income tax expense of $53.5 million, compared to an effective tax rate of 11.2% and income tax benefit of $3.3 million for fiscal 2020. The increase in effective tax rate in fiscal 2021 as compared to fiscal 2020 is driven by various factors further discussed in Note 14 of the Consolidated Financial Statements. These changes include a change in earnings as compared to fiscal 2020, a remeasurement of deferred tax assets in fiscal 2020 related to $67.4 million of net operating losses available under the Coronavirus Aid, Relief and Economic Security Act (the “CARES Act”) that were carried back to fiscal years before the U.S. Tax Cuts and Jobs Act was enacted, an increase in fiscal 2021 for certain equity-based compensation as discussed in Note 13 of the Consolidated Financial Statements, an increase in fiscal 2020 in unrecognized tax benefits and an increase in certain public company executive compensation subject to Section 162(m) of the Internal Revenue Code of 1986 as amended (the “Code”).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Class A and B-1 Common Stockholders</w:t>
      </w:r>
    </w:p>
    <w:p>
      <w:pPr>
        <w:spacing w:after="0" w:line="117"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Net income attributable to Class A and B-1 common stockholders was $164.4 million for fiscal 2021 compared with a net loss attributable to Class A and B-1 common stockholders of $26.5 million for fiscal 2020. The improvement period-over-period was primarily driven by higher gross profit of $319.9 million and lower interest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expense of $141.7 million, offset by higher SG&amp;A costs of $248.2 million and increased income tax expense of $56.8 million.</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Prior Year Discussion of Results and Comparisons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on fiscal 2019 results and similar comparisons, please read “Management’s Discussion and Analysis of Financial Condition and Results of Operations” in our previous Annual Report on Form 10-K filed with the SEC on April 5, 2021.</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140" w:firstLine="589"/>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40" w:firstLine="589"/>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2" w:name="page53"/>
    <w:bookmarkEnd w:id="52"/>
    <w:p>
      <w:pPr>
        <w:ind w:left="600"/>
        <w:spacing w:after="0"/>
        <w:rPr>
          <w:sz w:val="20"/>
          <w:szCs w:val="20"/>
          <w:color w:val="auto"/>
        </w:rPr>
      </w:pPr>
      <w:r>
        <w:rPr>
          <w:rFonts w:ascii="Arial" w:cs="Arial" w:eastAsia="Arial" w:hAnsi="Arial"/>
          <w:sz w:val="18"/>
          <w:szCs w:val="18"/>
          <w:color w:val="auto"/>
        </w:rPr>
        <w:t>The table below reflects the calculation of Adjusted EBITDA and Adjusted EBITDA Margin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89"/>
              </w:rPr>
              <w:t>Fiscal years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January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January 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center"/>
              <w:ind w:right="112"/>
              <w:spacing w:after="0" w:line="133" w:lineRule="exact"/>
              <w:rPr>
                <w:sz w:val="20"/>
                <w:szCs w:val="20"/>
                <w:color w:val="auto"/>
              </w:rPr>
            </w:pPr>
            <w:r>
              <w:rPr>
                <w:rFonts w:ascii="Arial" w:cs="Arial" w:eastAsia="Arial" w:hAnsi="Arial"/>
                <w:sz w:val="14"/>
                <w:szCs w:val="14"/>
                <w:b w:val="1"/>
                <w:bCs w:val="1"/>
                <w:color w:val="auto"/>
                <w:w w:val="95"/>
              </w:rPr>
              <w:t>February 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4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0"/>
              </w:rPr>
              <w:t>(52 weeks)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112"/>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Net income (loss) attributable to Class A and B-1 common stockholders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164,417</w:t>
            </w:r>
          </w:p>
        </w:tc>
        <w:tc>
          <w:tcPr>
            <w:tcW w:w="2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(26,483)</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(95,873)</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77,335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218,430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252,683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53,473</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(3,337)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30"/>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172,431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174,836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173,544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from equity method investees</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(6,482)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29"/>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Loss on extinguishment and modification of debt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17,549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Indefinite-lived intangible impairment</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Asset impairments and write offs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10,918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Equity-based compensation</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49,265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Other non-operating income</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(34,497)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Mexico joint venture EBITDA (1)</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Store pre-opening expenses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14,765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Store closing expenses</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60"/>
              <w:spacing w:after="0"/>
              <w:rPr>
                <w:sz w:val="20"/>
                <w:szCs w:val="20"/>
                <w:color w:val="auto"/>
              </w:rPr>
            </w:pPr>
            <w:r>
              <w:rPr>
                <w:rFonts w:ascii="Arial" w:cs="Arial" w:eastAsia="Arial" w:hAnsi="Arial"/>
                <w:sz w:val="18"/>
                <w:szCs w:val="18"/>
                <w:color w:val="auto"/>
              </w:rPr>
              <w:t>Non-cash occupancy-related costs (2)</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19,240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Non-recurring costs (3)</w:t>
            </w:r>
          </w:p>
        </w:tc>
        <w:tc>
          <w:tcPr>
            <w:tcW w:w="4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25,990</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Adjusted EBITDA</w:t>
            </w:r>
          </w:p>
        </w:tc>
        <w:tc>
          <w:tcPr>
            <w:tcW w:w="4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591,478</w:t>
            </w:r>
          </w:p>
        </w:tc>
        <w:tc>
          <w:tcPr>
            <w:tcW w:w="2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484,348</w:t>
            </w:r>
          </w:p>
        </w:tc>
        <w:tc>
          <w:tcPr>
            <w:tcW w:w="3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424,547</w:t>
            </w:r>
          </w:p>
        </w:tc>
        <w:tc>
          <w:tcPr>
            <w:tcW w:w="2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sales</w:t>
            </w: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5,807,149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4,434,514</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500"/>
              <w:spacing w:after="0"/>
              <w:rPr>
                <w:sz w:val="20"/>
                <w:szCs w:val="20"/>
                <w:color w:val="auto"/>
              </w:rPr>
            </w:pPr>
            <w:r>
              <w:rPr>
                <w:rFonts w:ascii="Arial" w:cs="Arial" w:eastAsia="Arial" w:hAnsi="Arial"/>
                <w:sz w:val="18"/>
                <w:szCs w:val="18"/>
                <w:color w:val="auto"/>
              </w:rPr>
              <w:t>Net margin (4)</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Adjusted EBITDA Margin (4)</w:t>
            </w: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94"/>
        </w:trPr>
        <w:tc>
          <w:tcPr>
            <w:tcW w:w="17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0" w:right="60" w:hanging="592"/>
        <w:spacing w:after="0" w:line="233" w:lineRule="auto"/>
        <w:tabs>
          <w:tab w:leader="none" w:pos="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5"/>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5"/>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21,773</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Depreciation</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Arial" w:cs="Arial" w:eastAsia="Arial" w:hAnsi="Arial"/>
                <w:sz w:val="18"/>
                <w:szCs w:val="18"/>
                <w:color w:val="auto"/>
              </w:rPr>
              <w:t>Foreign currency (gain) loss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2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EBITDA</w:t>
            </w:r>
          </w:p>
        </w:tc>
        <w:tc>
          <w:tcPr>
            <w:tcW w:w="2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50% of EBITDA</w:t>
            </w:r>
          </w:p>
        </w:tc>
        <w:tc>
          <w:tcPr>
            <w:tcW w:w="2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40" w:type="dxa"/>
            <w:vAlign w:val="bottom"/>
            <w:tcBorders>
              <w:bottom w:val="single" w:sz="8" w:color="auto"/>
            </w:tcBorders>
          </w:tcPr>
          <w:p>
            <w:pPr>
              <w:spacing w:after="0"/>
              <w:rPr>
                <w:sz w:val="7"/>
                <w:szCs w:val="7"/>
                <w:color w:val="auto"/>
              </w:rPr>
            </w:pPr>
          </w:p>
        </w:tc>
        <w:tc>
          <w:tcPr>
            <w:tcW w:w="28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Non-cash occupancy-related costs include the difference between cash and straight-line rent for all periods.</w:t>
      </w:r>
    </w:p>
    <w:p>
      <w:pPr>
        <w:spacing w:after="0" w:line="109" w:lineRule="exact"/>
        <w:rPr>
          <w:rFonts w:ascii="Arial" w:cs="Arial" w:eastAsia="Arial" w:hAnsi="Arial"/>
          <w:sz w:val="14"/>
          <w:szCs w:val="14"/>
          <w:color w:val="auto"/>
        </w:rPr>
      </w:pPr>
    </w:p>
    <w:p>
      <w:pPr>
        <w:ind w:left="580" w:right="100" w:hanging="572"/>
        <w:spacing w:after="0" w:line="233"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Non-recurring costs include: severance; legal reserves and related fees; one-time consulting and other costs associated with the Company’s strategic transformation initiatives; discontinuation and liquidation costs; and costs related to our initial public offering and refinancing. While we have incurred significant costs associated with the COVID-19 pandemic during fiscal 2020 and 2021, we have not classified any of these costs as non-recurring due to the uncertainty surrounding the pandemic’s length and long-term impact on the macroeconomic operating environment.</w:t>
      </w:r>
    </w:p>
    <w:p>
      <w:pPr>
        <w:spacing w:after="0" w:line="76" w:lineRule="exact"/>
        <w:rPr>
          <w:rFonts w:ascii="Arial" w:cs="Arial" w:eastAsia="Arial" w:hAnsi="Arial"/>
          <w:sz w:val="14"/>
          <w:szCs w:val="14"/>
          <w:color w:val="auto"/>
        </w:rPr>
      </w:pPr>
    </w:p>
    <w:p>
      <w:pPr>
        <w:ind w:left="580" w:right="200" w:hanging="572"/>
        <w:spacing w:after="0" w:line="253" w:lineRule="auto"/>
        <w:tabs>
          <w:tab w:leader="none" w:pos="5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define net margin as net income (loss) attributable to Class A and B-1 common stockholders divided by net sales and Adjusted EBITDA margin as Adjusted EBITDA divided by net sales.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Free Cash Flow is a non-GAAP financial measure that is calculated as net cash provided by operating activities less cash paid for fixed assets. Management believes that Free Cash Flow, which measures our ability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generate additional cash from our business operations, is an important financial measure for use in evaluating the Company’s financial performance.</w:t>
      </w:r>
    </w:p>
    <w:p>
      <w:pPr>
        <w:spacing w:after="0" w:line="237" w:lineRule="exact"/>
        <w:rPr>
          <w:sz w:val="20"/>
          <w:szCs w:val="20"/>
          <w:color w:val="auto"/>
        </w:rPr>
      </w:pPr>
    </w:p>
    <w:p>
      <w:pPr>
        <w:ind w:right="140" w:firstLine="589"/>
        <w:spacing w:after="0" w:line="263" w:lineRule="auto"/>
        <w:rPr>
          <w:sz w:val="20"/>
          <w:szCs w:val="20"/>
          <w:color w:val="auto"/>
        </w:rPr>
      </w:pPr>
      <w:r>
        <w:rPr>
          <w:rFonts w:ascii="Arial" w:cs="Arial" w:eastAsia="Arial" w:hAnsi="Arial"/>
          <w:sz w:val="18"/>
          <w:szCs w:val="18"/>
          <w:color w:val="auto"/>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vMerge w:val="continue"/>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9"/>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9"/>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0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358,215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268,615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Cash paid for fixed assets</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(239,110)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(159,560)</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(156,906)</w:t>
            </w:r>
          </w:p>
        </w:tc>
        <w:tc>
          <w:tcPr>
            <w:tcW w:w="0" w:type="dxa"/>
            <w:vAlign w:val="bottom"/>
          </w:tcPr>
          <w:p>
            <w:pPr>
              <w:spacing w:after="0"/>
              <w:rPr>
                <w:sz w:val="1"/>
                <w:szCs w:val="1"/>
                <w:color w:val="auto"/>
              </w:rPr>
            </w:pPr>
          </w:p>
        </w:tc>
      </w:tr>
      <w:tr>
        <w:trPr>
          <w:trHeight w:val="223"/>
        </w:trPr>
        <w:tc>
          <w:tcPr>
            <w:tcW w:w="4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Free Cash Flow</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Debt</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Net Debt is a non-GAAP financial measure that is calculated as the sum of current and non-current debt, less cash and cash equivalents. Management considers this adjustment useful because it reduces the volatility of total debt caused by fluctuations between cash paid against the Company’s revolving credit facility and cash held on hand in cash and cash equivalents.</w:t>
      </w:r>
    </w:p>
    <w:p>
      <w:pPr>
        <w:spacing w:after="0" w:line="184" w:lineRule="exact"/>
        <w:rPr>
          <w:sz w:val="20"/>
          <w:szCs w:val="20"/>
          <w:color w:val="auto"/>
        </w:rPr>
      </w:pPr>
    </w:p>
    <w:p>
      <w:pPr>
        <w:ind w:right="160" w:firstLine="589"/>
        <w:spacing w:after="0" w:line="308" w:lineRule="auto"/>
        <w:rPr>
          <w:sz w:val="20"/>
          <w:szCs w:val="20"/>
          <w:color w:val="auto"/>
        </w:rPr>
      </w:pPr>
      <w:r>
        <w:rPr>
          <w:rFonts w:ascii="Arial" w:cs="Arial" w:eastAsia="Arial" w:hAnsi="Arial"/>
          <w:sz w:val="17"/>
          <w:szCs w:val="17"/>
          <w:color w:val="auto"/>
        </w:rPr>
        <w:t>Although other companies report their net debt, numerous methods exist for calculating a company’s net debt. As a result, the method used by the Company’s management to calculate our Net Debt may differ from the methods used by other companies to calculate their net debt.</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reflects the calculation of net debt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January 29,</w:t>
            </w:r>
          </w:p>
        </w:tc>
        <w:tc>
          <w:tcPr>
            <w:tcW w:w="2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Senior secured credit facilities, net, including current portion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1,657,390</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1,646,281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leases, including current portion</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29,816</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debt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1,687,206</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cash and cash equivalents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(211,602)</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(111,402)</w:t>
            </w: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Net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1,475,604</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1,548,518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January 29, 2022 was $649.8 million inclusive of cash and cash equivalents of $211.6 million and $438.2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81"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January 29, 2022, while others are considered future obligations. Our contractual obligations primarily consist of operating leases and long-term debt and related interest payments. We also enter certain short-term lease commitments, letters of credit and purchase obligations in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40"/>
        <w:spacing w:after="0" w:line="263" w:lineRule="auto"/>
        <w:rPr>
          <w:sz w:val="20"/>
          <w:szCs w:val="20"/>
          <w:color w:val="auto"/>
        </w:rPr>
      </w:pPr>
      <w:r>
        <w:rPr>
          <w:rFonts w:ascii="Arial" w:cs="Arial" w:eastAsia="Arial" w:hAnsi="Arial"/>
          <w:sz w:val="18"/>
          <w:szCs w:val="18"/>
          <w:color w:val="auto"/>
        </w:rPr>
        <w:t>normal course of business. Refer to Note 6 and Note 8 to the historical consolidated financial statements included elsewhere in this Annual Report on Form 10-K for amounts outstanding as of January 29, 2022 related to operating leases and debt, respectively. Refer also to further discussion on our debt refinancing transaction in “Sources of Liquidity” below.</w:t>
      </w:r>
    </w:p>
    <w:p>
      <w:pPr>
        <w:spacing w:after="0" w:line="184" w:lineRule="exact"/>
        <w:rPr>
          <w:sz w:val="20"/>
          <w:szCs w:val="20"/>
          <w:color w:val="auto"/>
        </w:rPr>
      </w:pPr>
    </w:p>
    <w:p>
      <w:pPr>
        <w:jc w:val="both"/>
        <w:ind w:right="140" w:firstLine="589"/>
        <w:spacing w:after="0" w:line="286" w:lineRule="auto"/>
        <w:rPr>
          <w:sz w:val="20"/>
          <w:szCs w:val="20"/>
          <w:color w:val="auto"/>
        </w:rPr>
      </w:pPr>
      <w:r>
        <w:rPr>
          <w:rFonts w:ascii="Arial" w:cs="Arial" w:eastAsia="Arial" w:hAnsi="Arial"/>
          <w:sz w:val="17"/>
          <w:szCs w:val="17"/>
          <w:color w:val="auto"/>
        </w:rPr>
        <w:t>Purchase obligations and commitments consist of open purchase orders, non-cancellable commitments for information technology, marketing and other products and services used in the normal course of business as well as our commitment for naming rights to the baseball stadium. As of January 29, 2022, our purchase obligations and commitments were $507.5 million of which $454.4 million is considered short-term.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8"/>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9"/>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8"/>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cash provided by (used in):</w:t>
            </w: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Operating activities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358,215</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268,615</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(237,083)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(157,185)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(139,041)</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Financing activities</w:t>
            </w:r>
          </w:p>
        </w:tc>
        <w:tc>
          <w:tcPr>
            <w:tcW w:w="1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(18,782)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(146,608)</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9"/>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w:t>
            </w:r>
          </w:p>
        </w:tc>
        <w:tc>
          <w:tcPr>
            <w:tcW w:w="15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and restricted cash</w:t>
            </w:r>
          </w:p>
        </w:tc>
        <w:tc>
          <w:tcPr>
            <w:tcW w:w="1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102,350</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(35,178)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(31,775)</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40" w:firstLine="589"/>
        <w:spacing w:after="0" w:line="254" w:lineRule="auto"/>
        <w:rPr>
          <w:sz w:val="20"/>
          <w:szCs w:val="20"/>
          <w:color w:val="auto"/>
        </w:rPr>
      </w:pPr>
      <w:r>
        <w:rPr>
          <w:rFonts w:ascii="Arial" w:cs="Arial" w:eastAsia="Arial" w:hAnsi="Arial"/>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intangible assets; other non-operating income; and the effect of changes in operating assets and liabilities.</w:t>
      </w:r>
    </w:p>
    <w:p>
      <w:pPr>
        <w:spacing w:after="0" w:line="195" w:lineRule="exact"/>
        <w:rPr>
          <w:sz w:val="20"/>
          <w:szCs w:val="20"/>
          <w:color w:val="auto"/>
        </w:rPr>
      </w:pPr>
    </w:p>
    <w:p>
      <w:pPr>
        <w:ind w:right="160" w:firstLine="589"/>
        <w:spacing w:after="0" w:line="293" w:lineRule="auto"/>
        <w:rPr>
          <w:sz w:val="20"/>
          <w:szCs w:val="20"/>
          <w:color w:val="auto"/>
        </w:rPr>
      </w:pPr>
      <w:r>
        <w:rPr>
          <w:rFonts w:ascii="Arial" w:cs="Arial" w:eastAsia="Arial" w:hAnsi="Arial"/>
          <w:sz w:val="16"/>
          <w:szCs w:val="16"/>
          <w:color w:val="auto"/>
        </w:rPr>
        <w:t>Net cash provided by operating activities was $358.2 million in fiscal 2021 compared with net cash provided by operating activities of $268.6 million in fiscal 2020. The increase in operating cash flow was due to strong operating performance and working capital benefit generated by higher sales as well as lower interest payments due to the reduction of debt balances in connection with the initial public offering and related recapitalization, and the refinancing transaction that occurred on March 4, 2021 discussed under “Sources of Liquidity” below. The increase in operating cash flows between the periods was partially offset by an increase in cash paid for inventory driven by higher inventory turns, higher payroll and fringe driven by operating performance along with other changes in working capital which is subject to many variables including the timing of cash receipts and payments.</w:t>
      </w:r>
    </w:p>
    <w:p>
      <w:pPr>
        <w:spacing w:after="0" w:line="164"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Net cash provided by operating activities was $268.6 million in fiscal 2020 compared with $110.3 million in fiscal 2019. The increase was driven by stronger operating performance period-over-period resulting from our strategic investments, an increase in pet ownership and increased consumer spending in the pet category. In addition, a decrease in cash payments for interest and lower payroll taxes due to the CARES Act contributed to the increase. This was partially offset by the timing of receipts and payments on inventory, increases in advertising spend and non-recurring expenses related to COVID-19 and the initial public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240" w:firstLine="751"/>
        <w:spacing w:after="0" w:line="259" w:lineRule="auto"/>
        <w:rPr>
          <w:sz w:val="20"/>
          <w:szCs w:val="20"/>
          <w:color w:val="auto"/>
        </w:rPr>
      </w:pPr>
      <w:r>
        <w:rPr>
          <w:rFonts w:ascii="Arial" w:cs="Arial" w:eastAsia="Arial" w:hAnsi="Arial"/>
          <w:sz w:val="18"/>
          <w:szCs w:val="18"/>
          <w:color w:val="auto"/>
        </w:rPr>
        <w:t>Net cash used in investing activities was $237.1 million, $157.2 million, and $139.0 million for fiscal 2021, fiscal 2020, and fiscal 2019, respectively, and consisted primarily of capital expenditures supporting our growth and initiatives. Offsetting our cash used for capital expenditures in fiscal 2019 was proceeds from the sale-leaseback of our San Antonio corporate support center, for which we received net proceeds of $18.5 million. The sale-leaseback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enabled us to enhance our liquidity and fund investments to support our strategic growth and transformation initiatives.</w:t>
      </w:r>
    </w:p>
    <w:p>
      <w:pPr>
        <w:spacing w:after="0" w:line="225" w:lineRule="exact"/>
        <w:rPr>
          <w:sz w:val="20"/>
          <w:szCs w:val="20"/>
          <w:color w:val="auto"/>
        </w:rPr>
      </w:pPr>
    </w:p>
    <w:p>
      <w:pPr>
        <w:ind w:right="560" w:firstLine="589"/>
        <w:spacing w:after="0" w:line="263" w:lineRule="auto"/>
        <w:rPr>
          <w:sz w:val="20"/>
          <w:szCs w:val="20"/>
          <w:color w:val="auto"/>
        </w:rPr>
      </w:pPr>
      <w:r>
        <w:rPr>
          <w:rFonts w:ascii="Arial" w:cs="Arial" w:eastAsia="Arial" w:hAnsi="Arial"/>
          <w:sz w:val="18"/>
          <w:szCs w:val="18"/>
          <w:color w:val="auto"/>
        </w:rPr>
        <w:t>The increase in capital expenditures between the periods was primarily due to the build-out of our veterinary hospitals, innovation, capital expenditures for our new distribution center and enhanced supply chain capacity in response to our sales growth. In fiscal 2022, we expect to spend approximately $275 million to $325 million in capital expenditures.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Capital expenditures by category during the periods set forth below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January 29,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00" w:type="dxa"/>
            <w:vAlign w:val="bottom"/>
            <w:tcBorders>
              <w:bottom w:val="single" w:sz="8" w:color="CFF0FC"/>
            </w:tcBorders>
            <w:vMerge w:val="continue"/>
          </w:tcPr>
          <w:p>
            <w:pPr>
              <w:spacing w:after="0"/>
              <w:rPr>
                <w:sz w:val="14"/>
                <w:szCs w:val="14"/>
                <w:color w:val="auto"/>
              </w:rPr>
            </w:pPr>
          </w:p>
        </w:tc>
        <w:tc>
          <w:tcPr>
            <w:tcW w:w="20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New and existing pet care center</w:t>
            </w:r>
          </w:p>
        </w:tc>
        <w:tc>
          <w:tcPr>
            <w:tcW w:w="2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locations</w:t>
            </w:r>
          </w:p>
        </w:tc>
        <w:tc>
          <w:tcPr>
            <w:tcW w:w="2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140,721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80,776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Digital and information technology</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68,232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Supply chain and other</w:t>
            </w:r>
          </w:p>
        </w:tc>
        <w:tc>
          <w:tcPr>
            <w:tcW w:w="20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60"/>
              <w:spacing w:after="0"/>
              <w:rPr>
                <w:sz w:val="20"/>
                <w:szCs w:val="20"/>
                <w:color w:val="auto"/>
              </w:rPr>
            </w:pPr>
            <w:r>
              <w:rPr>
                <w:rFonts w:ascii="Arial" w:cs="Arial" w:eastAsia="Arial" w:hAnsi="Arial"/>
                <w:sz w:val="18"/>
                <w:szCs w:val="18"/>
                <w:color w:val="auto"/>
              </w:rPr>
              <w:t>Total capital expenditures</w:t>
            </w:r>
          </w:p>
        </w:tc>
        <w:tc>
          <w:tcPr>
            <w:tcW w:w="20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239,110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159,560</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Net cash used in financing activities was $18.8 million for fiscal 2021, compared with $146.6 million used in financing activities in fiscal 2020 and $3.1 million used in financing activities in fiscal 2019.</w:t>
      </w:r>
    </w:p>
    <w:p>
      <w:pPr>
        <w:spacing w:after="0" w:line="170" w:lineRule="exact"/>
        <w:rPr>
          <w:sz w:val="20"/>
          <w:szCs w:val="20"/>
          <w:color w:val="auto"/>
        </w:rPr>
      </w:pPr>
    </w:p>
    <w:p>
      <w:pPr>
        <w:ind w:right="760" w:firstLine="589"/>
        <w:spacing w:after="0" w:line="277" w:lineRule="auto"/>
        <w:rPr>
          <w:sz w:val="20"/>
          <w:szCs w:val="20"/>
          <w:color w:val="auto"/>
        </w:rPr>
      </w:pPr>
      <w:r>
        <w:rPr>
          <w:rFonts w:ascii="Arial" w:cs="Arial" w:eastAsia="Arial" w:hAnsi="Arial"/>
          <w:sz w:val="18"/>
          <w:szCs w:val="18"/>
          <w:color w:val="auto"/>
        </w:rPr>
        <w:t>Financing cash flows in fiscal 2021 primarily consisted of borrowings and repayments of debt in connection with the March 4, 2021 debt refinancing transaction discussed under “Sources of Liquidity” below.</w:t>
      </w:r>
    </w:p>
    <w:p>
      <w:pPr>
        <w:spacing w:after="0" w:line="170"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Financing cash flows in fiscal 2020 primarily consisted of repayments of debt in connection with the initial public offering that occurred on January 19, 2021. Upon the closing of the initial public offering, the Company repaid $727.0 million of the Amended Term Loan Facility, $300.0 million in principal on the Floating Rate Senior Notes and $4.0 million on the 3.00% Senior Notes. These payments were made from net proceeds of $936.0 million from the initial public offering. The Company paid an additional $18.9 million of term loan principal payments in fiscal 2020. For more information regarding these activities, refer to Note 8 and Note 9 to the historical consolidated financial statements included elsewhere in this Annual Report on Form 10-K. Additionally, at the start of the COVID-19 pandemic in March 2020, we took a precautionary draw on the Amended Revolving Credit Facility of $250.0 million. As operations stabilized and financial results improved, the balance was repaid in full in the second quarter of fiscal 2020 and no amounts were outstanding as of January 30, 2021.</w:t>
      </w:r>
    </w:p>
    <w:p>
      <w:pPr>
        <w:spacing w:after="0" w:line="192"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Financing cash flows in fiscal 2019 primarily consisted of term loan principal payments of $25.3 million and net borrowings on the Amended Revolving Credit Facility of $29.0 million to support the working capital needs of the business. The outstanding balance on the Amended Revolving Credit Facility was $29.0 million as of February 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right="460" w:firstLine="589"/>
        <w:spacing w:after="0" w:line="277" w:lineRule="auto"/>
        <w:rPr>
          <w:sz w:val="20"/>
          <w:szCs w:val="20"/>
          <w:color w:val="auto"/>
        </w:rPr>
      </w:pPr>
      <w:r>
        <w:rPr>
          <w:rFonts w:ascii="Arial" w:cs="Arial" w:eastAsia="Arial" w:hAnsi="Arial"/>
          <w:sz w:val="18"/>
          <w:szCs w:val="18"/>
          <w:color w:val="auto"/>
        </w:rPr>
        <w:t>As of January 30, 2021, the Company had $1,678.1 million outstanding on the Amended Term Loan Facility and no balance on the Amended Revolving Credit Facility, which provided for senior secured financing of up to $500.0 million, subject to a borrowing base.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60" w:firstLine="589"/>
        <w:spacing w:after="0" w:line="271" w:lineRule="auto"/>
        <w:rPr>
          <w:sz w:val="20"/>
          <w:szCs w:val="20"/>
          <w:color w:val="auto"/>
        </w:rPr>
      </w:pPr>
      <w:r>
        <w:rPr>
          <w:rFonts w:ascii="Arial" w:cs="Arial" w:eastAsia="Arial" w:hAnsi="Arial"/>
          <w:sz w:val="17"/>
          <w:szCs w:val="17"/>
          <w:color w:val="auto"/>
        </w:rPr>
        <w:t>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 The transaction led to a decrease in Net Debt from $1,548.5 million as of January 30, 2021 to $1,475.6 million as of January 29, 2022. Interest under the First Lien Term Loan is based on,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commenced on June 30, 2021. The terms under the ABL Revolving Credit Facility are substantially similar to those of the Amended Revolving Credit Facility.</w:t>
      </w:r>
    </w:p>
    <w:p>
      <w:pPr>
        <w:spacing w:after="0" w:line="178"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For more information regarding this indebtedness, refer to Note 8,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in the Notes to Consolidated Financial Statements included in Part II, Item 8 of this Annual Report on Form 10-K.</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Segment</w:t>
      </w:r>
    </w:p>
    <w:p>
      <w:pPr>
        <w:spacing w:after="0" w:line="121"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We operate under one reportable segment and support and serve pets and their parents through our integrated ecosystem of pet care centers, services, and e-commerce.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Our financial performance is not significantly impacted by seasonality, as the majority of our sales are generated by pet parents caring for their pets year-round.</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64" w:lineRule="exact"/>
        <w:rPr>
          <w:sz w:val="20"/>
          <w:szCs w:val="20"/>
          <w:color w:val="auto"/>
        </w:rPr>
      </w:pPr>
    </w:p>
    <w:p>
      <w:pPr>
        <w:ind w:right="120" w:firstLine="589"/>
        <w:spacing w:after="0" w:line="286" w:lineRule="auto"/>
        <w:rPr>
          <w:sz w:val="20"/>
          <w:szCs w:val="20"/>
          <w:color w:val="auto"/>
        </w:rPr>
      </w:pPr>
      <w:r>
        <w:rPr>
          <w:rFonts w:ascii="Arial" w:cs="Arial" w:eastAsia="Arial" w:hAnsi="Arial"/>
          <w:sz w:val="17"/>
          <w:szCs w:val="17"/>
          <w:color w:val="auto"/>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Reserves</w:t>
      </w:r>
    </w:p>
    <w:p>
      <w:pPr>
        <w:spacing w:after="0" w:line="117"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spacing w:after="0" w:line="161" w:lineRule="exact"/>
        <w:rPr>
          <w:sz w:val="20"/>
          <w:szCs w:val="20"/>
          <w:color w:val="auto"/>
        </w:rPr>
      </w:pPr>
    </w:p>
    <w:p>
      <w:pPr>
        <w:ind w:right="120" w:firstLine="589"/>
        <w:spacing w:after="0" w:line="301" w:lineRule="auto"/>
        <w:rPr>
          <w:sz w:val="20"/>
          <w:szCs w:val="20"/>
          <w:color w:val="auto"/>
        </w:rPr>
      </w:pPr>
      <w:r>
        <w:rPr>
          <w:rFonts w:ascii="Arial" w:cs="Arial" w:eastAsia="Arial" w:hAnsi="Arial"/>
          <w:sz w:val="16"/>
          <w:szCs w:val="16"/>
          <w:color w:val="auto"/>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Arial" w:cs="Arial" w:eastAsia="Arial" w:hAnsi="Arial"/>
          <w:sz w:val="16"/>
          <w:szCs w:val="16"/>
          <w:i w:val="1"/>
          <w:iCs w:val="1"/>
          <w:color w:val="auto"/>
        </w:rPr>
        <w:t>.</w:t>
      </w:r>
    </w:p>
    <w:p>
      <w:pPr>
        <w:spacing w:after="0" w:line="157" w:lineRule="exact"/>
        <w:rPr>
          <w:sz w:val="20"/>
          <w:szCs w:val="20"/>
          <w:color w:val="auto"/>
        </w:rPr>
      </w:pPr>
    </w:p>
    <w:p>
      <w:pPr>
        <w:jc w:val="both"/>
        <w:ind w:right="340" w:firstLine="589"/>
        <w:spacing w:after="0" w:line="311" w:lineRule="auto"/>
        <w:rPr>
          <w:sz w:val="20"/>
          <w:szCs w:val="20"/>
          <w:color w:val="auto"/>
        </w:rPr>
      </w:pPr>
      <w:r>
        <w:rPr>
          <w:rFonts w:ascii="Arial" w:cs="Arial" w:eastAsia="Arial" w:hAnsi="Arial"/>
          <w:sz w:val="16"/>
          <w:szCs w:val="16"/>
          <w:color w:val="auto"/>
        </w:rPr>
        <w:t>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January 29, 2022 would have an insignificant effect on pre-tax loss in fiscal 2021. Additionally, we do not believe there is a</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reasonable likelihood that there will be a material change in future estimates or assumptions we use to calculate our shrink reserve. However, if estimates of losses are inaccurate, we may be exposed to losses or gains that could be material. A 10% difference in our actual shrink reserve at January 29, 2022 would have affected pre-tax loss by $2.8 million in fiscal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establish a deferral for vendor income that is earned but not yet received and record the deferral as a reduction to merchandise inventory. The majority of the year-end vendor income deferrals are collected within the following fiscal quarter, and we do not believe there is reasonable likelihood that the assumptions used in our estimate will change significantly. Historically, adjustments to our vendor income deferral have not been material. A 10% difference in our vendor income deferred at January 29, 2022 would have affected pre-tax loss by $2.7 million in fiscal 2021.</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made any material changes in the accounting methodology we use to assess valuation allowances during the past three fiscal years.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Long-lived assets, other than goodwill and intangible assets, which are separately discussed below, are tested for recoverability whenever events or changes in circumstances indicate that the carrying value of an asset may not be recoverable. A long-lived asset is not recoverable if its carrying amount exceeds the sum of the undiscounted cash flows expected to result from its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spacing w:after="0" w:line="188"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made any material changes in the accounting methodology we use to assess impairment losses during the past three fiscal years.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Trade Name Intangible Assets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89"/>
        <w:spacing w:after="0" w:line="272" w:lineRule="auto"/>
        <w:rPr>
          <w:sz w:val="20"/>
          <w:szCs w:val="20"/>
          <w:color w:val="auto"/>
        </w:rPr>
      </w:pPr>
      <w:r>
        <w:rPr>
          <w:rFonts w:ascii="Arial" w:cs="Arial" w:eastAsia="Arial" w:hAnsi="Arial"/>
          <w:sz w:val="17"/>
          <w:szCs w:val="17"/>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80" w:firstLine="589"/>
        <w:spacing w:after="0" w:line="255" w:lineRule="auto"/>
        <w:rPr>
          <w:sz w:val="20"/>
          <w:szCs w:val="20"/>
          <w:color w:val="auto"/>
        </w:rPr>
      </w:pPr>
      <w:r>
        <w:rPr>
          <w:rFonts w:ascii="Arial" w:cs="Arial" w:eastAsia="Arial" w:hAnsi="Arial"/>
          <w:sz w:val="18"/>
          <w:szCs w:val="18"/>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 reporting unit, then we would record an impairment loss equal to the difference.</w:t>
      </w:r>
    </w:p>
    <w:p>
      <w:pPr>
        <w:spacing w:after="0" w:line="192"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In cases where a quantitative test is performed, the fair value of our reporting unit is estimated using the assistance of a third-party valuation firm and quantitative impairment tests are calculated using a discounted cash flow analysis and a public company analysis. Significant assumptions inherent in these valuation methodologies are employed and include, but are not limited to, prospective financial information, growth rates, discount rates, and comparable multiples from publicly traded companies in similar industries.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not made any material changes in the accounting methodology we use to assess goodwill impairment losses during the past three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319" w:lineRule="exact"/>
        <w:rPr>
          <w:sz w:val="20"/>
          <w:szCs w:val="20"/>
          <w:color w:val="auto"/>
        </w:rPr>
      </w:pPr>
    </w:p>
    <w:p>
      <w:pPr>
        <w:ind w:left="600"/>
        <w:spacing w:after="0"/>
        <w:rPr>
          <w:sz w:val="20"/>
          <w:szCs w:val="20"/>
          <w:color w:val="auto"/>
        </w:rPr>
      </w:pPr>
      <w:r>
        <w:rPr>
          <w:rFonts w:ascii="Arial" w:cs="Arial" w:eastAsia="Arial" w:hAnsi="Arial"/>
          <w:sz w:val="18"/>
          <w:szCs w:val="18"/>
          <w:b w:val="1"/>
          <w:bCs w:val="1"/>
          <w:i w:val="1"/>
          <w:iCs w:val="1"/>
          <w:color w:val="auto"/>
        </w:rPr>
        <w:t>Indefinite-lived trade name</w:t>
      </w:r>
    </w:p>
    <w:p>
      <w:pPr>
        <w:spacing w:after="0" w:line="117" w:lineRule="exact"/>
        <w:rPr>
          <w:sz w:val="20"/>
          <w:szCs w:val="20"/>
          <w:color w:val="auto"/>
        </w:rPr>
      </w:pPr>
    </w:p>
    <w:p>
      <w:pPr>
        <w:ind w:right="180" w:firstLine="589"/>
        <w:spacing w:after="0" w:line="257" w:lineRule="auto"/>
        <w:rPr>
          <w:sz w:val="20"/>
          <w:szCs w:val="20"/>
          <w:color w:val="auto"/>
        </w:rPr>
      </w:pPr>
      <w:r>
        <w:rPr>
          <w:rFonts w:ascii="Arial" w:cs="Arial" w:eastAsia="Arial" w:hAnsi="Arial"/>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quantitative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88"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In cases where a quantitative test is performed, the fair value of our trade name is estimated using the assistance of a third-party valuation firm using the relief from royalty valuation method, a variation of the discounted cash flow approach. Significant assumptions inherent in the valuation methodology are employed and include, but are not limited to, prospective financial information, royalty rates and discount rates. An impairment charge is recorded for the amount by which the carrying amount of the trade name exceeds its fair value.</w:t>
      </w:r>
    </w:p>
    <w:p>
      <w:pPr>
        <w:spacing w:after="0" w:line="18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We have not made any material changes in the accounting methodology we use to assess indefinite-lived trade name impairment during the past three fiscal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right="200" w:firstLine="589"/>
        <w:spacing w:after="0" w:line="275" w:lineRule="auto"/>
        <w:rPr>
          <w:sz w:val="20"/>
          <w:szCs w:val="20"/>
          <w:color w:val="auto"/>
        </w:rPr>
      </w:pPr>
      <w:r>
        <w:rPr>
          <w:rFonts w:ascii="Arial" w:cs="Arial" w:eastAsia="Arial" w:hAnsi="Arial"/>
          <w:sz w:val="17"/>
          <w:szCs w:val="17"/>
          <w:color w:val="auto"/>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spacing w:after="0" w:line="176" w:lineRule="exact"/>
        <w:rPr>
          <w:sz w:val="20"/>
          <w:szCs w:val="20"/>
          <w:color w:val="auto"/>
        </w:rPr>
      </w:pPr>
    </w:p>
    <w:p>
      <w:pPr>
        <w:jc w:val="both"/>
        <w:ind w:right="320" w:firstLine="589"/>
        <w:spacing w:after="0" w:line="311" w:lineRule="auto"/>
        <w:rPr>
          <w:sz w:val="20"/>
          <w:szCs w:val="20"/>
          <w:color w:val="auto"/>
        </w:rPr>
      </w:pPr>
      <w:r>
        <w:rPr>
          <w:rFonts w:ascii="Arial" w:cs="Arial" w:eastAsia="Arial" w:hAnsi="Arial"/>
          <w:sz w:val="16"/>
          <w:szCs w:val="16"/>
          <w:color w:val="auto"/>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January 29, 2022 would have affected pre-tax loss by $8.5 million in fiscal 2021.</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Consolidated Financial Statements included in Part II, Item 8 of this Annual Report on Form 10-K for information regarding recently issued accounting pronouncements.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subject to interest rate risk in connection with the First Lien Term Loan and the ABL Revolving Credit Facility. As of January 29, 2022,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had $1,687.3 million outstanding under the First Lien Term Loan and no amounts outstanding under the ABL Revolving Credit Facility. The First Lien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 Loan and the ABL Revolving Credit Facility each bear interest at variable rates. An increase of 100 basis points in the variable rates on the First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and the ABL Revolving Credit Facility as of January 29, 2022 would have increased annual cash interest in the aggregate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$17.1 million. As of January 29, 2022, the underlying interest rates on the First Lien Term Loan and the ABL Revolving Credit Facility were at the floor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agreements.</w:t>
      </w:r>
    </w:p>
    <w:p>
      <w:pPr>
        <w:spacing w:after="0" w:line="211"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As of January 29, 2022,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520" w:firstLine="589"/>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700" w:type="dxa"/>
            <w:vAlign w:val="bottom"/>
          </w:tcPr>
          <w:p>
            <w:pPr>
              <w:spacing w:after="0"/>
              <w:rPr>
                <w:sz w:val="14"/>
                <w:szCs w:val="14"/>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4920" w:type="dxa"/>
            <w:vAlign w:val="bottom"/>
            <w:gridSpan w:val="8"/>
            <w:vMerge w:val="continue"/>
          </w:tcPr>
          <w:p>
            <w:pPr>
              <w:spacing w:after="0"/>
              <w:rPr>
                <w:sz w:val="18"/>
                <w:szCs w:val="18"/>
                <w:color w:val="auto"/>
              </w:rPr>
            </w:pPr>
          </w:p>
        </w:tc>
        <w:tc>
          <w:tcPr>
            <w:tcW w:w="5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30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Reports of Independent Registered Public Accounting Firm</w:t>
              </w:r>
            </w:hyperlink>
          </w:p>
        </w:tc>
        <w:tc>
          <w:tcPr>
            <w:tcW w:w="620" w:type="dxa"/>
            <w:vAlign w:val="bottom"/>
          </w:tcPr>
          <w:p>
            <w:pPr>
              <w:spacing w:after="0"/>
              <w:rPr>
                <w:sz w:val="16"/>
                <w:szCs w:val="16"/>
                <w:color w:val="auto"/>
              </w:rPr>
            </w:pPr>
          </w:p>
        </w:tc>
        <w:tc>
          <w:tcPr>
            <w:tcW w:w="63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w:t>
              </w:r>
            </w:hyperlink>
          </w:p>
        </w:tc>
        <w:tc>
          <w:tcPr>
            <w:tcW w:w="2820" w:type="dxa"/>
            <w:vAlign w:val="bottom"/>
            <w:gridSpan w:val="7"/>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4920" w:type="dxa"/>
            <w:vAlign w:val="bottom"/>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Statements of Operations</w:t>
              </w:r>
            </w:hyperlink>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Income (Loss</w:t>
              </w:r>
            </w:hyperlink>
            <w:r>
              <w:rPr>
                <w:rFonts w:ascii="Arial" w:cs="Arial" w:eastAsia="Arial" w:hAnsi="Arial"/>
                <w:sz w:val="18"/>
                <w:szCs w:val="18"/>
                <w:color w:val="000000"/>
              </w:rPr>
              <w:t>)</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Equity</w:t>
              </w:r>
            </w:hyperlink>
          </w:p>
        </w:tc>
        <w:tc>
          <w:tcPr>
            <w:tcW w:w="1680" w:type="dxa"/>
            <w:vAlign w:val="bottom"/>
            <w:tcBorders>
              <w:top w:val="single" w:sz="8" w:color="0000EE"/>
            </w:tcBorders>
            <w:gridSpan w:val="4"/>
          </w:tcPr>
          <w:p>
            <w:pPr>
              <w:spacing w:after="0"/>
              <w:rPr>
                <w:sz w:val="18"/>
                <w:szCs w:val="18"/>
                <w:color w:val="auto"/>
              </w:rPr>
            </w:pPr>
          </w:p>
        </w:tc>
        <w:tc>
          <w:tcPr>
            <w:tcW w:w="720" w:type="dxa"/>
            <w:vAlign w:val="bottom"/>
            <w:gridSpan w:val="2"/>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18"/>
                <w:szCs w:val="18"/>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492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912"/>
        </w:trPr>
        <w:tc>
          <w:tcPr>
            <w:tcW w:w="2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00" w:type="dxa"/>
            <w:vAlign w:val="bottom"/>
          </w:tcPr>
          <w:p>
            <w:pPr>
              <w:jc w:val="right"/>
              <w:ind w:right="4810"/>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33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Petco Health and Wellness Company,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Petco Health and Wellness Company, Inc. (the Company) as of January 29, 2022 and January 30, 2021, the related consolidated statements of operations, comprehensive income (loss), equity, and cash flows for each of the three years in the period ended January 29, 2022, and the related notes (collectively referred to as the “consolidated financial statements”). In our opinion, the consolidated financial statements present fairly, in all material respects, the financial position of the Company at January 29, 2022 and January 30, 2021, and the results of its operations and its cash flows for each of the three years in the period ended January 29, 2022, in conformity with U.S. generally accepted accounting principles.</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29, 2022, based on criteria established in Internal Control-Integrated Framework issued by the Committee of Sponsoring Organizations of the Treadway Commission (2013 Framework) and our report dated March 24, 2022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ind w:left="146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25" w:lineRule="exact"/>
        <w:rPr>
          <w:sz w:val="20"/>
          <w:szCs w:val="20"/>
          <w:color w:val="auto"/>
        </w:rPr>
      </w:pPr>
    </w:p>
    <w:p>
      <w:pPr>
        <w:ind w:left="1840" w:right="279" w:hanging="1835"/>
        <w:spacing w:after="0" w:line="271" w:lineRule="auto"/>
        <w:rPr>
          <w:sz w:val="20"/>
          <w:szCs w:val="20"/>
          <w:color w:val="auto"/>
        </w:rPr>
      </w:pPr>
      <w:r>
        <w:rPr>
          <w:rFonts w:ascii="Arial" w:cs="Arial" w:eastAsia="Arial" w:hAnsi="Arial"/>
          <w:sz w:val="17"/>
          <w:szCs w:val="17"/>
          <w:i w:val="1"/>
          <w:iCs w:val="1"/>
          <w:color w:val="auto"/>
        </w:rPr>
        <w:t>Description of the Matter</w:t>
      </w:r>
      <w:r>
        <w:rPr>
          <w:rFonts w:ascii="Arial" w:cs="Arial" w:eastAsia="Arial" w:hAnsi="Arial"/>
          <w:sz w:val="17"/>
          <w:szCs w:val="17"/>
          <w:color w:val="auto"/>
        </w:rPr>
        <w:t>As discussed in Note 1 of the consolidated financial statements, the Company receives vendor allowances from</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merchandise vendors through a variety of programs intended to offset the cost of inventory and for promoting and selling merchandise inventory. Purchases-based vendor allowances are recorded as a reduction of merchandise inventory and are recognized as a reduction to cost of sales when the associated inventory is sold. Other promotional allowances that are contractually tied to the sale of inventory are recognized as a reduction to cost of sales at the time of the sale of the specific goods. Funds that are determined to be a reimbursement of specific, incremental, and identifiable costs incurred to sell a vendor’s products are recorded as an offset to the related expense when incurred.</w:t>
      </w:r>
    </w:p>
    <w:p>
      <w:pPr>
        <w:spacing w:after="0" w:line="178" w:lineRule="exact"/>
        <w:rPr>
          <w:sz w:val="20"/>
          <w:szCs w:val="20"/>
          <w:color w:val="auto"/>
        </w:rPr>
      </w:pPr>
    </w:p>
    <w:p>
      <w:pPr>
        <w:jc w:val="both"/>
        <w:ind w:left="1840" w:right="299"/>
        <w:spacing w:after="0" w:line="311" w:lineRule="auto"/>
        <w:rPr>
          <w:sz w:val="20"/>
          <w:szCs w:val="20"/>
          <w:color w:val="auto"/>
        </w:rPr>
      </w:pPr>
      <w:r>
        <w:rPr>
          <w:rFonts w:ascii="Arial" w:cs="Arial" w:eastAsia="Arial" w:hAnsi="Arial"/>
          <w:sz w:val="16"/>
          <w:szCs w:val="16"/>
          <w:color w:val="auto"/>
        </w:rPr>
        <w:t>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p>
      <w:pPr>
        <w:spacing w:after="0" w:line="149"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spacing w:after="0" w:line="23" w:lineRule="exact"/>
        <w:rPr>
          <w:sz w:val="20"/>
          <w:szCs w:val="20"/>
          <w:color w:val="auto"/>
        </w:rPr>
      </w:pPr>
    </w:p>
    <w:p>
      <w:pPr>
        <w:ind w:left="1840" w:right="539" w:hanging="1835"/>
        <w:spacing w:after="0" w:line="260" w:lineRule="auto"/>
        <w:tabs>
          <w:tab w:leader="none" w:pos="182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over the Company’s vendor allowances process, including management’s assessment of the terms of vendor agreements and related treatment of the vendor allowances.</w:t>
      </w:r>
    </w:p>
    <w:p>
      <w:pPr>
        <w:spacing w:after="0" w:line="185" w:lineRule="exact"/>
        <w:rPr>
          <w:sz w:val="20"/>
          <w:szCs w:val="20"/>
          <w:color w:val="auto"/>
        </w:rPr>
      </w:pPr>
    </w:p>
    <w:p>
      <w:pPr>
        <w:ind w:left="1840" w:right="279"/>
        <w:spacing w:after="0" w:line="287" w:lineRule="auto"/>
        <w:rPr>
          <w:sz w:val="20"/>
          <w:szCs w:val="20"/>
          <w:color w:val="auto"/>
        </w:rPr>
      </w:pPr>
      <w:r>
        <w:rPr>
          <w:rFonts w:ascii="Arial" w:cs="Arial" w:eastAsia="Arial" w:hAnsi="Arial"/>
          <w:sz w:val="16"/>
          <w:szCs w:val="16"/>
          <w:color w:val="auto"/>
        </w:rPr>
        <w:t>In order to test the recorded amount of vendor allowances, for a sample of vendor contracts, we tested whether the recorded amounts were consistent with the nature of the vendor allowances and evaluated whether the allowances had been earned as of January 29, 2022, were appropriately recorded in the statement of operations and were appropriately classified as a reduction of cost of sales or selling, general and administrative expenses based on the contractual terms. For a sample of vendor arrangements, we confirmed the terms of the agreement directly with the vendor, and for confirmations not received, we performed alternative procedures such as agreeing to underlying contractual arrangements, testing the settlement of the arrangement, and holding discussions with applicable Company buyers to understand the terms of the agreement. We also evaluated and recalculated the amount of deferred vendor allowances recorded as a reduction to merchandise inventory by developing an expectation for the amount based on the historical amounts recorded as a percentage of vendor allowances earned and comparing our expectation to the amount recorded by management.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63" w:name="page64"/>
    <w:bookmarkEnd w:id="63"/>
    <w:p>
      <w:pPr>
        <w:ind w:left="3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Petco Health and Wellness Company,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audited Petco Health and Wellness Company, Inc.’s internal control over financial reporting as of January 29, 2022, based on criteria established in Internal Control—Integrated Framework issued by the Committee of Sponsoring Organizations of the Treadway Commission (2013 framework) (the COSO criteria). In our opinion, Petco Health and Wellness Company, Inc. (the Company) maintained, in all material respects, effective internal control over financial reporting as of January 29, 2022, based on the COSO criteria.</w:t>
      </w:r>
    </w:p>
    <w:p>
      <w:pPr>
        <w:spacing w:after="0" w:line="16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January 29, 2022 and January 30, 2021, and the related consolidated statements of operations, comprehensive income (loss), equity, and cash flows for each of the three years in the period ended January 29, 2022, and the related notes and our report dated March 24, 2022,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29" w:right="4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January 29,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January 30,</w:t>
            </w:r>
          </w:p>
        </w:tc>
      </w:tr>
      <w:tr>
        <w:trPr>
          <w:trHeight w:val="153"/>
        </w:trPr>
        <w:tc>
          <w:tcPr>
            <w:tcW w:w="63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b w:val="1"/>
                <w:bCs w:val="1"/>
                <w:color w:val="auto"/>
              </w:rPr>
              <w:t>2022</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155"/>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Current assets: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166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211,602</w:t>
            </w:r>
          </w:p>
        </w:tc>
        <w:tc>
          <w:tcPr>
            <w:tcW w:w="3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74"/>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111,402</w:t>
            </w:r>
          </w:p>
        </w:tc>
        <w:tc>
          <w:tcPr>
            <w:tcW w:w="120" w:type="dxa"/>
            <w:vAlign w:val="bottom"/>
            <w:shd w:val="clear" w:color="auto" w:fill="CFF0FC"/>
          </w:tcPr>
          <w:p>
            <w:pPr>
              <w:spacing w:after="0"/>
              <w:rPr>
                <w:sz w:val="14"/>
                <w:szCs w:val="14"/>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Receivables, less allowance for credit losses ($931 and $3,267, respectively)</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55,618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41,827</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Merchandise inventories, net</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675,111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538,675</w:t>
            </w:r>
          </w:p>
        </w:tc>
        <w:tc>
          <w:tcPr>
            <w:tcW w:w="120" w:type="dxa"/>
            <w:vAlign w:val="bottom"/>
            <w:shd w:val="clear" w:color="auto" w:fill="CFF0FC"/>
          </w:tcPr>
          <w:p>
            <w:pPr>
              <w:spacing w:after="0"/>
              <w:rPr>
                <w:sz w:val="14"/>
                <w:szCs w:val="14"/>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42,355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40,032</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14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86,091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45,613</w:t>
            </w:r>
          </w:p>
        </w:tc>
        <w:tc>
          <w:tcPr>
            <w:tcW w:w="120" w:type="dxa"/>
            <w:vAlign w:val="bottom"/>
            <w:shd w:val="clear" w:color="auto" w:fill="CFF0FC"/>
          </w:tcPr>
          <w:p>
            <w:pPr>
              <w:spacing w:after="0"/>
              <w:rPr>
                <w:sz w:val="14"/>
                <w:szCs w:val="14"/>
                <w:color w:val="auto"/>
              </w:rPr>
            </w:pPr>
          </w:p>
        </w:tc>
      </w:tr>
      <w:tr>
        <w:trPr>
          <w:trHeight w:val="155"/>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1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1,070,777</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777,549</w:t>
            </w:r>
          </w:p>
        </w:tc>
        <w:tc>
          <w:tcPr>
            <w:tcW w:w="120" w:type="dxa"/>
            <w:vAlign w:val="bottom"/>
            <w:tcBorders>
              <w:bottom w:val="single" w:sz="8" w:color="CFF0FC"/>
            </w:tcBorders>
          </w:tcPr>
          <w:p>
            <w:pPr>
              <w:spacing w:after="0"/>
              <w:rPr>
                <w:sz w:val="13"/>
                <w:szCs w:val="13"/>
                <w:color w:val="auto"/>
              </w:rPr>
            </w:pPr>
          </w:p>
        </w:tc>
      </w:tr>
      <w:tr>
        <w:trPr>
          <w:trHeight w:val="156"/>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Fixed assets, net</w:t>
            </w: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726,922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627,547</w:t>
            </w:r>
          </w:p>
        </w:tc>
        <w:tc>
          <w:tcPr>
            <w:tcW w:w="120" w:type="dxa"/>
            <w:vAlign w:val="bottom"/>
            <w:shd w:val="clear" w:color="auto" w:fill="CFF0FC"/>
          </w:tcPr>
          <w:p>
            <w:pPr>
              <w:spacing w:after="0"/>
              <w:rPr>
                <w:sz w:val="13"/>
                <w:szCs w:val="13"/>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1,338,465</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1,328,108</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Goodwill</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2,183,991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120" w:type="dxa"/>
            <w:vAlign w:val="bottom"/>
            <w:shd w:val="clear" w:color="auto" w:fill="CFF0FC"/>
          </w:tcPr>
          <w:p>
            <w:pPr>
              <w:spacing w:after="0"/>
              <w:rPr>
                <w:sz w:val="14"/>
                <w:szCs w:val="14"/>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Trade name</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1,025,000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assets</w:t>
            </w:r>
          </w:p>
        </w:tc>
        <w:tc>
          <w:tcPr>
            <w:tcW w:w="14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152,786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138,188</w:t>
            </w:r>
          </w:p>
        </w:tc>
        <w:tc>
          <w:tcPr>
            <w:tcW w:w="120" w:type="dxa"/>
            <w:vAlign w:val="bottom"/>
            <w:shd w:val="clear" w:color="auto" w:fill="CFF0FC"/>
          </w:tcPr>
          <w:p>
            <w:pPr>
              <w:spacing w:after="0"/>
              <w:rPr>
                <w:sz w:val="14"/>
                <w:szCs w:val="14"/>
                <w:color w:val="auto"/>
              </w:rPr>
            </w:pPr>
          </w:p>
        </w:tc>
      </w:tr>
      <w:tr>
        <w:trPr>
          <w:trHeight w:val="196"/>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assets</w:t>
            </w:r>
          </w:p>
        </w:tc>
        <w:tc>
          <w:tcPr>
            <w:tcW w:w="14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6,497,941</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6,075,702</w:t>
            </w:r>
          </w:p>
        </w:tc>
        <w:tc>
          <w:tcPr>
            <w:tcW w:w="120" w:type="dxa"/>
            <w:vAlign w:val="bottom"/>
            <w:tcBorders>
              <w:bottom w:val="single" w:sz="8" w:color="CFF0FC"/>
            </w:tcBorders>
          </w:tcPr>
          <w:p>
            <w:pPr>
              <w:spacing w:after="0"/>
              <w:rPr>
                <w:sz w:val="17"/>
                <w:szCs w:val="17"/>
                <w:color w:val="auto"/>
              </w:rPr>
            </w:pPr>
          </w:p>
        </w:tc>
      </w:tr>
      <w:tr>
        <w:trPr>
          <w:trHeight w:val="143"/>
        </w:trPr>
        <w:tc>
          <w:tcPr>
            <w:tcW w:w="63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LIABILITIES AND EQUITY</w:t>
            </w:r>
          </w:p>
        </w:tc>
        <w:tc>
          <w:tcPr>
            <w:tcW w:w="1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Current liabilities: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book overdrafts</w:t>
            </w:r>
          </w:p>
        </w:tc>
        <w:tc>
          <w:tcPr>
            <w:tcW w:w="1660" w:type="dxa"/>
            <w:vAlign w:val="bottom"/>
            <w:gridSpan w:val="2"/>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403,976</w:t>
            </w:r>
          </w:p>
        </w:tc>
        <w:tc>
          <w:tcPr>
            <w:tcW w:w="3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74"/>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339,485</w:t>
            </w:r>
          </w:p>
        </w:tc>
        <w:tc>
          <w:tcPr>
            <w:tcW w:w="120" w:type="dxa"/>
            <w:vAlign w:val="bottom"/>
            <w:shd w:val="clear" w:color="auto" w:fill="CFF0FC"/>
          </w:tcPr>
          <w:p>
            <w:pPr>
              <w:spacing w:after="0"/>
              <w:rPr>
                <w:sz w:val="14"/>
                <w:szCs w:val="14"/>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Accrued salaries and employee benefits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150,630</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129,484</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210,872</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145,846</w:t>
            </w:r>
          </w:p>
        </w:tc>
        <w:tc>
          <w:tcPr>
            <w:tcW w:w="120" w:type="dxa"/>
            <w:vAlign w:val="bottom"/>
            <w:shd w:val="clear" w:color="auto" w:fill="CFF0FC"/>
          </w:tcPr>
          <w:p>
            <w:pPr>
              <w:spacing w:after="0"/>
              <w:rPr>
                <w:sz w:val="14"/>
                <w:szCs w:val="14"/>
                <w:color w:val="auto"/>
              </w:rPr>
            </w:pP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265,897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258,289</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long-term debt and other lease liabilities</w:t>
            </w:r>
          </w:p>
        </w:tc>
        <w:tc>
          <w:tcPr>
            <w:tcW w:w="14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21,764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2,203</w:t>
            </w:r>
          </w:p>
        </w:tc>
        <w:tc>
          <w:tcPr>
            <w:tcW w:w="120" w:type="dxa"/>
            <w:vAlign w:val="bottom"/>
            <w:shd w:val="clear" w:color="auto" w:fill="CFF0FC"/>
          </w:tcPr>
          <w:p>
            <w:pPr>
              <w:spacing w:after="0"/>
              <w:rPr>
                <w:sz w:val="14"/>
                <w:szCs w:val="14"/>
                <w:color w:val="auto"/>
              </w:rPr>
            </w:pPr>
          </w:p>
        </w:tc>
      </w:tr>
      <w:tr>
        <w:trPr>
          <w:trHeight w:val="156"/>
        </w:trPr>
        <w:tc>
          <w:tcPr>
            <w:tcW w:w="6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1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1,053,139</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875,307</w:t>
            </w:r>
          </w:p>
        </w:tc>
        <w:tc>
          <w:tcPr>
            <w:tcW w:w="120" w:type="dxa"/>
            <w:vAlign w:val="bottom"/>
            <w:tcBorders>
              <w:bottom w:val="single" w:sz="8" w:color="CFF0FC"/>
            </w:tcBorders>
          </w:tcPr>
          <w:p>
            <w:pPr>
              <w:spacing w:after="0"/>
              <w:rPr>
                <w:sz w:val="13"/>
                <w:szCs w:val="13"/>
                <w:color w:val="auto"/>
              </w:rPr>
            </w:pPr>
          </w:p>
        </w:tc>
      </w:tr>
      <w:tr>
        <w:trPr>
          <w:trHeight w:val="155"/>
        </w:trPr>
        <w:tc>
          <w:tcPr>
            <w:tcW w:w="6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Senior secured credit facilities, net, excluding current portion</w:t>
            </w:r>
          </w:p>
        </w:tc>
        <w:tc>
          <w:tcPr>
            <w:tcW w:w="14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1,640,390</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1,646,281</w:t>
            </w:r>
          </w:p>
        </w:tc>
        <w:tc>
          <w:tcPr>
            <w:tcW w:w="120" w:type="dxa"/>
            <w:vAlign w:val="bottom"/>
            <w:shd w:val="clear" w:color="auto" w:fill="CFF0FC"/>
          </w:tcPr>
          <w:p>
            <w:pPr>
              <w:spacing w:after="0"/>
              <w:rPr>
                <w:sz w:val="13"/>
                <w:szCs w:val="13"/>
                <w:color w:val="auto"/>
              </w:rPr>
            </w:pPr>
          </w:p>
        </w:tc>
      </w:tr>
      <w:tr>
        <w:trPr>
          <w:trHeight w:val="162"/>
        </w:trPr>
        <w:tc>
          <w:tcPr>
            <w:tcW w:w="6320" w:type="dxa"/>
            <w:vAlign w:val="bottom"/>
          </w:tcPr>
          <w:p>
            <w:pPr>
              <w:spacing w:after="0"/>
              <w:rPr>
                <w:sz w:val="20"/>
                <w:szCs w:val="20"/>
                <w:color w:val="auto"/>
              </w:rPr>
            </w:pPr>
            <w:r>
              <w:rPr>
                <w:rFonts w:ascii="Arial" w:cs="Arial" w:eastAsia="Arial" w:hAnsi="Arial"/>
                <w:sz w:val="14"/>
                <w:szCs w:val="14"/>
                <w:color w:val="auto"/>
              </w:rPr>
              <w:t>Operating lease liabilities, excluding current portion</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1,096,133</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1,083,575</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Deferred taxes, net</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318,355</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280,920</w:t>
            </w:r>
          </w:p>
        </w:tc>
        <w:tc>
          <w:tcPr>
            <w:tcW w:w="120" w:type="dxa"/>
            <w:vAlign w:val="bottom"/>
            <w:shd w:val="clear" w:color="auto" w:fill="CFF0FC"/>
          </w:tcPr>
          <w:p>
            <w:pPr>
              <w:spacing w:after="0"/>
              <w:rPr>
                <w:sz w:val="14"/>
                <w:szCs w:val="14"/>
                <w:color w:val="auto"/>
              </w:rPr>
            </w:pPr>
          </w:p>
        </w:tc>
      </w:tr>
      <w:tr>
        <w:trPr>
          <w:trHeight w:val="162"/>
        </w:trPr>
        <w:tc>
          <w:tcPr>
            <w:tcW w:w="6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long-term liabilities</w:t>
            </w:r>
          </w:p>
        </w:tc>
        <w:tc>
          <w:tcPr>
            <w:tcW w:w="14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134,105</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134,354</w:t>
            </w:r>
          </w:p>
        </w:tc>
        <w:tc>
          <w:tcPr>
            <w:tcW w:w="120" w:type="dxa"/>
            <w:vAlign w:val="bottom"/>
            <w:tcBorders>
              <w:bottom w:val="single" w:sz="8" w:color="CFF0FC"/>
            </w:tcBorders>
          </w:tcPr>
          <w:p>
            <w:pPr>
              <w:spacing w:after="0"/>
              <w:rPr>
                <w:sz w:val="14"/>
                <w:szCs w:val="14"/>
                <w:color w:val="auto"/>
              </w:rPr>
            </w:pPr>
          </w:p>
        </w:tc>
      </w:tr>
      <w:tr>
        <w:trPr>
          <w:trHeight w:val="156"/>
        </w:trPr>
        <w:tc>
          <w:tcPr>
            <w:tcW w:w="6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14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4,242,122</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4,020,437</w:t>
            </w:r>
          </w:p>
        </w:tc>
        <w:tc>
          <w:tcPr>
            <w:tcW w:w="120" w:type="dxa"/>
            <w:vAlign w:val="bottom"/>
            <w:shd w:val="clear" w:color="auto" w:fill="CFF0FC"/>
          </w:tcPr>
          <w:p>
            <w:pPr>
              <w:spacing w:after="0"/>
              <w:rPr>
                <w:sz w:val="13"/>
                <w:szCs w:val="13"/>
                <w:color w:val="auto"/>
              </w:rPr>
            </w:pPr>
          </w:p>
        </w:tc>
      </w:tr>
      <w:tr>
        <w:trPr>
          <w:trHeight w:val="156"/>
        </w:trPr>
        <w:tc>
          <w:tcPr>
            <w:tcW w:w="6320" w:type="dxa"/>
            <w:vAlign w:val="bottom"/>
          </w:tcPr>
          <w:p>
            <w:pPr>
              <w:spacing w:after="0" w:line="155" w:lineRule="exact"/>
              <w:rPr>
                <w:sz w:val="20"/>
                <w:szCs w:val="20"/>
                <w:color w:val="auto"/>
              </w:rPr>
            </w:pPr>
            <w:r>
              <w:rPr>
                <w:rFonts w:ascii="Arial" w:cs="Arial" w:eastAsia="Arial" w:hAnsi="Arial"/>
                <w:sz w:val="14"/>
                <w:szCs w:val="14"/>
                <w:color w:val="auto"/>
              </w:rPr>
              <w:t>Commitments and contingencies (Notes 8, 9 and 16)</w:t>
            </w:r>
          </w:p>
        </w:tc>
        <w:tc>
          <w:tcPr>
            <w:tcW w:w="1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320" w:type="dxa"/>
            <w:vAlign w:val="bottom"/>
            <w:shd w:val="clear" w:color="auto" w:fill="CFF0FC"/>
          </w:tcPr>
          <w:p>
            <w:pPr>
              <w:spacing w:after="0"/>
              <w:rPr>
                <w:sz w:val="20"/>
                <w:szCs w:val="20"/>
                <w:color w:val="auto"/>
              </w:rPr>
            </w:pPr>
            <w:r>
              <w:rPr>
                <w:rFonts w:ascii="Arial" w:cs="Arial" w:eastAsia="Arial" w:hAnsi="Arial"/>
                <w:sz w:val="14"/>
                <w:szCs w:val="14"/>
                <w:color w:val="auto"/>
              </w:rPr>
              <w:t>Stockholders' equity:</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3"/>
        </w:trPr>
        <w:tc>
          <w:tcPr>
            <w:tcW w:w="6320" w:type="dxa"/>
            <w:vAlign w:val="bottom"/>
          </w:tcPr>
          <w:p>
            <w:pPr>
              <w:ind w:left="26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6320" w:type="dxa"/>
            <w:vAlign w:val="bottom"/>
          </w:tcPr>
          <w:p>
            <w:pPr>
              <w:ind w:left="400"/>
              <w:spacing w:after="0"/>
              <w:rPr>
                <w:sz w:val="20"/>
                <w:szCs w:val="20"/>
                <w:color w:val="auto"/>
              </w:rPr>
            </w:pPr>
            <w:r>
              <w:rPr>
                <w:rFonts w:ascii="Arial" w:cs="Arial" w:eastAsia="Arial" w:hAnsi="Arial"/>
                <w:sz w:val="14"/>
                <w:szCs w:val="14"/>
                <w:color w:val="auto"/>
              </w:rPr>
              <w:t>Issued and outstanding - 227.2 million and 226.4 million shares, respectively</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4"/>
                <w:szCs w:val="14"/>
                <w:color w:val="auto"/>
              </w:rPr>
            </w:pPr>
          </w:p>
        </w:tc>
      </w:tr>
      <w:tr>
        <w:trPr>
          <w:trHeight w:val="143"/>
        </w:trPr>
        <w:tc>
          <w:tcPr>
            <w:tcW w:w="63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1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63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FF0FC"/>
          </w:tcPr>
          <w:p>
            <w:pPr>
              <w:spacing w:after="0"/>
              <w:rPr>
                <w:sz w:val="14"/>
                <w:szCs w:val="14"/>
                <w:color w:val="auto"/>
              </w:rPr>
            </w:pPr>
          </w:p>
        </w:tc>
      </w:tr>
      <w:tr>
        <w:trPr>
          <w:trHeight w:val="143"/>
        </w:trPr>
        <w:tc>
          <w:tcPr>
            <w:tcW w:w="6320" w:type="dxa"/>
            <w:vAlign w:val="bottom"/>
          </w:tcPr>
          <w:p>
            <w:pPr>
              <w:ind w:left="26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1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6320" w:type="dxa"/>
            <w:vAlign w:val="bottom"/>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43"/>
        </w:trPr>
        <w:tc>
          <w:tcPr>
            <w:tcW w:w="63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14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63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Issued and outstanding - none</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Additional paid-in-capital</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2,133,821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2,092,110</w:t>
            </w:r>
          </w:p>
        </w:tc>
        <w:tc>
          <w:tcPr>
            <w:tcW w:w="120" w:type="dxa"/>
            <w:vAlign w:val="bottom"/>
          </w:tcPr>
          <w:p>
            <w:pPr>
              <w:spacing w:after="0"/>
              <w:rPr>
                <w:sz w:val="14"/>
                <w:szCs w:val="14"/>
                <w:color w:val="auto"/>
              </w:rPr>
            </w:pPr>
          </w:p>
        </w:tc>
      </w:tr>
      <w:tr>
        <w:trPr>
          <w:trHeight w:val="162"/>
        </w:trPr>
        <w:tc>
          <w:tcPr>
            <w:tcW w:w="6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Retained earnings (accumulated deficit)</w:t>
            </w: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(22,251)</w:t>
            </w:r>
          </w:p>
        </w:tc>
      </w:tr>
      <w:tr>
        <w:trPr>
          <w:trHeight w:val="162"/>
        </w:trPr>
        <w:tc>
          <w:tcPr>
            <w:tcW w:w="632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(2,238)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(1,275)</w:t>
            </w:r>
          </w:p>
        </w:tc>
      </w:tr>
      <w:tr>
        <w:trPr>
          <w:trHeight w:val="155"/>
        </w:trPr>
        <w:tc>
          <w:tcPr>
            <w:tcW w:w="63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stockholders’ equity</w:t>
            </w:r>
          </w:p>
        </w:tc>
        <w:tc>
          <w:tcPr>
            <w:tcW w:w="14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2,274,014</w:t>
            </w:r>
          </w:p>
        </w:tc>
        <w:tc>
          <w:tcPr>
            <w:tcW w:w="3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2,068,848</w:t>
            </w:r>
          </w:p>
        </w:tc>
        <w:tc>
          <w:tcPr>
            <w:tcW w:w="120" w:type="dxa"/>
            <w:vAlign w:val="bottom"/>
            <w:tcBorders>
              <w:top w:val="single" w:sz="8" w:color="CFF0FC"/>
            </w:tcBorders>
            <w:shd w:val="clear" w:color="auto" w:fill="CFF0FC"/>
          </w:tcPr>
          <w:p>
            <w:pPr>
              <w:spacing w:after="0"/>
              <w:rPr>
                <w:sz w:val="13"/>
                <w:szCs w:val="13"/>
                <w:color w:val="auto"/>
              </w:rPr>
            </w:pPr>
          </w:p>
        </w:tc>
      </w:tr>
      <w:tr>
        <w:trPr>
          <w:trHeight w:val="155"/>
        </w:trPr>
        <w:tc>
          <w:tcPr>
            <w:tcW w:w="63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Noncontrolling interest</w:t>
            </w:r>
          </w:p>
        </w:tc>
        <w:tc>
          <w:tcPr>
            <w:tcW w:w="14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(18,195)</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(13,583)</w:t>
            </w:r>
          </w:p>
        </w:tc>
        <w:tc>
          <w:tcPr>
            <w:tcW w:w="120" w:type="dxa"/>
            <w:vAlign w:val="bottom"/>
            <w:tcBorders>
              <w:bottom w:val="single" w:sz="8" w:color="CFF0FC"/>
            </w:tcBorders>
          </w:tcPr>
          <w:p>
            <w:pPr>
              <w:spacing w:after="0"/>
              <w:rPr>
                <w:sz w:val="13"/>
                <w:szCs w:val="13"/>
                <w:color w:val="auto"/>
              </w:rPr>
            </w:pPr>
          </w:p>
        </w:tc>
      </w:tr>
      <w:tr>
        <w:trPr>
          <w:trHeight w:val="155"/>
        </w:trPr>
        <w:tc>
          <w:tcPr>
            <w:tcW w:w="6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equity</w:t>
            </w:r>
          </w:p>
        </w:tc>
        <w:tc>
          <w:tcPr>
            <w:tcW w:w="14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2,255,819</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2,055,265</w:t>
            </w:r>
          </w:p>
        </w:tc>
        <w:tc>
          <w:tcPr>
            <w:tcW w:w="120" w:type="dxa"/>
            <w:vAlign w:val="bottom"/>
            <w:shd w:val="clear" w:color="auto" w:fill="CFF0FC"/>
          </w:tcPr>
          <w:p>
            <w:pPr>
              <w:spacing w:after="0"/>
              <w:rPr>
                <w:sz w:val="13"/>
                <w:szCs w:val="13"/>
                <w:color w:val="auto"/>
              </w:rPr>
            </w:pPr>
          </w:p>
        </w:tc>
      </w:tr>
      <w:tr>
        <w:trPr>
          <w:trHeight w:val="156"/>
        </w:trPr>
        <w:tc>
          <w:tcPr>
            <w:tcW w:w="6320" w:type="dxa"/>
            <w:vAlign w:val="bottom"/>
          </w:tcPr>
          <w:p>
            <w:pPr>
              <w:ind w:left="500"/>
              <w:spacing w:after="0" w:line="155" w:lineRule="exact"/>
              <w:rPr>
                <w:sz w:val="20"/>
                <w:szCs w:val="20"/>
                <w:color w:val="auto"/>
              </w:rPr>
            </w:pPr>
            <w:r>
              <w:rPr>
                <w:rFonts w:ascii="Arial" w:cs="Arial" w:eastAsia="Arial" w:hAnsi="Arial"/>
                <w:sz w:val="14"/>
                <w:szCs w:val="14"/>
                <w:color w:val="auto"/>
              </w:rPr>
              <w:t>Total liabilities and equity</w:t>
            </w:r>
          </w:p>
        </w:tc>
        <w:tc>
          <w:tcPr>
            <w:tcW w:w="1400" w:type="dxa"/>
            <w:vAlign w:val="bottom"/>
          </w:tcPr>
          <w:p>
            <w:pPr>
              <w:spacing w:after="0"/>
              <w:rPr>
                <w:sz w:val="13"/>
                <w:szCs w:val="13"/>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6,497,941</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13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6,075,702</w:t>
            </w:r>
          </w:p>
        </w:tc>
        <w:tc>
          <w:tcPr>
            <w:tcW w:w="120" w:type="dxa"/>
            <w:vAlign w:val="bottom"/>
          </w:tcPr>
          <w:p>
            <w:pPr>
              <w:spacing w:after="0"/>
              <w:rPr>
                <w:sz w:val="13"/>
                <w:szCs w:val="13"/>
                <w:color w:val="auto"/>
              </w:rPr>
            </w:pPr>
          </w:p>
        </w:tc>
      </w:tr>
      <w:tr>
        <w:trPr>
          <w:trHeight w:val="20"/>
        </w:trPr>
        <w:tc>
          <w:tcPr>
            <w:tcW w:w="6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center"/>
              <w:ind w:right="132"/>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r>
      <w:tr>
        <w:trPr>
          <w:trHeight w:val="171"/>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55"/>
        </w:trPr>
        <w:tc>
          <w:tcPr>
            <w:tcW w:w="5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5,807,149</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4,434,514</w:t>
            </w:r>
          </w:p>
        </w:tc>
        <w:tc>
          <w:tcPr>
            <w:tcW w:w="100" w:type="dxa"/>
            <w:vAlign w:val="bottom"/>
            <w:shd w:val="clear" w:color="auto" w:fill="CFF0FC"/>
          </w:tcPr>
          <w:p>
            <w:pPr>
              <w:spacing w:after="0"/>
              <w:rPr>
                <w:sz w:val="19"/>
                <w:szCs w:val="19"/>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3,380,539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2,813,464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2,527,995</w:t>
            </w: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2,426,610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2,106,738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1,906,519</w:t>
            </w:r>
          </w:p>
        </w:tc>
        <w:tc>
          <w:tcPr>
            <w:tcW w:w="10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2,160,539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1,912,314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1,776,919</w:t>
            </w: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impairment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FF0FC"/>
          </w:tcPr>
          <w:p>
            <w:pPr>
              <w:spacing w:after="0"/>
              <w:rPr>
                <w:sz w:val="19"/>
                <w:szCs w:val="19"/>
                <w:color w:val="auto"/>
              </w:rPr>
            </w:pPr>
          </w:p>
        </w:tc>
      </w:tr>
      <w:tr>
        <w:trPr>
          <w:trHeight w:val="223"/>
        </w:trPr>
        <w:tc>
          <w:tcPr>
            <w:tcW w:w="570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194,424</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110,600</w:t>
            </w: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(335)</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219,083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253,018</w:t>
            </w: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and modification of debt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(34,497)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(loss) before income taxes and income from</w:t>
            </w:r>
          </w:p>
        </w:tc>
        <w:tc>
          <w:tcPr>
            <w:tcW w:w="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7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equity method investees</w:t>
            </w: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202,395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(41,555)</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(142,083)</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53,473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(3,337)</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(35,658)</w:t>
            </w:r>
          </w:p>
        </w:tc>
      </w:tr>
      <w:tr>
        <w:trPr>
          <w:trHeight w:val="22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Income from equity method investees</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(10,883)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(6,482)</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(2,441)</w:t>
            </w:r>
          </w:p>
        </w:tc>
      </w:tr>
      <w:tr>
        <w:trPr>
          <w:trHeight w:val="223"/>
        </w:trPr>
        <w:tc>
          <w:tcPr>
            <w:tcW w:w="5700" w:type="dxa"/>
            <w:vAlign w:val="bottom"/>
          </w:tcPr>
          <w:p>
            <w:pPr>
              <w:ind w:left="500"/>
              <w:spacing w:after="0"/>
              <w:rPr>
                <w:sz w:val="20"/>
                <w:szCs w:val="20"/>
                <w:color w:val="auto"/>
              </w:rPr>
            </w:pPr>
            <w:r>
              <w:rPr>
                <w:rFonts w:ascii="Arial" w:cs="Arial" w:eastAsia="Arial" w:hAnsi="Arial"/>
                <w:sz w:val="18"/>
                <w:szCs w:val="18"/>
                <w:color w:val="auto"/>
              </w:rPr>
              <w:t>Net income (loss)</w:t>
            </w:r>
          </w:p>
        </w:tc>
        <w:tc>
          <w:tcPr>
            <w:tcW w:w="9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(31,736)</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(103,984)</w:t>
            </w:r>
          </w:p>
        </w:tc>
        <w:tc>
          <w:tcPr>
            <w:tcW w:w="100" w:type="dxa"/>
            <w:vAlign w:val="bottom"/>
          </w:tcPr>
          <w:p>
            <w:pPr>
              <w:spacing w:after="0"/>
              <w:rPr>
                <w:sz w:val="19"/>
                <w:szCs w:val="19"/>
                <w:color w:val="auto"/>
              </w:rPr>
            </w:pPr>
          </w:p>
        </w:tc>
      </w:tr>
      <w:tr>
        <w:trPr>
          <w:trHeight w:val="229"/>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(4,612)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(5,253)</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(8,111)</w:t>
            </w:r>
          </w:p>
        </w:tc>
      </w:tr>
      <w:tr>
        <w:trPr>
          <w:trHeight w:val="209"/>
        </w:trPr>
        <w:tc>
          <w:tcPr>
            <w:tcW w:w="5700" w:type="dxa"/>
            <w:vAlign w:val="bottom"/>
          </w:tcPr>
          <w:p>
            <w:pPr>
              <w:ind w:left="500"/>
              <w:spacing w:after="0"/>
              <w:rPr>
                <w:sz w:val="20"/>
                <w:szCs w:val="20"/>
                <w:color w:val="auto"/>
              </w:rPr>
            </w:pPr>
            <w:r>
              <w:rPr>
                <w:rFonts w:ascii="Arial" w:cs="Arial" w:eastAsia="Arial" w:hAnsi="Arial"/>
                <w:sz w:val="18"/>
                <w:szCs w:val="18"/>
                <w:color w:val="auto"/>
              </w:rPr>
              <w:t>Net income (loss) attributable to Class A and B-1 common</w:t>
            </w:r>
          </w:p>
        </w:tc>
        <w:tc>
          <w:tcPr>
            <w:tcW w:w="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00" w:type="dxa"/>
            <w:vAlign w:val="bottom"/>
          </w:tcPr>
          <w:p>
            <w:pPr>
              <w:ind w:left="640"/>
              <w:spacing w:after="0"/>
              <w:rPr>
                <w:sz w:val="20"/>
                <w:szCs w:val="20"/>
                <w:color w:val="auto"/>
              </w:rPr>
            </w:pPr>
            <w:r>
              <w:rPr>
                <w:rFonts w:ascii="Arial" w:cs="Arial" w:eastAsia="Arial" w:hAnsi="Arial"/>
                <w:sz w:val="18"/>
                <w:szCs w:val="18"/>
                <w:color w:val="auto"/>
              </w:rPr>
              <w:t>stockholders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164,417</w:t>
            </w:r>
          </w:p>
        </w:tc>
        <w:tc>
          <w:tcPr>
            <w:tcW w:w="1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(26,483)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(95,873)</w:t>
            </w:r>
          </w:p>
        </w:tc>
      </w:tr>
      <w:tr>
        <w:trPr>
          <w:trHeight w:val="229"/>
        </w:trPr>
        <w:tc>
          <w:tcPr>
            <w:tcW w:w="5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Net income (loss) per Class A and B-1 common share (1):</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(0.13)</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(0.46)</w:t>
            </w:r>
          </w:p>
        </w:tc>
      </w:tr>
      <w:tr>
        <w:trPr>
          <w:trHeight w:val="229"/>
        </w:trPr>
        <w:tc>
          <w:tcPr>
            <w:tcW w:w="5700" w:type="dxa"/>
            <w:vAlign w:val="bottom"/>
          </w:tcPr>
          <w:p>
            <w:pPr>
              <w:ind w:left="500"/>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0.62</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r>
      <w:tr>
        <w:trPr>
          <w:trHeight w:val="230"/>
        </w:trPr>
        <w:tc>
          <w:tcPr>
            <w:tcW w:w="5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700" w:type="dxa"/>
            <w:vAlign w:val="bottom"/>
          </w:tcPr>
          <w:p>
            <w:pPr>
              <w:spacing w:after="0"/>
              <w:rPr>
                <w:sz w:val="20"/>
                <w:szCs w:val="20"/>
                <w:color w:val="auto"/>
              </w:rPr>
            </w:pPr>
            <w:r>
              <w:rPr>
                <w:rFonts w:ascii="Arial" w:cs="Arial" w:eastAsia="Arial" w:hAnsi="Arial"/>
                <w:sz w:val="18"/>
                <w:szCs w:val="18"/>
                <w:color w:val="auto"/>
              </w:rPr>
              <w:t>Weighted average shares used in computing net income (loss)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00" w:type="dxa"/>
            <w:vAlign w:val="bottom"/>
          </w:tcPr>
          <w:p>
            <w:pPr>
              <w:ind w:left="180"/>
              <w:spacing w:after="0"/>
              <w:rPr>
                <w:sz w:val="20"/>
                <w:szCs w:val="20"/>
                <w:color w:val="auto"/>
              </w:rPr>
            </w:pPr>
            <w:r>
              <w:rPr>
                <w:rFonts w:ascii="Arial" w:cs="Arial" w:eastAsia="Arial" w:hAnsi="Arial"/>
                <w:sz w:val="18"/>
                <w:szCs w:val="18"/>
                <w:color w:val="auto"/>
              </w:rPr>
              <w:t>per Class A and B-1 common share (1):</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264,261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208,933</w:t>
            </w:r>
          </w:p>
        </w:tc>
        <w:tc>
          <w:tcPr>
            <w:tcW w:w="100" w:type="dxa"/>
            <w:vAlign w:val="bottom"/>
            <w:shd w:val="clear" w:color="auto" w:fill="CFF0FC"/>
          </w:tcPr>
          <w:p>
            <w:pPr>
              <w:spacing w:after="0"/>
              <w:rPr>
                <w:sz w:val="19"/>
                <w:szCs w:val="19"/>
                <w:color w:val="auto"/>
              </w:rPr>
            </w:pPr>
          </w:p>
        </w:tc>
      </w:tr>
      <w:tr>
        <w:trPr>
          <w:trHeight w:val="243"/>
        </w:trPr>
        <w:tc>
          <w:tcPr>
            <w:tcW w:w="5700" w:type="dxa"/>
            <w:vAlign w:val="bottom"/>
          </w:tcPr>
          <w:p>
            <w:pPr>
              <w:ind w:left="500"/>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265,338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210,683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208,933</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72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0" w:lineRule="exact"/>
        <w:rPr>
          <w:sz w:val="20"/>
          <w:szCs w:val="20"/>
          <w:color w:val="auto"/>
        </w:rPr>
      </w:pPr>
    </w:p>
    <w:p>
      <w:pPr>
        <w:ind w:left="580" w:right="100" w:hanging="572"/>
        <w:spacing w:after="0" w:line="253" w:lineRule="auto"/>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for periods prior to the Company’s conversion to a Delaware corporation have been retrospectively adjusted to give effect to the organizational transactions described in Note 1. See Note 13 for further discussion.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r>
      <w:tr>
        <w:trPr>
          <w:trHeight w:val="171"/>
        </w:trPr>
        <w:tc>
          <w:tcPr>
            <w:tcW w:w="5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55"/>
        </w:trPr>
        <w:tc>
          <w:tcPr>
            <w:tcW w:w="5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5"/>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4"/>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(31,736)</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(103,984)</w:t>
            </w: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(5,253)</w:t>
            </w:r>
          </w:p>
        </w:tc>
        <w:tc>
          <w:tcPr>
            <w:tcW w:w="2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(8,111)</w:t>
            </w:r>
          </w:p>
        </w:tc>
      </w:tr>
      <w:tr>
        <w:trPr>
          <w:trHeight w:val="209"/>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Class A and B-1 common</w:t>
            </w:r>
          </w:p>
        </w:tc>
        <w:tc>
          <w:tcPr>
            <w:tcW w:w="1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w:t>
            </w: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164,417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(26,483)</w:t>
            </w:r>
          </w:p>
        </w:tc>
        <w:tc>
          <w:tcPr>
            <w:tcW w:w="2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(95,873)</w:t>
            </w:r>
          </w:p>
        </w:tc>
      </w:tr>
      <w:tr>
        <w:trPr>
          <w:trHeight w:val="229"/>
        </w:trPr>
        <w:tc>
          <w:tcPr>
            <w:tcW w:w="5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(9,088)</w:t>
            </w: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Losses on derivatives reclassified to income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19"/>
                <w:szCs w:val="19"/>
                <w:color w:val="auto"/>
              </w:rPr>
            </w:pP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 net of tax</w:t>
            </w:r>
          </w:p>
        </w:tc>
        <w:tc>
          <w:tcPr>
            <w:tcW w:w="1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(24,738)</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(110,062)</w:t>
            </w:r>
          </w:p>
        </w:tc>
      </w:tr>
      <w:tr>
        <w:trPr>
          <w:trHeight w:val="215"/>
        </w:trPr>
        <w:tc>
          <w:tcPr>
            <w:tcW w:w="5540" w:type="dxa"/>
            <w:vAlign w:val="bottom"/>
          </w:tcPr>
          <w:p>
            <w:pPr>
              <w:ind w:left="260"/>
              <w:spacing w:after="0"/>
              <w:rPr>
                <w:sz w:val="20"/>
                <w:szCs w:val="20"/>
                <w:color w:val="auto"/>
              </w:rPr>
            </w:pPr>
            <w:r>
              <w:rPr>
                <w:rFonts w:ascii="Arial" w:cs="Arial" w:eastAsia="Arial" w:hAnsi="Arial"/>
                <w:sz w:val="18"/>
                <w:szCs w:val="18"/>
                <w:color w:val="auto"/>
              </w:rPr>
              <w:t>Comprehensive loss attributable to noncontrolling</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5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(4,612)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(5,253)</w:t>
            </w:r>
          </w:p>
        </w:tc>
        <w:tc>
          <w:tcPr>
            <w:tcW w:w="2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(8,111)</w:t>
            </w:r>
          </w:p>
        </w:tc>
      </w:tr>
      <w:tr>
        <w:trPr>
          <w:trHeight w:val="209"/>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Class A and B-1</w:t>
            </w:r>
          </w:p>
        </w:tc>
        <w:tc>
          <w:tcPr>
            <w:tcW w:w="1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163,454</w:t>
            </w:r>
          </w:p>
        </w:tc>
        <w:tc>
          <w:tcPr>
            <w:tcW w:w="16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(19,485)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(101,951)</w:t>
            </w:r>
          </w:p>
        </w:tc>
      </w:tr>
      <w:tr>
        <w:trPr>
          <w:trHeight w:val="20"/>
        </w:trPr>
        <w:tc>
          <w:tcPr>
            <w:tcW w:w="55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7" w:name="page68"/>
    <w:bookmarkEnd w:id="67"/>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9"/>
                <w:szCs w:val="9"/>
                <w:color w:val="auto"/>
              </w:rPr>
            </w:pPr>
          </w:p>
        </w:tc>
        <w:tc>
          <w:tcPr>
            <w:tcW w:w="800" w:type="dxa"/>
            <w:vAlign w:val="bottom"/>
            <w:gridSpan w:val="3"/>
          </w:tcPr>
          <w:p>
            <w:pPr>
              <w:jc w:val="center"/>
              <w:ind w:right="140"/>
              <w:spacing w:after="0" w:line="115" w:lineRule="exact"/>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00"/>
              <w:spacing w:after="0" w:line="115" w:lineRule="exact"/>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1"/>
              </w:rPr>
              <w:t>Class</w:t>
            </w:r>
          </w:p>
        </w:tc>
        <w:tc>
          <w:tcPr>
            <w:tcW w:w="6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Class</w:t>
            </w:r>
          </w:p>
        </w:tc>
        <w:tc>
          <w:tcPr>
            <w:tcW w:w="6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Class</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deficit)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4"/>
              </w:rPr>
              <w:t>other</w:t>
            </w:r>
          </w:p>
        </w:tc>
        <w:tc>
          <w:tcPr>
            <w:tcW w:w="94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stockholders’/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w w:val="89"/>
              </w:rPr>
              <w:t>Members’</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A</w:t>
            </w:r>
          </w:p>
        </w:tc>
        <w:tc>
          <w:tcPr>
            <w:tcW w:w="6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B-1</w:t>
            </w:r>
          </w:p>
        </w:tc>
        <w:tc>
          <w:tcPr>
            <w:tcW w:w="6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B-2</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4"/>
              </w:rPr>
              <w:t>paid-in</w:t>
            </w:r>
          </w:p>
        </w:tc>
        <w:tc>
          <w:tcPr>
            <w:tcW w:w="100" w:type="dxa"/>
            <w:vAlign w:val="bottom"/>
          </w:tcPr>
          <w:p>
            <w:pPr>
              <w:spacing w:after="0"/>
              <w:rPr>
                <w:sz w:val="10"/>
                <w:szCs w:val="10"/>
                <w:color w:val="auto"/>
              </w:rPr>
            </w:pPr>
          </w:p>
        </w:tc>
        <w:tc>
          <w:tcPr>
            <w:tcW w:w="6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retained</w:t>
            </w:r>
          </w:p>
        </w:tc>
        <w:tc>
          <w:tcPr>
            <w:tcW w:w="900" w:type="dxa"/>
            <w:vAlign w:val="bottom"/>
            <w:gridSpan w:val="4"/>
          </w:tcPr>
          <w:p>
            <w:pPr>
              <w:ind w:left="100"/>
              <w:spacing w:after="0" w:line="122" w:lineRule="exact"/>
              <w:rPr>
                <w:sz w:val="20"/>
                <w:szCs w:val="20"/>
                <w:color w:val="auto"/>
              </w:rPr>
            </w:pPr>
            <w:r>
              <w:rPr>
                <w:rFonts w:ascii="Arial" w:cs="Arial" w:eastAsia="Arial" w:hAnsi="Arial"/>
                <w:sz w:val="11"/>
                <w:szCs w:val="11"/>
                <w:b w:val="1"/>
                <w:bCs w:val="1"/>
                <w:color w:val="auto"/>
                <w:w w:val="96"/>
              </w:rPr>
              <w:t>comprehensive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5"/>
              </w:rPr>
              <w:t>members'</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85"/>
              </w:rPr>
              <w:t>interest (1)</w:t>
            </w:r>
          </w:p>
        </w:tc>
        <w:tc>
          <w:tcPr>
            <w:tcW w:w="20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(shares)</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1"/>
              </w:rPr>
              <w:t>Amount</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1"/>
              </w:rPr>
              <w:t>capital</w:t>
            </w:r>
          </w:p>
        </w:tc>
        <w:tc>
          <w:tcPr>
            <w:tcW w:w="200" w:type="dxa"/>
            <w:vAlign w:val="bottom"/>
            <w:tcBorders>
              <w:bottom w:val="single" w:sz="8" w:color="CFF0FC"/>
            </w:tcBorders>
          </w:tcPr>
          <w:p>
            <w:pPr>
              <w:spacing w:after="0"/>
              <w:rPr>
                <w:sz w:val="11"/>
                <w:szCs w:val="1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earnings (1)</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81"/>
              </w:rPr>
              <w:t>loss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86"/>
              </w:rPr>
              <w:t>equity</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interest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February 2, 2019</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1,347,622</w:t>
            </w: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(707,518)</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(2,195)</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637,909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637,909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Consolidation of joint venture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60" w:type="dxa"/>
            <w:vAlign w:val="bottom"/>
            <w:gridSpan w:val="2"/>
          </w:tcPr>
          <w:p>
            <w:pPr>
              <w:jc w:val="right"/>
              <w:ind w:right="12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140"/>
              <w:spacing w:after="0" w:line="116"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2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(462)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Equity-based compensation expense</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13)</w:t>
            </w: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9,489</w:t>
            </w: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9,489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Partial settlement of member note</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1,019</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1,019</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(95,873)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(95,873)</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(8,111)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(103,984)</w:t>
            </w: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Contributions from noncontrolling</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interest</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 of $335</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net of tax of $(3,184)</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(9,088)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(9,088)</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(9,088)</w:t>
            </w:r>
          </w:p>
        </w:tc>
        <w:tc>
          <w:tcPr>
            <w:tcW w:w="0" w:type="dxa"/>
            <w:vAlign w:val="bottom"/>
          </w:tcPr>
          <w:p>
            <w:pPr>
              <w:spacing w:after="0"/>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 of $721</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2,058</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Cumulative effect adjustments</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22,925</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22,925</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22,925</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February 1, 2020</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1,358,130</w:t>
            </w:r>
          </w:p>
        </w:tc>
        <w:tc>
          <w:tcPr>
            <w:tcW w:w="2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(780,466)</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(8,273)</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569,391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(8,330)</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561,061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Equity-based compensation expense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(Note 13)</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9,757</w:t>
            </w:r>
          </w:p>
        </w:tc>
        <w:tc>
          <w:tcPr>
            <w:tcW w:w="20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3,158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12,915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Repurchase of equity</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(104)</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(104)</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(26,483)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(26,483)</w:t>
            </w: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(5,253)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(31,736)</w:t>
            </w:r>
          </w:p>
        </w:tc>
        <w:tc>
          <w:tcPr>
            <w:tcW w:w="0" w:type="dxa"/>
            <w:vAlign w:val="bottom"/>
          </w:tcPr>
          <w:p>
            <w:pPr>
              <w:spacing w:after="0"/>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 of $(318)</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(905)</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(905)</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(905)</w:t>
            </w: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net of tax of $(30)</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(86)</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Losses on derivatives reclassified to</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 of $2,804</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Contributions of Senior Notes</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(Note 9)</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573,934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573,934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573,934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Conversion to Delaware corporation</w:t>
            </w: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1)</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(1,367,783)</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171,224</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582,876</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784,698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Issuance of common stock in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ind w:left="80"/>
              <w:spacing w:after="0" w:line="122" w:lineRule="exact"/>
              <w:rPr>
                <w:sz w:val="20"/>
                <w:szCs w:val="20"/>
                <w:color w:val="auto"/>
              </w:rPr>
            </w:pPr>
            <w:r>
              <w:rPr>
                <w:rFonts w:ascii="Arial" w:cs="Arial" w:eastAsia="Arial" w:hAnsi="Arial"/>
                <w:sz w:val="11"/>
                <w:szCs w:val="11"/>
                <w:color w:val="auto"/>
              </w:rPr>
              <w:t>initial public offering, net of offering</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costs (Note 1)</w:t>
            </w: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55,200</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20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932,142</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932,197</w:t>
            </w:r>
          </w:p>
        </w:tc>
        <w:tc>
          <w:tcPr>
            <w:tcW w:w="2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932,197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58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January 30, 2021</w:t>
            </w: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226,424</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2,092,110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(22,251)</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(1,275)</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2,068,848</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(13,583)</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2,055,265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rPr>
              <w:t>Equity-based compensation expense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(Note 13)</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45,603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45,603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45,603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164,417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164,417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(4,612)</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159,805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adjustment, net of tax of $(337)</w:t>
            </w:r>
          </w:p>
        </w:tc>
        <w:tc>
          <w:tcPr>
            <w:tcW w:w="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(963)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(963)</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(963)</w:t>
            </w: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spacing w:after="0"/>
              <w:rPr>
                <w:sz w:val="20"/>
                <w:szCs w:val="20"/>
                <w:color w:val="auto"/>
              </w:rPr>
            </w:pPr>
            <w:r>
              <w:rPr>
                <w:rFonts w:ascii="Arial" w:cs="Arial" w:eastAsia="Arial" w:hAnsi="Arial"/>
                <w:sz w:val="11"/>
                <w:szCs w:val="11"/>
                <w:color w:val="auto"/>
              </w:rPr>
              <w:t>Issuance of restricted stock awards</w:t>
            </w:r>
          </w:p>
        </w:tc>
        <w:tc>
          <w:tcPr>
            <w:tcW w:w="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2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580" w:type="dxa"/>
            <w:vAlign w:val="bottom"/>
          </w:tcPr>
          <w:p>
            <w:pPr>
              <w:spacing w:after="0" w:line="125" w:lineRule="exact"/>
              <w:rPr>
                <w:sz w:val="20"/>
                <w:szCs w:val="20"/>
                <w:color w:val="auto"/>
              </w:rPr>
            </w:pPr>
            <w:r>
              <w:rPr>
                <w:rFonts w:ascii="Arial" w:cs="Arial" w:eastAsia="Arial" w:hAnsi="Arial"/>
                <w:sz w:val="11"/>
                <w:szCs w:val="11"/>
                <w:color w:val="auto"/>
              </w:rPr>
              <w:t>Issuance of common stock,</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rPr>
                <w:sz w:val="20"/>
                <w:szCs w:val="20"/>
                <w:color w:val="auto"/>
              </w:rPr>
            </w:pPr>
            <w:r>
              <w:rPr>
                <w:rFonts w:ascii="Arial" w:cs="Arial" w:eastAsia="Arial" w:hAnsi="Arial"/>
                <w:sz w:val="11"/>
                <w:szCs w:val="11"/>
                <w:color w:val="auto"/>
              </w:rPr>
              <w:t>including tax effects</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708</w:t>
            </w: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(3,892)</w:t>
            </w:r>
          </w:p>
        </w:tc>
        <w:tc>
          <w:tcPr>
            <w:tcW w:w="10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(3,891)</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(3,891)</w:t>
            </w: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Balance at January 29, 2022</w:t>
            </w: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580" w:type="dxa"/>
            <w:vAlign w:val="bottom"/>
            <w:vMerge w:val="continue"/>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227,187</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w:t>
            </w: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2,133,821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142,166</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(2,238)</w:t>
            </w: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2,274,014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(18,195)</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2,255,819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31"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Balances prior to the Company's conversion to a Delaware corporation were reclassified to additional paid-in capital to give effect to the organizational transactions described in Note 1.</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83"/>
              </w:rPr>
              <w:t>Fiscal years ended</w:t>
            </w: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5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80"/>
              <w:spacing w:after="0" w:line="134" w:lineRule="exact"/>
              <w:rPr>
                <w:sz w:val="20"/>
                <w:szCs w:val="20"/>
                <w:color w:val="auto"/>
              </w:rPr>
            </w:pPr>
            <w:r>
              <w:rPr>
                <w:rFonts w:ascii="Arial" w:cs="Arial" w:eastAsia="Arial" w:hAnsi="Arial"/>
                <w:sz w:val="12"/>
                <w:szCs w:val="12"/>
                <w:b w:val="1"/>
                <w:bCs w:val="1"/>
                <w:color w:val="auto"/>
                <w:w w:val="87"/>
              </w:rPr>
              <w:t>January 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0"/>
              </w:rPr>
              <w:t>January 30,</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4" w:lineRule="exact"/>
              <w:rPr>
                <w:sz w:val="20"/>
                <w:szCs w:val="20"/>
                <w:color w:val="auto"/>
              </w:rPr>
            </w:pPr>
            <w:r>
              <w:rPr>
                <w:rFonts w:ascii="Arial" w:cs="Arial" w:eastAsia="Arial" w:hAnsi="Arial"/>
                <w:sz w:val="12"/>
                <w:szCs w:val="12"/>
                <w:b w:val="1"/>
                <w:bCs w:val="1"/>
                <w:color w:val="auto"/>
                <w:w w:val="92"/>
              </w:rPr>
              <w:t>February 1,</w:t>
            </w:r>
          </w:p>
        </w:tc>
      </w:tr>
      <w:tr>
        <w:trPr>
          <w:trHeight w:val="143"/>
        </w:trPr>
        <w:tc>
          <w:tcPr>
            <w:tcW w:w="5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2"/>
                <w:szCs w:val="12"/>
                <w:b w:val="1"/>
                <w:bCs w:val="1"/>
                <w:color w:val="auto"/>
                <w:w w:val="82"/>
              </w:rPr>
              <w:t>2022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2"/>
                <w:szCs w:val="12"/>
                <w:b w:val="1"/>
                <w:bCs w:val="1"/>
                <w:color w:val="auto"/>
                <w:w w:val="89"/>
              </w:rPr>
              <w:t>2021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(52 weeks)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5"/>
              </w:rPr>
              <w:t>(52 weeks)</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5"/>
              </w:rPr>
              <w:t>(52 weeks)</w:t>
            </w:r>
          </w:p>
        </w:tc>
      </w:tr>
      <w:tr>
        <w:trPr>
          <w:trHeight w:val="149"/>
        </w:trPr>
        <w:tc>
          <w:tcPr>
            <w:tcW w:w="540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148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159,805</w:t>
            </w:r>
          </w:p>
        </w:tc>
        <w:tc>
          <w:tcPr>
            <w:tcW w:w="14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(31,736)</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(103,984)</w:t>
            </w:r>
          </w:p>
        </w:tc>
      </w:tr>
      <w:tr>
        <w:trPr>
          <w:trHeight w:val="134"/>
        </w:trPr>
        <w:tc>
          <w:tcPr>
            <w:tcW w:w="54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Adjustments to reconcile net income (loss) to net cash provided by operating</w:t>
            </w: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4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activities: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172,431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174,836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173,544</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discounts and issuance costs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5,796</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24,237</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23,455</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500"/>
              <w:spacing w:after="0"/>
              <w:rPr>
                <w:sz w:val="20"/>
                <w:szCs w:val="20"/>
                <w:color w:val="auto"/>
              </w:rPr>
            </w:pPr>
            <w:r>
              <w:rPr>
                <w:rFonts w:ascii="Arial" w:cs="Arial" w:eastAsia="Arial" w:hAnsi="Arial"/>
                <w:sz w:val="13"/>
                <w:szCs w:val="13"/>
                <w:color w:val="auto"/>
              </w:rPr>
              <w:t>Provision for deferred taxes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37,741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25,548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(45,087)</w:t>
            </w:r>
          </w:p>
        </w:tc>
      </w:tr>
      <w:tr>
        <w:trPr>
          <w:trHeight w:val="149"/>
        </w:trPr>
        <w:tc>
          <w:tcPr>
            <w:tcW w:w="5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Equity-based compensation</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49,265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12,915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9,489</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50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15,606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11,871</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and modification of debt</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400" w:type="dxa"/>
            <w:vAlign w:val="bottom"/>
          </w:tcPr>
          <w:p>
            <w:pPr>
              <w:ind w:left="500"/>
              <w:spacing w:after="0"/>
              <w:rPr>
                <w:sz w:val="20"/>
                <w:szCs w:val="20"/>
                <w:color w:val="auto"/>
              </w:rPr>
            </w:pPr>
            <w:r>
              <w:rPr>
                <w:rFonts w:ascii="Arial" w:cs="Arial" w:eastAsia="Arial" w:hAnsi="Arial"/>
                <w:sz w:val="13"/>
                <w:szCs w:val="13"/>
                <w:color w:val="auto"/>
              </w:rPr>
              <w:t>Income from equity method investees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(10,883)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(6,482)</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(2,441)</w:t>
            </w:r>
          </w:p>
        </w:tc>
      </w:tr>
      <w:tr>
        <w:trPr>
          <w:trHeight w:val="134"/>
        </w:trPr>
        <w:tc>
          <w:tcPr>
            <w:tcW w:w="5400" w:type="dxa"/>
            <w:vAlign w:val="bottom"/>
            <w:shd w:val="clear" w:color="auto" w:fill="CFF0FC"/>
          </w:tcPr>
          <w:p>
            <w:pPr>
              <w:ind w:left="500"/>
              <w:spacing w:after="0" w:line="134" w:lineRule="exact"/>
              <w:rPr>
                <w:sz w:val="20"/>
                <w:szCs w:val="20"/>
                <w:color w:val="auto"/>
              </w:rPr>
            </w:pPr>
            <w:r>
              <w:rPr>
                <w:rFonts w:ascii="Arial" w:cs="Arial" w:eastAsia="Arial" w:hAnsi="Arial"/>
                <w:sz w:val="13"/>
                <w:szCs w:val="13"/>
                <w:color w:val="auto"/>
              </w:rPr>
              <w:t>Amounts reclassified out of accumulated other comprehensive income</w:t>
            </w: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40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(Note 10)</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w:t>
            </w:r>
          </w:p>
        </w:tc>
        <w:tc>
          <w:tcPr>
            <w:tcW w:w="100" w:type="dxa"/>
            <w:vAlign w:val="bottom"/>
            <w:shd w:val="clear" w:color="auto" w:fill="CFF0FC"/>
          </w:tcPr>
          <w:p>
            <w:pPr>
              <w:spacing w:after="0"/>
              <w:rPr>
                <w:sz w:val="12"/>
                <w:szCs w:val="12"/>
                <w:color w:val="auto"/>
              </w:rPr>
            </w:pPr>
          </w:p>
        </w:tc>
      </w:tr>
      <w:tr>
        <w:trPr>
          <w:trHeight w:val="149"/>
        </w:trPr>
        <w:tc>
          <w:tcPr>
            <w:tcW w:w="5400" w:type="dxa"/>
            <w:vAlign w:val="bottom"/>
          </w:tcPr>
          <w:p>
            <w:pPr>
              <w:ind w:left="500"/>
              <w:spacing w:after="0"/>
              <w:rPr>
                <w:sz w:val="20"/>
                <w:szCs w:val="20"/>
                <w:color w:val="auto"/>
              </w:rPr>
            </w:pPr>
            <w:r>
              <w:rPr>
                <w:rFonts w:ascii="Arial" w:cs="Arial" w:eastAsia="Arial" w:hAnsi="Arial"/>
                <w:sz w:val="13"/>
                <w:szCs w:val="13"/>
                <w:color w:val="auto"/>
              </w:rPr>
              <w:t>Change in contingent consideration obligation</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(398)</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883</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Indefinite-lived intangible impairment</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19,000</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500"/>
              <w:spacing w:after="0"/>
              <w:rPr>
                <w:sz w:val="20"/>
                <w:szCs w:val="20"/>
                <w:color w:val="auto"/>
              </w:rPr>
            </w:pPr>
            <w:r>
              <w:rPr>
                <w:rFonts w:ascii="Arial" w:cs="Arial" w:eastAsia="Arial" w:hAnsi="Arial"/>
                <w:sz w:val="13"/>
                <w:szCs w:val="13"/>
                <w:color w:val="auto"/>
              </w:rPr>
              <w:t>Non-cash operating lease costs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422,465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430,359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441,981</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non-operating income</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(34,497)</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400" w:type="dxa"/>
            <w:vAlign w:val="bottom"/>
          </w:tcPr>
          <w:p>
            <w:pPr>
              <w:ind w:left="500"/>
              <w:spacing w:after="0"/>
              <w:rPr>
                <w:sz w:val="20"/>
                <w:szCs w:val="20"/>
                <w:color w:val="auto"/>
              </w:rPr>
            </w:pPr>
            <w:r>
              <w:rPr>
                <w:rFonts w:ascii="Arial" w:cs="Arial" w:eastAsia="Arial" w:hAnsi="Arial"/>
                <w:sz w:val="13"/>
                <w:szCs w:val="13"/>
                <w:color w:val="auto"/>
              </w:rPr>
              <w:t>Changes in assets and liabilities: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Receivables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(13,791)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(10,311)</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(3,845)</w:t>
            </w:r>
          </w:p>
        </w:tc>
      </w:tr>
      <w:tr>
        <w:trPr>
          <w:trHeight w:val="148"/>
        </w:trPr>
        <w:tc>
          <w:tcPr>
            <w:tcW w:w="5400" w:type="dxa"/>
            <w:vAlign w:val="bottom"/>
          </w:tcPr>
          <w:p>
            <w:pPr>
              <w:ind w:left="740"/>
              <w:spacing w:after="0"/>
              <w:rPr>
                <w:sz w:val="20"/>
                <w:szCs w:val="20"/>
                <w:color w:val="auto"/>
              </w:rPr>
            </w:pPr>
            <w:r>
              <w:rPr>
                <w:rFonts w:ascii="Arial" w:cs="Arial" w:eastAsia="Arial" w:hAnsi="Arial"/>
                <w:sz w:val="13"/>
                <w:szCs w:val="13"/>
                <w:color w:val="auto"/>
              </w:rPr>
              <w:t>Merchandise inventories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(136,404)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(60,635)</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(8,193)</w:t>
            </w:r>
          </w:p>
        </w:tc>
      </w:tr>
      <w:tr>
        <w:trPr>
          <w:trHeight w:val="148"/>
        </w:trPr>
        <w:tc>
          <w:tcPr>
            <w:tcW w:w="5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assets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(17,664)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(13,842)</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(5,223)</w:t>
            </w:r>
          </w:p>
        </w:tc>
      </w:tr>
      <w:tr>
        <w:trPr>
          <w:trHeight w:val="148"/>
        </w:trPr>
        <w:tc>
          <w:tcPr>
            <w:tcW w:w="5400" w:type="dxa"/>
            <w:vAlign w:val="bottom"/>
          </w:tcPr>
          <w:p>
            <w:pPr>
              <w:ind w:left="740"/>
              <w:spacing w:after="0"/>
              <w:rPr>
                <w:sz w:val="20"/>
                <w:szCs w:val="20"/>
                <w:color w:val="auto"/>
              </w:rPr>
            </w:pPr>
            <w:r>
              <w:rPr>
                <w:rFonts w:ascii="Arial" w:cs="Arial" w:eastAsia="Arial" w:hAnsi="Arial"/>
                <w:sz w:val="13"/>
                <w:szCs w:val="13"/>
                <w:color w:val="auto"/>
              </w:rPr>
              <w:t>Accounts payable and book overdrafts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71,775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46,303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15,928</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salaries and employee benefits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10,679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34,295</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(1,395)</w:t>
            </w:r>
          </w:p>
        </w:tc>
      </w:tr>
      <w:tr>
        <w:trPr>
          <w:trHeight w:val="148"/>
        </w:trPr>
        <w:tc>
          <w:tcPr>
            <w:tcW w:w="5400" w:type="dxa"/>
            <w:vAlign w:val="bottom"/>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42,899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(28,289)</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(3,043)</w:t>
            </w:r>
          </w:p>
        </w:tc>
      </w:tr>
      <w:tr>
        <w:trPr>
          <w:trHeight w:val="149"/>
        </w:trPr>
        <w:tc>
          <w:tcPr>
            <w:tcW w:w="54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Operating lease liabilities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(418,210)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(399,557)</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(408,562)</w:t>
            </w:r>
          </w:p>
        </w:tc>
      </w:tr>
      <w:tr>
        <w:trPr>
          <w:trHeight w:val="148"/>
        </w:trPr>
        <w:tc>
          <w:tcPr>
            <w:tcW w:w="5400" w:type="dxa"/>
            <w:vAlign w:val="bottom"/>
          </w:tcPr>
          <w:p>
            <w:pPr>
              <w:ind w:left="740"/>
              <w:spacing w:after="0"/>
              <w:rPr>
                <w:sz w:val="20"/>
                <w:szCs w:val="20"/>
                <w:color w:val="auto"/>
              </w:rPr>
            </w:pPr>
            <w:r>
              <w:rPr>
                <w:rFonts w:ascii="Arial" w:cs="Arial" w:eastAsia="Arial" w:hAnsi="Arial"/>
                <w:sz w:val="13"/>
                <w:szCs w:val="13"/>
                <w:color w:val="auto"/>
              </w:rPr>
              <w:t>Other long-term liabilities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(14,948)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27,424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(6,847)</w:t>
            </w:r>
          </w:p>
        </w:tc>
      </w:tr>
      <w:tr>
        <w:trPr>
          <w:trHeight w:val="142"/>
        </w:trPr>
        <w:tc>
          <w:tcPr>
            <w:tcW w:w="540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1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358,215</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268,615</w:t>
            </w: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110,337</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5400" w:type="dxa"/>
            <w:vAlign w:val="bottom"/>
          </w:tcPr>
          <w:p>
            <w:pPr>
              <w:spacing w:after="0" w:line="142" w:lineRule="exact"/>
              <w:rPr>
                <w:sz w:val="20"/>
                <w:szCs w:val="20"/>
                <w:color w:val="auto"/>
              </w:rPr>
            </w:pPr>
            <w:r>
              <w:rPr>
                <w:rFonts w:ascii="Arial" w:cs="Arial" w:eastAsia="Arial" w:hAnsi="Arial"/>
                <w:sz w:val="13"/>
                <w:szCs w:val="13"/>
                <w:color w:val="auto"/>
              </w:rPr>
              <w:t>Cash flows from investing activities: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fixed assets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(239,110)</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(159,560)</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(156,906)</w:t>
            </w: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Cash paid for intangible assets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(450)</w:t>
            </w: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Insurance recoveries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Cash paid for acquisitions, net of cash acquired (Note 4)</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(4,334)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(2,813)</w:t>
            </w: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from consolidation of joint venture (Note 1)</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Cash paid for investments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(1,000)</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(585)</w:t>
            </w: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investments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Proceeds from sale of assets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3,302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sale-leasebacks, net (Note 3)</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18,549</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Proceeds from partial surrender of officers’ life insurance</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1,470</w:t>
            </w:r>
          </w:p>
        </w:tc>
        <w:tc>
          <w:tcPr>
            <w:tcW w:w="100" w:type="dxa"/>
            <w:vAlign w:val="bottom"/>
          </w:tcPr>
          <w:p>
            <w:pPr>
              <w:spacing w:after="0"/>
              <w:rPr>
                <w:sz w:val="12"/>
                <w:szCs w:val="12"/>
                <w:color w:val="auto"/>
              </w:rPr>
            </w:pPr>
          </w:p>
        </w:tc>
      </w:tr>
      <w:tr>
        <w:trPr>
          <w:trHeight w:val="142"/>
        </w:trPr>
        <w:tc>
          <w:tcPr>
            <w:tcW w:w="540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investing activities</w:t>
            </w:r>
          </w:p>
        </w:tc>
        <w:tc>
          <w:tcPr>
            <w:tcW w:w="1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(237,083)</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(157,185)</w:t>
            </w: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(139,041)</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5400" w:type="dxa"/>
            <w:vAlign w:val="bottom"/>
          </w:tcPr>
          <w:p>
            <w:pPr>
              <w:spacing w:after="0" w:line="142" w:lineRule="exact"/>
              <w:rPr>
                <w:sz w:val="20"/>
                <w:szCs w:val="20"/>
                <w:color w:val="auto"/>
              </w:rPr>
            </w:pPr>
            <w:r>
              <w:rPr>
                <w:rFonts w:ascii="Arial" w:cs="Arial" w:eastAsia="Arial" w:hAnsi="Arial"/>
                <w:sz w:val="13"/>
                <w:szCs w:val="13"/>
                <w:color w:val="auto"/>
              </w:rPr>
              <w:t>Cash flows from financing activities: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under long-term debt agreements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476,000</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1,297,000</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Repayments of long-term debt</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(1,690,861)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(1,554,890)</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(1,293,250)</w:t>
            </w: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refinancing costs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(24,665)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w:t>
            </w: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Payments for finance lease liabilities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(3,564)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(3,404)</w:t>
            </w:r>
          </w:p>
        </w:tc>
        <w:tc>
          <w:tcPr>
            <w:tcW w:w="220" w:type="dxa"/>
            <w:vAlign w:val="bottom"/>
          </w:tcPr>
          <w:p>
            <w:pPr>
              <w:spacing w:after="0"/>
              <w:rPr>
                <w:sz w:val="12"/>
                <w:szCs w:val="1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(3,447)</w:t>
            </w: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employee stock purchase plan</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5400" w:type="dxa"/>
            <w:vAlign w:val="bottom"/>
          </w:tcPr>
          <w:p>
            <w:pPr>
              <w:ind w:left="260"/>
              <w:spacing w:after="0"/>
              <w:rPr>
                <w:sz w:val="20"/>
                <w:szCs w:val="20"/>
                <w:color w:val="auto"/>
              </w:rPr>
            </w:pPr>
            <w:r>
              <w:rPr>
                <w:rFonts w:ascii="Arial" w:cs="Arial" w:eastAsia="Arial" w:hAnsi="Arial"/>
                <w:sz w:val="13"/>
                <w:szCs w:val="13"/>
                <w:color w:val="auto"/>
              </w:rPr>
              <w:t>Tax withholdings on stock-based awards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Partial settlement of member note</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(809)</w:t>
            </w: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Cash received from noncontrolling interest</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initial public offering, net of issuance costs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936,041</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Repurchase of equity</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(105)</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contingent consideration</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(250)</w:t>
            </w:r>
          </w:p>
        </w:tc>
        <w:tc>
          <w:tcPr>
            <w:tcW w:w="2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(2,750)</w:t>
            </w: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Payment of offering costs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(3,844)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5400" w:type="dxa"/>
            <w:vAlign w:val="bottom"/>
            <w:tcBorders>
              <w:top w:val="single" w:sz="8" w:color="CFF0FC"/>
            </w:tcBorders>
            <w:shd w:val="clear" w:color="auto" w:fill="CFF0FC"/>
          </w:tcPr>
          <w:p>
            <w:pPr>
              <w:ind w:left="1000"/>
              <w:spacing w:after="0" w:line="142" w:lineRule="exact"/>
              <w:rPr>
                <w:sz w:val="20"/>
                <w:szCs w:val="20"/>
                <w:color w:val="auto"/>
              </w:rPr>
            </w:pPr>
            <w:r>
              <w:rPr>
                <w:rFonts w:ascii="Arial" w:cs="Arial" w:eastAsia="Arial" w:hAnsi="Arial"/>
                <w:sz w:val="13"/>
                <w:szCs w:val="13"/>
                <w:color w:val="auto"/>
              </w:rPr>
              <w:t>Net cash used in financing activities</w:t>
            </w:r>
          </w:p>
        </w:tc>
        <w:tc>
          <w:tcPr>
            <w:tcW w:w="12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(18,782)</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(146,608)</w:t>
            </w:r>
          </w:p>
        </w:tc>
        <w:tc>
          <w:tcPr>
            <w:tcW w:w="2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(3,071)</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5400" w:type="dxa"/>
            <w:vAlign w:val="bottom"/>
          </w:tcPr>
          <w:p>
            <w:pPr>
              <w:spacing w:after="0" w:line="142" w:lineRule="exact"/>
              <w:rPr>
                <w:sz w:val="20"/>
                <w:szCs w:val="20"/>
                <w:color w:val="auto"/>
              </w:rPr>
            </w:pPr>
            <w:r>
              <w:rPr>
                <w:rFonts w:ascii="Arial" w:cs="Arial" w:eastAsia="Arial" w:hAnsi="Arial"/>
                <w:sz w:val="13"/>
                <w:szCs w:val="13"/>
                <w:color w:val="auto"/>
              </w:rPr>
              <w:t>Net increase (decrease) in cash, cash equivalents and restricted cash</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102,350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(35,178)</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(31,775)</w:t>
            </w: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beginning of year</w:t>
            </w:r>
          </w:p>
        </w:tc>
        <w:tc>
          <w:tcPr>
            <w:tcW w:w="12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119,540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154,718</w:t>
            </w:r>
          </w:p>
        </w:tc>
        <w:tc>
          <w:tcPr>
            <w:tcW w:w="24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186,493</w:t>
            </w:r>
          </w:p>
        </w:tc>
        <w:tc>
          <w:tcPr>
            <w:tcW w:w="100" w:type="dxa"/>
            <w:vAlign w:val="bottom"/>
            <w:shd w:val="clear" w:color="auto" w:fill="CFF0FC"/>
          </w:tcPr>
          <w:p>
            <w:pPr>
              <w:spacing w:after="0"/>
              <w:rPr>
                <w:sz w:val="12"/>
                <w:szCs w:val="12"/>
                <w:color w:val="auto"/>
              </w:rPr>
            </w:pPr>
          </w:p>
        </w:tc>
      </w:tr>
      <w:tr>
        <w:trPr>
          <w:trHeight w:val="182"/>
        </w:trPr>
        <w:tc>
          <w:tcPr>
            <w:tcW w:w="54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cash equivalents and restricted cash at end of year</w:t>
            </w:r>
          </w:p>
        </w:tc>
        <w:tc>
          <w:tcPr>
            <w:tcW w:w="1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221,890</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119,540</w:t>
            </w:r>
          </w:p>
        </w:tc>
        <w:tc>
          <w:tcPr>
            <w:tcW w:w="2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154,718</w:t>
            </w:r>
          </w:p>
        </w:tc>
        <w:tc>
          <w:tcPr>
            <w:tcW w:w="100" w:type="dxa"/>
            <w:vAlign w:val="bottom"/>
            <w:tcBorders>
              <w:bottom w:val="single" w:sz="8" w:color="CFF0FC"/>
            </w:tcBorders>
          </w:tcPr>
          <w:p>
            <w:pPr>
              <w:spacing w:after="0"/>
              <w:rPr>
                <w:sz w:val="15"/>
                <w:szCs w:val="15"/>
                <w:color w:val="auto"/>
              </w:rPr>
            </w:pPr>
          </w:p>
        </w:tc>
      </w:tr>
      <w:tr>
        <w:trPr>
          <w:trHeight w:val="129"/>
        </w:trPr>
        <w:tc>
          <w:tcPr>
            <w:tcW w:w="54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Supplemental cash flow disclosures:</w:t>
            </w:r>
          </w:p>
        </w:tc>
        <w:tc>
          <w:tcPr>
            <w:tcW w:w="12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400" w:type="dxa"/>
            <w:vAlign w:val="bottom"/>
          </w:tcPr>
          <w:p>
            <w:pPr>
              <w:ind w:left="260"/>
              <w:spacing w:after="0"/>
              <w:rPr>
                <w:sz w:val="20"/>
                <w:szCs w:val="20"/>
                <w:color w:val="auto"/>
              </w:rPr>
            </w:pPr>
            <w:r>
              <w:rPr>
                <w:rFonts w:ascii="Arial" w:cs="Arial" w:eastAsia="Arial" w:hAnsi="Arial"/>
                <w:sz w:val="13"/>
                <w:szCs w:val="13"/>
                <w:color w:val="auto"/>
              </w:rPr>
              <w:t>Interest paid, net</w:t>
            </w:r>
          </w:p>
        </w:tc>
        <w:tc>
          <w:tcPr>
            <w:tcW w:w="148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64,545</w:t>
            </w:r>
          </w:p>
        </w:tc>
        <w:tc>
          <w:tcPr>
            <w:tcW w:w="14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178,960</w:t>
            </w:r>
          </w:p>
        </w:tc>
        <w:tc>
          <w:tcPr>
            <w:tcW w:w="240" w:type="dxa"/>
            <w:vAlign w:val="bottom"/>
          </w:tcPr>
          <w:p>
            <w:pPr>
              <w:spacing w:after="0"/>
              <w:rPr>
                <w:sz w:val="12"/>
                <w:szCs w:val="1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217,664</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Capitalized interest</w:t>
            </w:r>
          </w:p>
        </w:tc>
        <w:tc>
          <w:tcPr>
            <w:tcW w:w="1480" w:type="dxa"/>
            <w:vAlign w:val="bottom"/>
            <w:gridSpan w:val="2"/>
            <w:shd w:val="clear" w:color="auto" w:fill="CFF0FC"/>
          </w:tcPr>
          <w:p>
            <w:pPr>
              <w:jc w:val="right"/>
              <w:ind w:right="108"/>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1,003</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499</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953</w:t>
            </w: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Income taxes paid</w:t>
            </w:r>
          </w:p>
        </w:tc>
        <w:tc>
          <w:tcPr>
            <w:tcW w:w="148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16,092</w:t>
            </w:r>
          </w:p>
        </w:tc>
        <w:tc>
          <w:tcPr>
            <w:tcW w:w="14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2,388</w:t>
            </w:r>
          </w:p>
        </w:tc>
        <w:tc>
          <w:tcPr>
            <w:tcW w:w="240" w:type="dxa"/>
            <w:vAlign w:val="bottom"/>
          </w:tcPr>
          <w:p>
            <w:pPr>
              <w:spacing w:after="0"/>
              <w:rPr>
                <w:sz w:val="12"/>
                <w:szCs w:val="1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15,036</w:t>
            </w:r>
          </w:p>
        </w:tc>
        <w:tc>
          <w:tcPr>
            <w:tcW w:w="100" w:type="dxa"/>
            <w:vAlign w:val="bottom"/>
          </w:tcPr>
          <w:p>
            <w:pPr>
              <w:spacing w:after="0"/>
              <w:rPr>
                <w:sz w:val="12"/>
                <w:szCs w:val="12"/>
                <w:color w:val="auto"/>
              </w:rPr>
            </w:pPr>
          </w:p>
        </w:tc>
      </w:tr>
      <w:tr>
        <w:trPr>
          <w:trHeight w:val="149"/>
        </w:trPr>
        <w:tc>
          <w:tcPr>
            <w:tcW w:w="5400" w:type="dxa"/>
            <w:vAlign w:val="bottom"/>
            <w:shd w:val="clear" w:color="auto" w:fill="CFF0FC"/>
          </w:tcPr>
          <w:p>
            <w:pPr>
              <w:spacing w:after="0"/>
              <w:rPr>
                <w:sz w:val="20"/>
                <w:szCs w:val="20"/>
                <w:color w:val="auto"/>
              </w:rPr>
            </w:pPr>
            <w:r>
              <w:rPr>
                <w:rFonts w:ascii="Arial" w:cs="Arial" w:eastAsia="Arial" w:hAnsi="Arial"/>
                <w:sz w:val="13"/>
                <w:szCs w:val="13"/>
                <w:color w:val="auto"/>
              </w:rPr>
              <w:t>Supplemental non-cash investing and financing activities disclosures:</w:t>
            </w:r>
          </w:p>
        </w:tc>
        <w:tc>
          <w:tcPr>
            <w:tcW w:w="1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400" w:type="dxa"/>
            <w:vAlign w:val="bottom"/>
          </w:tcPr>
          <w:p>
            <w:pPr>
              <w:ind w:left="260"/>
              <w:spacing w:after="0"/>
              <w:rPr>
                <w:sz w:val="20"/>
                <w:szCs w:val="20"/>
                <w:color w:val="auto"/>
              </w:rPr>
            </w:pPr>
            <w:r>
              <w:rPr>
                <w:rFonts w:ascii="Arial" w:cs="Arial" w:eastAsia="Arial" w:hAnsi="Arial"/>
                <w:sz w:val="13"/>
                <w:szCs w:val="13"/>
                <w:color w:val="auto"/>
              </w:rPr>
              <w:t>Accounts payable and accrued expenses for capital expenditures</w:t>
            </w:r>
          </w:p>
        </w:tc>
        <w:tc>
          <w:tcPr>
            <w:tcW w:w="148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36,935</w:t>
            </w:r>
          </w:p>
        </w:tc>
        <w:tc>
          <w:tcPr>
            <w:tcW w:w="14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19,723</w:t>
            </w:r>
          </w:p>
        </w:tc>
        <w:tc>
          <w:tcPr>
            <w:tcW w:w="240" w:type="dxa"/>
            <w:vAlign w:val="bottom"/>
          </w:tcPr>
          <w:p>
            <w:pPr>
              <w:spacing w:after="0"/>
              <w:rPr>
                <w:sz w:val="12"/>
                <w:szCs w:val="12"/>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21,962</w:t>
            </w:r>
          </w:p>
        </w:tc>
        <w:tc>
          <w:tcPr>
            <w:tcW w:w="100" w:type="dxa"/>
            <w:vAlign w:val="bottom"/>
          </w:tcPr>
          <w:p>
            <w:pPr>
              <w:spacing w:after="0"/>
              <w:rPr>
                <w:sz w:val="12"/>
                <w:szCs w:val="12"/>
                <w:color w:val="auto"/>
              </w:rPr>
            </w:pP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expenses for offering costs in initial public offering</w:t>
            </w:r>
          </w:p>
        </w:tc>
        <w:tc>
          <w:tcPr>
            <w:tcW w:w="1480" w:type="dxa"/>
            <w:vAlign w:val="bottom"/>
            <w:gridSpan w:val="2"/>
            <w:shd w:val="clear" w:color="auto" w:fill="CFF0FC"/>
          </w:tcPr>
          <w:p>
            <w:pPr>
              <w:jc w:val="right"/>
              <w:ind w:right="108"/>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3,844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5400" w:type="dxa"/>
            <w:vAlign w:val="bottom"/>
          </w:tcPr>
          <w:p>
            <w:pPr>
              <w:ind w:left="260"/>
              <w:spacing w:after="0"/>
              <w:rPr>
                <w:sz w:val="20"/>
                <w:szCs w:val="20"/>
                <w:color w:val="auto"/>
              </w:rPr>
            </w:pPr>
            <w:r>
              <w:rPr>
                <w:rFonts w:ascii="Arial" w:cs="Arial" w:eastAsia="Arial" w:hAnsi="Arial"/>
                <w:sz w:val="13"/>
                <w:szCs w:val="13"/>
                <w:color w:val="auto"/>
              </w:rPr>
              <w:t>Accrued tax withholdings on stock-based awards</w:t>
            </w:r>
          </w:p>
        </w:tc>
        <w:tc>
          <w:tcPr>
            <w:tcW w:w="148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6,552</w:t>
            </w:r>
          </w:p>
        </w:tc>
        <w:tc>
          <w:tcPr>
            <w:tcW w:w="140" w:type="dxa"/>
            <w:vAlign w:val="bottom"/>
          </w:tcPr>
          <w:p>
            <w:pPr>
              <w:spacing w:after="0"/>
              <w:rPr>
                <w:sz w:val="12"/>
                <w:szCs w:val="12"/>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5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Contributions of Senior Notes (Note 9)</w:t>
            </w:r>
          </w:p>
        </w:tc>
        <w:tc>
          <w:tcPr>
            <w:tcW w:w="1480" w:type="dxa"/>
            <w:vAlign w:val="bottom"/>
            <w:gridSpan w:val="2"/>
            <w:shd w:val="clear" w:color="auto" w:fill="CFF0FC"/>
          </w:tcPr>
          <w:p>
            <w:pPr>
              <w:jc w:val="right"/>
              <w:ind w:right="108"/>
              <w:spacing w:after="0"/>
              <w:rPr>
                <w:sz w:val="20"/>
                <w:szCs w:val="20"/>
                <w:color w:val="auto"/>
              </w:rPr>
            </w:pPr>
            <w:r>
              <w:rPr>
                <w:rFonts w:ascii="Arial" w:cs="Arial" w:eastAsia="Arial" w:hAnsi="Arial"/>
                <w:sz w:val="13"/>
                <w:szCs w:val="13"/>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573,934</w:t>
            </w: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Basis of Presentation</w:t>
      </w:r>
    </w:p>
    <w:p>
      <w:pPr>
        <w:spacing w:after="0" w:line="11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 xml:space="preserve">Petco Health and Wellness Company, Inc. (together with its consolidated subsidiaries, the “Company”) is a category-defining health and wellness company focused on improving the lives of pets, pet parents, and its own partners with 1,433 pet care centers in 50 states, the District of Columbia and Puerto Rico as of January 29, 2022. The Company also offers an expanded range of consumables, supplies and services through its </w:t>
      </w:r>
      <w:r>
        <w:rPr>
          <w:rFonts w:ascii="Arial" w:cs="Arial" w:eastAsia="Arial" w:hAnsi="Arial"/>
          <w:sz w:val="18"/>
          <w:szCs w:val="18"/>
          <w:i w:val="1"/>
          <w:iCs w:val="1"/>
          <w:color w:val="auto"/>
        </w:rPr>
        <w:t>www.petco.com,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www.petcoach.co, www.petinsurancequotes.com,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www.pupbox.com </w:t>
      </w:r>
      <w:r>
        <w:rPr>
          <w:rFonts w:ascii="Arial" w:cs="Arial" w:eastAsia="Arial" w:hAnsi="Arial"/>
          <w:sz w:val="18"/>
          <w:szCs w:val="18"/>
          <w:color w:val="auto"/>
        </w:rPr>
        <w:t>websites.</w:t>
      </w:r>
    </w:p>
    <w:p>
      <w:pPr>
        <w:spacing w:after="0" w:line="79" w:lineRule="exact"/>
        <w:rPr>
          <w:sz w:val="20"/>
          <w:szCs w:val="20"/>
          <w:color w:val="auto"/>
        </w:rPr>
      </w:pPr>
    </w:p>
    <w:p>
      <w:pPr>
        <w:ind w:firstLine="589"/>
        <w:spacing w:after="0" w:line="273" w:lineRule="auto"/>
        <w:rPr>
          <w:sz w:val="20"/>
          <w:szCs w:val="20"/>
          <w:color w:val="auto"/>
        </w:rPr>
      </w:pPr>
      <w:r>
        <w:rPr>
          <w:rFonts w:ascii="Arial" w:cs="Arial" w:eastAsia="Arial" w:hAnsi="Arial"/>
          <w:sz w:val="17"/>
          <w:szCs w:val="17"/>
          <w:color w:val="auto"/>
        </w:rPr>
        <w:t>The Company was formed as a Delaware limited liability company under the name PET Acquisition LLC on November 19, 2015 as an acquisition entity controlled by Scooby LP, which was indirectly owned by funds affiliated with CVC Capital Partners, Canada Pension Plan Investment Board,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Public Offerings</w:t>
      </w:r>
    </w:p>
    <w:p>
      <w:pPr>
        <w:spacing w:after="0" w:line="117" w:lineRule="exact"/>
        <w:rPr>
          <w:sz w:val="20"/>
          <w:szCs w:val="20"/>
          <w:color w:val="auto"/>
        </w:rPr>
      </w:pPr>
    </w:p>
    <w:p>
      <w:pPr>
        <w:ind w:right="20" w:firstLine="769"/>
        <w:spacing w:after="0" w:line="263" w:lineRule="auto"/>
        <w:rPr>
          <w:sz w:val="20"/>
          <w:szCs w:val="20"/>
          <w:color w:val="auto"/>
        </w:rPr>
      </w:pPr>
      <w:r>
        <w:rPr>
          <w:rFonts w:ascii="Arial" w:cs="Arial" w:eastAsia="Arial" w:hAnsi="Arial"/>
          <w:sz w:val="18"/>
          <w:szCs w:val="18"/>
          <w:color w:val="auto"/>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spacing w:after="0" w:line="184" w:lineRule="exact"/>
        <w:rPr>
          <w:sz w:val="20"/>
          <w:szCs w:val="20"/>
          <w:color w:val="auto"/>
        </w:rPr>
      </w:pPr>
    </w:p>
    <w:p>
      <w:pPr>
        <w:ind w:firstLine="769"/>
        <w:spacing w:after="0" w:line="301" w:lineRule="auto"/>
        <w:rPr>
          <w:sz w:val="20"/>
          <w:szCs w:val="20"/>
          <w:color w:val="auto"/>
        </w:rPr>
      </w:pPr>
      <w:r>
        <w:rPr>
          <w:rFonts w:ascii="Arial" w:cs="Arial" w:eastAsia="Arial" w:hAnsi="Arial"/>
          <w:sz w:val="16"/>
          <w:szCs w:val="16"/>
          <w:color w:val="auto"/>
        </w:rPr>
        <w:t>In connection with the conversion and immediately prior to the Company’s initial public offering, all outstanding membership units were converted into 171.2 million shares of newly-issued Class A common stock, 37.8 million shares of newly-issued Class B-1 common stock, and 37.8 million shares of newly-issued Class B-2 common stock. The existing balances of members’ interest and accumulated deficit prior to the conversion were reclassified to additional paid-in capital in the consolidated balance sheets. This reclassification had no effect on the Company’s results of operations.</w:t>
      </w:r>
    </w:p>
    <w:p>
      <w:pPr>
        <w:spacing w:after="0" w:line="157"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spacing w:after="0" w:line="18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On January 19, 2021, the Company completed its initial public offering of 55.2 million newly-issued shares of its Class A common stock. The price was $18.00 per share. The Company received net cash proceeds of approximately $936.0 million from the initial public offering after deducting underwriting discounts, commissions, and offering expenses through January 30, 2021, with $3.8 million of accrued offering expenses reflected in accrued expenses and other liabilities in the consolidated balance sheets. The net proceeds from the initial public offering were used to pay a portion of the principal amount and accrued interest on the Company’s debt obligations. Refer to Note 8 and Note 9 for further discussion on the Company’s use of proceeds from the initial public offering.</w:t>
      </w:r>
    </w:p>
    <w:p>
      <w:pPr>
        <w:spacing w:after="0" w:line="192"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June 2021, Scooby Aggregator, LP, the Company’s principal stockholder, completed the sale of 25.3 million existing shares of Class A common stock in connection with a secondary offering. The offering price was $24.00 per share. The Company received no proceeds from the secondary offering. Expenses incurred by the Company related to the secondary offering were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Petco Health and Wellness Company, Inc., its wholly owned subsidiaries, and a variable interest entity for which it is the primary beneficiary. All intercompany accounts and transactions have been eliminated in consolidation.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589"/>
        <w:spacing w:after="0" w:line="275" w:lineRule="auto"/>
        <w:rPr>
          <w:sz w:val="20"/>
          <w:szCs w:val="20"/>
          <w:color w:val="auto"/>
        </w:rPr>
      </w:pPr>
      <w:r>
        <w:rPr>
          <w:rFonts w:ascii="Arial" w:cs="Arial" w:eastAsia="Arial" w:hAnsi="Arial"/>
          <w:sz w:val="17"/>
          <w:szCs w:val="17"/>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ind w:right="260" w:firstLine="589"/>
        <w:spacing w:after="0" w:line="286" w:lineRule="auto"/>
        <w:rPr>
          <w:sz w:val="20"/>
          <w:szCs w:val="20"/>
          <w:color w:val="auto"/>
        </w:rPr>
      </w:pPr>
      <w:r>
        <w:rPr>
          <w:rFonts w:ascii="Arial" w:cs="Arial" w:eastAsia="Arial" w:hAnsi="Arial"/>
          <w:sz w:val="17"/>
          <w:szCs w:val="17"/>
          <w:color w:val="auto"/>
        </w:rPr>
        <w:t>The Company’s fiscal year ends on the Saturday closest to January 31, resulting in years of either 52 or 53 weeks. All references to a fiscal year refer to the fiscal year ending on the Saturday closest to January 31 of the following year. For example, references to fiscal 2021 refer to the fiscal year beginning on January 31, 2021 and ending on January 29, 2022. Fiscal 2021, 2020 and 2019 included 52 weeks.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Operating segments are components of an enterprise about which separate financial information is available and is evaluated regularly by the chief operating decision maker (“CODM”) in deciding how to allocate resources and in assessing performance. The CEO serves as the Company’s CODM. The Company manages its business as one reportable operating segment which is designed to sell pet food, supplies and companion animals, and services to pet parents across pet care center and online channels.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$35.9 million and $34.6 million at January 29, 2022 and January 30, 2021,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97"/>
              <w:spacing w:after="0"/>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8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211,602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111,402</w:t>
            </w:r>
          </w:p>
        </w:tc>
        <w:tc>
          <w:tcPr>
            <w:tcW w:w="10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current assets</w:t>
            </w:r>
          </w:p>
        </w:tc>
        <w:tc>
          <w:tcPr>
            <w:tcW w:w="1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FF0FC"/>
            </w:tcBorders>
          </w:tcPr>
          <w:p>
            <w:pPr>
              <w:spacing w:after="0"/>
              <w:rPr>
                <w:sz w:val="19"/>
                <w:szCs w:val="19"/>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statement of cash flows</w:t>
            </w:r>
          </w:p>
        </w:tc>
        <w:tc>
          <w:tcPr>
            <w:tcW w:w="1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221,890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119,540</w:t>
            </w:r>
          </w:p>
        </w:tc>
        <w:tc>
          <w:tcPr>
            <w:tcW w:w="100" w:type="dxa"/>
            <w:vAlign w:val="bottom"/>
            <w:shd w:val="clear" w:color="auto" w:fill="CFF0FC"/>
          </w:tcPr>
          <w:p>
            <w:pPr>
              <w:spacing w:after="0"/>
              <w:rPr>
                <w:sz w:val="20"/>
                <w:szCs w:val="20"/>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Outstanding checks in excess of funds on deposit (book overdrafts) totaled $61.5 million and $52.5 million at January 29, 2022 and January 30, 2021, respectively, and are reflected in accounts payable and book overdrafts in the consolidated balance sheets.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Rebates and Allowances</w:t>
      </w:r>
    </w:p>
    <w:p>
      <w:pPr>
        <w:spacing w:after="0" w:line="117"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w:t>
      </w:r>
    </w:p>
    <w:p>
      <w:pPr>
        <w:spacing w:after="0" w:line="184"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Merchandise Inventories</w:t>
      </w:r>
    </w:p>
    <w:p>
      <w:pPr>
        <w:spacing w:after="0" w:line="117" w:lineRule="exact"/>
        <w:rPr>
          <w:sz w:val="20"/>
          <w:szCs w:val="20"/>
          <w:color w:val="auto"/>
        </w:rPr>
      </w:pPr>
    </w:p>
    <w:p>
      <w:pPr>
        <w:ind w:right="60" w:firstLine="589"/>
        <w:spacing w:after="0" w:line="254" w:lineRule="auto"/>
        <w:rPr>
          <w:sz w:val="20"/>
          <w:szCs w:val="20"/>
          <w:color w:val="auto"/>
        </w:rPr>
      </w:pPr>
      <w:r>
        <w:rPr>
          <w:rFonts w:ascii="Arial" w:cs="Arial" w:eastAsia="Arial" w:hAnsi="Arial"/>
          <w:sz w:val="18"/>
          <w:szCs w:val="18"/>
          <w:color w:val="auto"/>
        </w:rPr>
        <w:t>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117" w:lineRule="exact"/>
        <w:rPr>
          <w:sz w:val="20"/>
          <w:szCs w:val="20"/>
          <w:color w:val="auto"/>
        </w:rPr>
      </w:pPr>
    </w:p>
    <w:p>
      <w:pPr>
        <w:ind w:right="460" w:firstLine="589"/>
        <w:spacing w:after="0" w:line="263" w:lineRule="auto"/>
        <w:rPr>
          <w:sz w:val="20"/>
          <w:szCs w:val="20"/>
          <w:color w:val="auto"/>
        </w:rPr>
      </w:pPr>
      <w:r>
        <w:rPr>
          <w:rFonts w:ascii="Arial" w:cs="Arial" w:eastAsia="Arial" w:hAnsi="Arial"/>
          <w:sz w:val="18"/>
          <w:szCs w:val="18"/>
          <w:color w:val="auto"/>
        </w:rPr>
        <w:t>Fixed assets are stated at cost or fair value as of the date of the Acquisition less accumulated depreciation and amortization. Pet care center facilities and equipment under finance leases are recorded at the present value of lease payments at the inception of the lease. Maintenance and minor repairs are expensed as incurred.</w:t>
      </w:r>
    </w:p>
    <w:p>
      <w:pPr>
        <w:spacing w:after="0" w:line="184" w:lineRule="exact"/>
        <w:rPr>
          <w:sz w:val="20"/>
          <w:szCs w:val="20"/>
          <w:color w:val="auto"/>
        </w:rPr>
      </w:pPr>
    </w:p>
    <w:p>
      <w:pPr>
        <w:jc w:val="both"/>
        <w:ind w:firstLine="589"/>
        <w:spacing w:after="0" w:line="311" w:lineRule="auto"/>
        <w:rPr>
          <w:sz w:val="20"/>
          <w:szCs w:val="20"/>
          <w:color w:val="auto"/>
        </w:rPr>
      </w:pPr>
      <w:r>
        <w:rPr>
          <w:rFonts w:ascii="Arial" w:cs="Arial" w:eastAsia="Arial" w:hAnsi="Arial"/>
          <w:sz w:val="16"/>
          <w:szCs w:val="16"/>
          <w:color w:val="auto"/>
        </w:rPr>
        <w:t>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 Amortization of fixed assets financed through finance leases is included in depreciation and amortization expense.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fixed assets are generally depreciated or amortized using the following estimated useful lives: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27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86"/>
              </w:rPr>
              <w:t>30 years</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Equipment</w:t>
            </w:r>
          </w:p>
        </w:tc>
        <w:tc>
          <w:tcPr>
            <w:tcW w:w="2740" w:type="dxa"/>
            <w:vAlign w:val="bottom"/>
          </w:tcPr>
          <w:p>
            <w:pPr>
              <w:jc w:val="center"/>
              <w:ind w:left="570"/>
              <w:spacing w:after="0"/>
              <w:rPr>
                <w:sz w:val="20"/>
                <w:szCs w:val="20"/>
                <w:color w:val="auto"/>
              </w:rPr>
            </w:pPr>
            <w:r>
              <w:rPr>
                <w:rFonts w:ascii="Arial" w:cs="Arial" w:eastAsia="Arial" w:hAnsi="Arial"/>
                <w:sz w:val="18"/>
                <w:szCs w:val="18"/>
                <w:color w:val="auto"/>
                <w:w w:val="89"/>
              </w:rPr>
              <w:t>3 to 7 years</w:t>
            </w: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shd w:val="clear" w:color="auto" w:fill="CFF0FC"/>
          </w:tcPr>
          <w:p>
            <w:pPr>
              <w:jc w:val="center"/>
              <w:ind w:left="570"/>
              <w:spacing w:after="0"/>
              <w:rPr>
                <w:sz w:val="20"/>
                <w:szCs w:val="20"/>
                <w:color w:val="auto"/>
              </w:rPr>
            </w:pPr>
            <w:r>
              <w:rPr>
                <w:rFonts w:ascii="Arial" w:cs="Arial" w:eastAsia="Arial" w:hAnsi="Arial"/>
                <w:sz w:val="18"/>
                <w:szCs w:val="18"/>
                <w:color w:val="auto"/>
                <w:w w:val="89"/>
              </w:rPr>
              <w:t>4 to 7 years</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Leasehold and building improvements</w:t>
            </w:r>
          </w:p>
        </w:tc>
        <w:tc>
          <w:tcPr>
            <w:tcW w:w="2740" w:type="dxa"/>
            <w:vAlign w:val="bottom"/>
          </w:tcPr>
          <w:p>
            <w:pPr>
              <w:jc w:val="center"/>
              <w:ind w:left="570"/>
              <w:spacing w:after="0"/>
              <w:rPr>
                <w:sz w:val="20"/>
                <w:szCs w:val="20"/>
                <w:color w:val="auto"/>
              </w:rPr>
            </w:pPr>
            <w:r>
              <w:rPr>
                <w:rFonts w:ascii="Arial" w:cs="Arial" w:eastAsia="Arial" w:hAnsi="Arial"/>
                <w:sz w:val="18"/>
                <w:szCs w:val="18"/>
                <w:color w:val="auto"/>
                <w:w w:val="88"/>
              </w:rPr>
              <w:t>5 to 10 years</w:t>
            </w:r>
          </w:p>
        </w:tc>
      </w:tr>
    </w:tbl>
    <w:p>
      <w:pPr>
        <w:spacing w:after="0" w:line="228"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 expensed as incurred. Software and capitalized development costs are included in the Company’s equipment fixed asset category and are amortized using the straight-line method over the estimated useful life of the asset.</w:t>
      </w:r>
    </w:p>
    <w:p>
      <w:pPr>
        <w:spacing w:after="0" w:line="188"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80" w:firstLine="589"/>
        <w:spacing w:after="0" w:line="272" w:lineRule="auto"/>
        <w:rPr>
          <w:sz w:val="20"/>
          <w:szCs w:val="20"/>
          <w:color w:val="auto"/>
        </w:rPr>
      </w:pPr>
      <w:r>
        <w:rPr>
          <w:rFonts w:ascii="Arial" w:cs="Arial" w:eastAsia="Arial" w:hAnsi="Arial"/>
          <w:sz w:val="17"/>
          <w:szCs w:val="17"/>
          <w:color w:val="auto"/>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firstLine="589"/>
        <w:spacing w:after="0" w:line="254" w:lineRule="auto"/>
        <w:rPr>
          <w:sz w:val="20"/>
          <w:szCs w:val="20"/>
          <w:color w:val="auto"/>
        </w:rPr>
      </w:pPr>
      <w:r>
        <w:rPr>
          <w:rFonts w:ascii="Arial" w:cs="Arial" w:eastAsia="Arial" w:hAnsi="Arial"/>
          <w:sz w:val="18"/>
          <w:szCs w:val="18"/>
          <w:color w:val="auto"/>
        </w:rPr>
        <w:t>The Company has one reporting unit. In cases where the quantitative test is performed, the fair value of the Company’s reporting unit is estimated by a third party valuation firm. Fair value estimates used in the quantitative impairment test include calculations using a discounted cash flow analysis and a public company analysis. The discounted cash flow analysis measures the value of an asset by the present value of its future estimated cash flows. The public company analysis analyzes transactional and financial data of publicly traded companies to develop valuation multiples. These multiples are then applied to the Company to develop an indication of fair value. Significant assumptions inherent in the valuation methodologies for goodwill are employed and include, but are not limited to, prospective financial information, growth rates, discount rates and comparable multiples from publicly traded companies in similar industries.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Name</w:t>
      </w:r>
    </w:p>
    <w:p>
      <w:pPr>
        <w:spacing w:after="0" w:line="117" w:lineRule="exact"/>
        <w:rPr>
          <w:sz w:val="20"/>
          <w:szCs w:val="20"/>
          <w:color w:val="auto"/>
        </w:rPr>
      </w:pPr>
    </w:p>
    <w:p>
      <w:pPr>
        <w:ind w:right="20" w:firstLine="589"/>
        <w:spacing w:after="0" w:line="293" w:lineRule="auto"/>
        <w:rPr>
          <w:sz w:val="20"/>
          <w:szCs w:val="20"/>
          <w:color w:val="auto"/>
        </w:rPr>
      </w:pPr>
      <w:r>
        <w:rPr>
          <w:rFonts w:ascii="Arial" w:cs="Arial" w:eastAsia="Arial" w:hAnsi="Arial"/>
          <w:sz w:val="16"/>
          <w:szCs w:val="16"/>
          <w:color w:val="auto"/>
        </w:rPr>
        <w:t>The Company’s trade name has an indefinite life. The Company performs its annual impairment test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In cases where the quantitative test is performed, the fair value of the Company’s trade name is estimated by a third party valuation firm using the relief from royalty valuation method. Significant assumptions inherent in the valuation methodologies for the trade name are employed and include, but are not limited to, prospective financial information, royalty rates and discount rates. An impairment charge is recorded for the amount by which the carrying amount of the trade name exceeds its fair value.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Equity Method Investments, and Variable Interest Entities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187"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The equity method of accounting is applicable for the Mexico joint venture as the Company does not own more than 50% of voting power, but has significant influence over the operation and financial policies of the investee. The joint venture is not material to the Company’s consolidated financial statements.</w:t>
      </w:r>
    </w:p>
    <w:p>
      <w:pPr>
        <w:spacing w:after="0" w:line="184"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2021, 2020, and 2019. The cumulative unrealized foreign currency adjustment on the translation of the Company’s investment in the joint venture and the foreign currency translation impact of the royalty receivable are recorded in accumulated other comprehensive income (“AOCI”), net of tax.</w:t>
      </w:r>
    </w:p>
    <w:p>
      <w:pPr>
        <w:spacing w:after="0" w:line="171" w:lineRule="exact"/>
        <w:rPr>
          <w:sz w:val="20"/>
          <w:szCs w:val="20"/>
          <w:color w:val="auto"/>
        </w:rPr>
      </w:pPr>
    </w:p>
    <w:p>
      <w:pPr>
        <w:ind w:right="20" w:firstLine="589"/>
        <w:spacing w:after="0" w:line="286" w:lineRule="auto"/>
        <w:rPr>
          <w:sz w:val="20"/>
          <w:szCs w:val="20"/>
          <w:color w:val="auto"/>
        </w:rPr>
      </w:pPr>
      <w:r>
        <w:rPr>
          <w:rFonts w:ascii="Arial" w:cs="Arial" w:eastAsia="Arial" w:hAnsi="Arial"/>
          <w:sz w:val="16"/>
          <w:szCs w:val="16"/>
          <w:color w:val="auto"/>
        </w:rPr>
        <w:t>The Company consolidates variable interest entities (“VIEs”) where it has been determined that the Company is the primary beneficiary of those entities’ operations. The Company holds a 50% investment in a joint venture with a domestic partner to build and operate veterinary clinics in Petco locations, which was previously accounted for under the equity method. In March 2019, the Company entered into an amended agreement governing the joint venture’s operations and determined that the Company had the power to direct the activities most important to the VIE. As a result, the joint venture is a VIE for which the Company is now the primary beneficiary. Accordingly, the assets, liabilities, and noncontrolling interest of the VIE, which were not material, were measured at fair value as of the date the Company became the primary beneficiary in accordance with Accounting Standards Codification (“ASC”) 805 – Business Combinations. The results of operations and statements of financial position of the VIE are included in the Company’s consolidated financial statements beginning in March 2019. Under the amended agreement, the domestic partner provides certain management and support services to the joint venture. These services include administrative, financial reporting, compliance, and technology support services in connection with the operation and growth of the joint venture. As compensation for these services, the joint venture pays the domestic partner a quarterly joint venture management fee equal to a portion of clinic revenues, subject to a minimum fixed fee. The Company incurred and recorded $2.5 million</w:t>
      </w:r>
      <w:r>
        <w:rPr>
          <w:rFonts w:ascii="Arial" w:cs="Arial" w:eastAsia="Arial" w:hAnsi="Arial"/>
          <w:sz w:val="12"/>
          <w:szCs w:val="12"/>
          <w:color w:val="auto"/>
        </w:rPr>
        <w:t>,</w:t>
      </w:r>
      <w:r>
        <w:rPr>
          <w:rFonts w:ascii="Arial" w:cs="Arial" w:eastAsia="Arial" w:hAnsi="Arial"/>
          <w:sz w:val="16"/>
          <w:szCs w:val="16"/>
          <w:color w:val="auto"/>
        </w:rPr>
        <w:t xml:space="preserve"> $2.0 million, and $1.4 million of joint venture management fees under this agreement in fiscal 2021, 2020, and 2019, respectively, which are included in selling, general and administrative expenses in the consolidated statements of operations. In March 2022,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720"/>
        <w:spacing w:after="0" w:line="277" w:lineRule="auto"/>
        <w:rPr>
          <w:sz w:val="20"/>
          <w:szCs w:val="20"/>
          <w:color w:val="auto"/>
        </w:rPr>
      </w:pPr>
      <w:r>
        <w:rPr>
          <w:rFonts w:ascii="Arial" w:cs="Arial" w:eastAsia="Arial" w:hAnsi="Arial"/>
          <w:sz w:val="18"/>
          <w:szCs w:val="18"/>
          <w:color w:val="auto"/>
        </w:rPr>
        <w:t>Company entered into an agreement to purchase the remaining 50% of the issued and outstanding membership interests of the joint venture. The transaction is expected to close in the second quarter of fiscal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87"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17" w:lineRule="exact"/>
        <w:rPr>
          <w:sz w:val="20"/>
          <w:szCs w:val="20"/>
          <w:color w:val="auto"/>
        </w:rPr>
      </w:pPr>
    </w:p>
    <w:p>
      <w:pPr>
        <w:ind w:left="1760" w:right="360" w:hanging="1174"/>
        <w:spacing w:after="0" w:line="277" w:lineRule="auto"/>
        <w:tabs>
          <w:tab w:leader="none" w:pos="17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Quoted prices (unadjusted) in active markets for identical assets or liabilities that the Company has the ability to access at the measurement date.</w:t>
      </w:r>
    </w:p>
    <w:p>
      <w:pPr>
        <w:spacing w:after="0" w:line="62"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quoted prices included within Level 1 that are observable for the asset or liability, either directly or indirectly.</w:t>
      </w:r>
    </w:p>
    <w:p>
      <w:pPr>
        <w:spacing w:after="0" w:line="117"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for the asset or liability.</w:t>
      </w:r>
    </w:p>
    <w:p>
      <w:pPr>
        <w:spacing w:after="0" w:line="225"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carrying amounts of the Company’s cash and cash equivalents, accounts receivable, trade accounts payable, and accrued expenses and other current liabilities approximate fair value based on the short-term maturities of these instruments.</w:t>
      </w:r>
    </w:p>
    <w:p>
      <w:pPr>
        <w:spacing w:after="0" w:line="170"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Refer to Notes 8, 9, 10 and 11 for fair value disclosures for the senior secured term credit facilities, senior notes, derivatives, and other types of assets and liabilities measured at fair value,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firstLine="589"/>
        <w:spacing w:after="0" w:line="287" w:lineRule="auto"/>
        <w:rPr>
          <w:sz w:val="20"/>
          <w:szCs w:val="20"/>
          <w:color w:val="auto"/>
        </w:rPr>
      </w:pPr>
      <w:r>
        <w:rPr>
          <w:rFonts w:ascii="Arial" w:cs="Arial" w:eastAsia="Arial" w:hAnsi="Arial"/>
          <w:sz w:val="16"/>
          <w:szCs w:val="16"/>
          <w:color w:val="auto"/>
        </w:rPr>
        <w:t>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 experience and trends. Estimates of future claim costs for workers’ compensation, general, auto liability and employee-related health care benefits are recorded on an undiscounted basis. All estimates of ultimate loss and loss 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January 29, 2022, insurance recoveries of $5.7 million and $15.9 million were recorded in other current assets and other long-term assets, respectively. As of January 30, 2021, insurance recoveries of $5.8 million and $17.2 million were recorded in other current assets and other long-term assets, respectively.</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74" w:name="page75"/>
    <w:bookmarkEnd w:id="74"/>
    <w:p>
      <w:pPr>
        <w:ind w:left="600"/>
        <w:spacing w:after="0"/>
        <w:rPr>
          <w:sz w:val="20"/>
          <w:szCs w:val="20"/>
          <w:color w:val="auto"/>
        </w:rPr>
      </w:pPr>
      <w:r>
        <w:rPr>
          <w:rFonts w:ascii="Arial" w:cs="Arial" w:eastAsia="Arial" w:hAnsi="Arial"/>
          <w:sz w:val="18"/>
          <w:szCs w:val="18"/>
          <w:color w:val="auto"/>
        </w:rPr>
        <w:t>Self-insurance reserves are reflected in the consolidated balance sheets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8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15"/>
        </w:trPr>
        <w:tc>
          <w:tcPr>
            <w:tcW w:w="4800" w:type="dxa"/>
            <w:vAlign w:val="bottom"/>
          </w:tcPr>
          <w:p>
            <w:pPr>
              <w:ind w:left="240"/>
              <w:spacing w:after="0"/>
              <w:rPr>
                <w:sz w:val="20"/>
                <w:szCs w:val="20"/>
                <w:color w:val="auto"/>
              </w:rPr>
            </w:pPr>
            <w:r>
              <w:rPr>
                <w:rFonts w:ascii="Arial" w:cs="Arial" w:eastAsia="Arial" w:hAnsi="Arial"/>
                <w:sz w:val="18"/>
                <w:szCs w:val="18"/>
                <w:color w:val="auto"/>
              </w:rPr>
              <w:t>Workers’ compensation and employee-related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800" w:type="dxa"/>
            <w:vAlign w:val="bottom"/>
          </w:tcPr>
          <w:p>
            <w:pPr>
              <w:ind w:left="380"/>
              <w:spacing w:after="0"/>
              <w:rPr>
                <w:sz w:val="20"/>
                <w:szCs w:val="20"/>
                <w:color w:val="auto"/>
              </w:rPr>
            </w:pPr>
            <w:r>
              <w:rPr>
                <w:rFonts w:ascii="Arial" w:cs="Arial" w:eastAsia="Arial" w:hAnsi="Arial"/>
                <w:sz w:val="18"/>
                <w:szCs w:val="18"/>
                <w:color w:val="auto"/>
              </w:rPr>
              <w:t>health care benefits</w:t>
            </w:r>
          </w:p>
        </w:tc>
        <w:tc>
          <w:tcPr>
            <w:tcW w:w="1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23,699</w:t>
            </w:r>
          </w:p>
        </w:tc>
        <w:tc>
          <w:tcPr>
            <w:tcW w:w="220" w:type="dxa"/>
            <w:vAlign w:val="bottom"/>
          </w:tcPr>
          <w:p>
            <w:pPr>
              <w:spacing w:after="0"/>
              <w:rPr>
                <w:sz w:val="20"/>
                <w:szCs w:val="20"/>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21,834</w:t>
            </w:r>
          </w:p>
        </w:tc>
        <w:tc>
          <w:tcPr>
            <w:tcW w:w="220" w:type="dxa"/>
            <w:vAlign w:val="bottom"/>
          </w:tcPr>
          <w:p>
            <w:pPr>
              <w:spacing w:after="0"/>
              <w:rPr>
                <w:sz w:val="20"/>
                <w:szCs w:val="20"/>
                <w:color w:val="auto"/>
              </w:rPr>
            </w:pPr>
          </w:p>
        </w:tc>
      </w:tr>
      <w:tr>
        <w:trPr>
          <w:trHeight w:val="22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auto liability reserves</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4,737</w:t>
            </w:r>
          </w:p>
        </w:tc>
        <w:tc>
          <w:tcPr>
            <w:tcW w:w="220" w:type="dxa"/>
            <w:vAlign w:val="bottom"/>
            <w:shd w:val="clear" w:color="auto" w:fill="CFF0FC"/>
          </w:tcPr>
          <w:p>
            <w:pPr>
              <w:spacing w:after="0"/>
              <w:rPr>
                <w:sz w:val="19"/>
                <w:szCs w:val="19"/>
                <w:color w:val="auto"/>
              </w:rPr>
            </w:pPr>
          </w:p>
        </w:tc>
      </w:tr>
      <w:tr>
        <w:trPr>
          <w:trHeight w:val="263"/>
        </w:trPr>
        <w:tc>
          <w:tcPr>
            <w:tcW w:w="480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28,432</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26,571</w:t>
            </w:r>
          </w:p>
        </w:tc>
        <w:tc>
          <w:tcPr>
            <w:tcW w:w="22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9"/>
        </w:trPr>
        <w:tc>
          <w:tcPr>
            <w:tcW w:w="4800" w:type="dxa"/>
            <w:vAlign w:val="bottom"/>
          </w:tcPr>
          <w:p>
            <w:pPr>
              <w:ind w:left="240"/>
              <w:spacing w:after="0"/>
              <w:rPr>
                <w:sz w:val="20"/>
                <w:szCs w:val="20"/>
                <w:color w:val="auto"/>
              </w:rPr>
            </w:pPr>
            <w:r>
              <w:rPr>
                <w:rFonts w:ascii="Arial" w:cs="Arial" w:eastAsia="Arial" w:hAnsi="Arial"/>
                <w:sz w:val="18"/>
                <w:szCs w:val="18"/>
                <w:color w:val="auto"/>
              </w:rPr>
              <w:t>Workers’ compensation reserve</w:t>
            </w:r>
          </w:p>
        </w:tc>
        <w:tc>
          <w:tcPr>
            <w:tcW w:w="1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44,706</w:t>
            </w:r>
          </w:p>
        </w:tc>
        <w:tc>
          <w:tcPr>
            <w:tcW w:w="22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45,794</w:t>
            </w:r>
          </w:p>
        </w:tc>
        <w:tc>
          <w:tcPr>
            <w:tcW w:w="220" w:type="dxa"/>
            <w:vAlign w:val="bottom"/>
          </w:tcPr>
          <w:p>
            <w:pPr>
              <w:spacing w:after="0"/>
              <w:rPr>
                <w:sz w:val="19"/>
                <w:szCs w:val="19"/>
                <w:color w:val="auto"/>
              </w:rPr>
            </w:pPr>
          </w:p>
        </w:tc>
      </w:tr>
      <w:tr>
        <w:trPr>
          <w:trHeight w:val="229"/>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auto liability reserves</w:t>
            </w:r>
          </w:p>
        </w:tc>
        <w:tc>
          <w:tcPr>
            <w:tcW w:w="1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22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57,925</w:t>
            </w:r>
          </w:p>
        </w:tc>
        <w:tc>
          <w:tcPr>
            <w:tcW w:w="22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740" w:firstLine="589"/>
        <w:spacing w:after="0" w:line="277" w:lineRule="auto"/>
        <w:rPr>
          <w:sz w:val="20"/>
          <w:szCs w:val="20"/>
          <w:color w:val="auto"/>
        </w:rPr>
      </w:pPr>
      <w:r>
        <w:rPr>
          <w:rFonts w:ascii="Arial" w:cs="Arial" w:eastAsia="Arial" w:hAnsi="Arial"/>
          <w:sz w:val="18"/>
          <w:szCs w:val="18"/>
          <w:color w:val="auto"/>
        </w:rPr>
        <w:t>The Company recognizes revenue when control of promised goods or services is transferred to customers, in an amount that reflects the consideration to which the Company expects to be entitled to in exchange for those goods or services.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See Note 2 for further discussion on 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Cost of sales includes the following types of expenses:</w:t>
      </w:r>
    </w:p>
    <w:p>
      <w:pPr>
        <w:spacing w:after="0" w:line="117" w:lineRule="exact"/>
        <w:rPr>
          <w:sz w:val="20"/>
          <w:szCs w:val="20"/>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(net of vendor rebates, allowances and discounts for products sold) including inbound freight charges;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Shipping and handling costs associated with sales to customers;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Freight costs associated with moving merchandise inventories;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Inventory shrinkage costs and write-downs;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Payroll costs of pet groomers, trainers, veterinarians and other direct costs of services;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operating the Company’s distribution centers including payroll, occupancy costs and depreciation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Selling, general and administrative expenses include the following types of expenses:</w:t>
      </w:r>
    </w:p>
    <w:p>
      <w:pPr>
        <w:spacing w:after="0" w:line="117"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Payroll and benefit costs of pet care center and corporate employees;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Occupancy and operating costs of pet care center and corporate facilities;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and amortization related to pet care center and corporate assets;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Store pre-opening and remodeling costs;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costs;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selling and administrative costs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7"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 records advertising expense as incurred and classifies advertising costs within selling, general and administrative expenses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operations. The Company’s advertising expenses, net of cooperative advertising reimbursements, were $227.9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$168.4 million, and $97.7 million for fiscal 2021, 2020, and 2019, respectively. Vendor cooperative advertising reimbursements reduced total advertising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 by $32.5 million, $25.7 million, and $18.4 million for fiscal 2021, 2020, and 2019,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The majority of the Company’s lease liabilities are real estate operating leases from which pet care center, corporate support, and distribution operations are conducted. The Company also leases equipment, vehicles,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w:t>
      </w:r>
    </w:p>
    <w:p>
      <w:pPr>
        <w:spacing w:after="0" w:line="164"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w:t>
      </w:r>
    </w:p>
    <w:p>
      <w:pPr>
        <w:spacing w:after="0" w:line="178"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w:t>
      </w:r>
    </w:p>
    <w:p>
      <w:pPr>
        <w:spacing w:after="0" w:line="177"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Company’s sublease portfolio consists mainly of operating leases with a domestic partner to operate dog boarding and daycare facilities, which are not material.</w:t>
      </w:r>
    </w:p>
    <w:p>
      <w:pPr>
        <w:spacing w:after="0" w:line="170" w:lineRule="exact"/>
        <w:rPr>
          <w:sz w:val="20"/>
          <w:szCs w:val="20"/>
          <w:color w:val="auto"/>
        </w:rPr>
      </w:pPr>
    </w:p>
    <w:p>
      <w:pPr>
        <w:ind w:right="40" w:firstLine="589"/>
        <w:spacing w:after="0" w:line="273" w:lineRule="auto"/>
        <w:rPr>
          <w:sz w:val="20"/>
          <w:szCs w:val="20"/>
          <w:color w:val="auto"/>
        </w:rPr>
      </w:pPr>
      <w:r>
        <w:rPr>
          <w:rFonts w:ascii="Arial" w:cs="Arial" w:eastAsia="Arial" w:hAnsi="Arial"/>
          <w:sz w:val="17"/>
          <w:szCs w:val="17"/>
          <w:color w:val="auto"/>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2021, 2020, and 2019 was not material. The Company’s asset retirement obligation was $6.9 million and $5.8 million at January 29, 2022 and January 30, 2021, respectively, and is included in other long-term liabilities in the consolidated balance sheets.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Deferred tax assets and liabilities are recorded as either net non-current assets or net non-current liabilities on the consolidated balance sheets. Refer to Note 14 for further disclosures of the Company’s income taxes.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6" w:name="page77"/>
    <w:bookmarkEnd w:id="76"/>
    <w:p>
      <w:pPr>
        <w:ind w:right="80" w:firstLine="589"/>
        <w:spacing w:after="0" w:line="275" w:lineRule="auto"/>
        <w:rPr>
          <w:sz w:val="20"/>
          <w:szCs w:val="20"/>
          <w:color w:val="auto"/>
        </w:rPr>
      </w:pPr>
      <w:r>
        <w:rPr>
          <w:rFonts w:ascii="Arial" w:cs="Arial" w:eastAsia="Arial" w:hAnsi="Arial"/>
          <w:sz w:val="17"/>
          <w:szCs w:val="17"/>
          <w:color w:val="auto"/>
        </w:rPr>
        <w:t>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benefit of a tax position is that such position is more likely than not to be sustained upon examination by the taxing authority, including resolution of any related appeals or litigation processes, and is based on the technical merits of the position.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Equity-based compensation cost is measured at the grant date, based on the estimated fair value of the award, and is recognized as expense over the vesting period of the award, which is also the requisite service period, based upon the corresponding vesting method and probability of vesting (Note 13). The Company recognizes the effect of pre-vesting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Valuation</w:t>
      </w:r>
    </w:p>
    <w:p>
      <w:pPr>
        <w:spacing w:after="0" w:line="117" w:lineRule="exact"/>
        <w:rPr>
          <w:sz w:val="20"/>
          <w:szCs w:val="20"/>
          <w:color w:val="auto"/>
        </w:rPr>
      </w:pPr>
    </w:p>
    <w:p>
      <w:pPr>
        <w:ind w:right="400" w:firstLine="589"/>
        <w:spacing w:after="0" w:line="259" w:lineRule="auto"/>
        <w:rPr>
          <w:sz w:val="20"/>
          <w:szCs w:val="20"/>
          <w:color w:val="auto"/>
        </w:rPr>
      </w:pPr>
      <w:r>
        <w:rPr>
          <w:rFonts w:ascii="Arial" w:cs="Arial" w:eastAsia="Arial" w:hAnsi="Arial"/>
          <w:sz w:val="18"/>
          <w:szCs w:val="18"/>
          <w:color w:val="auto"/>
        </w:rPr>
        <w:t>The per unit fair value of equity underlying the partnership unit awards prior to the Company’s initial public offering was determined by the Company’s board of directors based on enterprise valuations performed by management with the assistance of a third-party valuation firm, taking into consideration any recent market transactions involving the Company’s equity. The valuation of the equity of any private company involves various estimates and assumptions that may differ from actual values.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fiscal 2019 and for a portion of fiscal 2020, the Company’s equity value was determined using a combination of two valuation approaches:</w:t>
      </w:r>
    </w:p>
    <w:p>
      <w:pPr>
        <w:spacing w:after="0" w:line="129" w:lineRule="exact"/>
        <w:rPr>
          <w:sz w:val="20"/>
          <w:szCs w:val="20"/>
          <w:color w:val="auto"/>
        </w:rPr>
      </w:pPr>
    </w:p>
    <w:p>
      <w:pPr>
        <w:ind w:left="760" w:right="100" w:hanging="156"/>
        <w:spacing w:after="0" w:line="259" w:lineRule="auto"/>
        <w:rPr>
          <w:sz w:val="20"/>
          <w:szCs w:val="20"/>
          <w:color w:val="auto"/>
        </w:rPr>
      </w:pPr>
      <w:r>
        <w:rPr>
          <w:rFonts w:ascii="Arial" w:cs="Arial" w:eastAsia="Arial" w:hAnsi="Arial"/>
          <w:sz w:val="18"/>
          <w:szCs w:val="18"/>
          <w:color w:val="auto"/>
        </w:rPr>
        <w:t>Income Approach – estimates the fair value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79" w:lineRule="exact"/>
        <w:rPr>
          <w:sz w:val="20"/>
          <w:szCs w:val="20"/>
          <w:color w:val="auto"/>
        </w:rPr>
      </w:pPr>
    </w:p>
    <w:p>
      <w:pPr>
        <w:ind w:left="760" w:right="520" w:hanging="156"/>
        <w:spacing w:after="0" w:line="277" w:lineRule="auto"/>
        <w:rPr>
          <w:sz w:val="20"/>
          <w:szCs w:val="20"/>
          <w:color w:val="auto"/>
        </w:rPr>
      </w:pPr>
      <w:r>
        <w:rPr>
          <w:rFonts w:ascii="Arial" w:cs="Arial" w:eastAsia="Arial" w:hAnsi="Arial"/>
          <w:sz w:val="18"/>
          <w:szCs w:val="18"/>
          <w:color w:val="auto"/>
        </w:rPr>
        <w:t>Market Approach (specifically, the guideline public company method) – estimates fair value based upon the observed valuation multiples of comparable public companies, the equity of which is freely-traded by investors in the public securities markets.</w:t>
      </w:r>
    </w:p>
    <w:p>
      <w:pPr>
        <w:spacing w:after="0" w:line="170" w:lineRule="exact"/>
        <w:rPr>
          <w:sz w:val="20"/>
          <w:szCs w:val="20"/>
          <w:color w:val="auto"/>
        </w:rPr>
      </w:pPr>
    </w:p>
    <w:p>
      <w:pPr>
        <w:ind w:firstLine="589"/>
        <w:spacing w:after="0" w:line="286" w:lineRule="auto"/>
        <w:rPr>
          <w:sz w:val="20"/>
          <w:szCs w:val="20"/>
          <w:color w:val="auto"/>
        </w:rPr>
      </w:pPr>
      <w:r>
        <w:rPr>
          <w:rFonts w:ascii="Arial" w:cs="Arial" w:eastAsia="Arial" w:hAnsi="Arial"/>
          <w:sz w:val="17"/>
          <w:szCs w:val="17"/>
          <w:color w:val="auto"/>
        </w:rPr>
        <w:t>Beginning in the third quarter of fiscal 2020 and prior to its initial public offering, the Company determined its equity value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scenario.</w:t>
      </w:r>
    </w:p>
    <w:p>
      <w:pPr>
        <w:spacing w:after="0" w:line="165" w:lineRule="exact"/>
        <w:rPr>
          <w:sz w:val="20"/>
          <w:szCs w:val="20"/>
          <w:color w:val="auto"/>
        </w:rPr>
      </w:pPr>
    </w:p>
    <w:p>
      <w:pPr>
        <w:jc w:val="both"/>
        <w:ind w:right="500" w:firstLine="589"/>
        <w:spacing w:after="0" w:line="311" w:lineRule="auto"/>
        <w:rPr>
          <w:sz w:val="20"/>
          <w:szCs w:val="20"/>
          <w:color w:val="auto"/>
        </w:rPr>
      </w:pPr>
      <w:r>
        <w:rPr>
          <w:rFonts w:ascii="Arial" w:cs="Arial" w:eastAsia="Arial" w:hAnsi="Arial"/>
          <w:sz w:val="16"/>
          <w:szCs w:val="16"/>
          <w:color w:val="auto"/>
        </w:rPr>
        <w:t>The results of the valuation approaches were weighted based on a variety of factors including: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right="380" w:firstLine="589"/>
        <w:spacing w:after="0" w:line="342" w:lineRule="auto"/>
        <w:rPr>
          <w:sz w:val="20"/>
          <w:szCs w:val="20"/>
          <w:color w:val="auto"/>
        </w:rPr>
      </w:pPr>
      <w:r>
        <w:rPr>
          <w:rFonts w:ascii="Arial" w:cs="Arial" w:eastAsia="Arial" w:hAnsi="Arial"/>
          <w:sz w:val="16"/>
          <w:szCs w:val="16"/>
          <w:color w:val="auto"/>
        </w:rPr>
        <w:t>Costs incurred in connection with opening new pet care centers and hospitals are expensed as incurred and are included in selling, general and administrative expenses in the Company’s consolidated statements of operations. Such costs include advertising, payroll, initial supplies and utilities.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20" w:firstLine="589"/>
        <w:spacing w:after="0" w:line="279" w:lineRule="auto"/>
        <w:rPr>
          <w:sz w:val="20"/>
          <w:szCs w:val="20"/>
          <w:color w:val="auto"/>
        </w:rPr>
      </w:pPr>
      <w:r>
        <w:rPr>
          <w:rFonts w:ascii="Arial" w:cs="Arial" w:eastAsia="Arial" w:hAnsi="Arial"/>
          <w:sz w:val="17"/>
          <w:szCs w:val="17"/>
          <w:color w:val="auto"/>
        </w:rPr>
        <w:t>In March 2016, the Company entered into a series of five interest rate cap agreements with four counterparties totaling $1,950.0 million to limit the maximum interest rate on a portion of the Company’s variable-rate debt and limit its exposure to interest rate variability when three-month LIBOR exceeds 2.25%. The interest rate caps are accounted for as cash flow hedges, and changes in the fair value of the interest rate caps are reported as a component of AOCI. The interest rate caps were settled in accordance with their contractual terms on January 29,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left="600"/>
        <w:spacing w:after="0"/>
        <w:rPr>
          <w:sz w:val="20"/>
          <w:szCs w:val="20"/>
          <w:color w:val="auto"/>
        </w:rPr>
      </w:pPr>
      <w:r>
        <w:rPr>
          <w:rFonts w:ascii="Arial" w:cs="Arial" w:eastAsia="Arial" w:hAnsi="Arial"/>
          <w:sz w:val="18"/>
          <w:szCs w:val="18"/>
          <w:color w:val="auto"/>
        </w:rPr>
        <w:t>Refer to Note 10 for further disclosures of the Company’s derivative instruments and hedging activities.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In March 2020, the FASB issued Accounting Standards Update No. 2020-04 – Reference Rate Reform (Topic 848): Facilitation of the Effects of Reference Rate Reform on Financial Reporting, which provides optional expedients and exceptions for applying GAAP to contract modifications, hedging relationships, and other transactions 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The Company is currently evaluating the impact of this accounting standard, but does not expect a material impact on the consolidated financial statements and related disclosures.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 to the ability of the customer to direct the use of, and obtain substantially all of, the remaining benefits from the goods or services.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0"/>
              </w:rPr>
              <w:t>Fiscal years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January 29,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January 30,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r>
      <w:tr>
        <w:trPr>
          <w:trHeight w:val="171"/>
        </w:trPr>
        <w:tc>
          <w:tcPr>
            <w:tcW w:w="4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55"/>
        </w:trPr>
        <w:tc>
          <w:tcPr>
            <w:tcW w:w="4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78"/>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18"/>
              <w:spacing w:after="0" w:line="155" w:lineRule="exact"/>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98"/>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2,533,755</w:t>
            </w:r>
          </w:p>
        </w:tc>
        <w:tc>
          <w:tcPr>
            <w:tcW w:w="4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2,123,499</w:t>
            </w:r>
          </w:p>
        </w:tc>
        <w:tc>
          <w:tcPr>
            <w:tcW w:w="2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2,054,280</w:t>
            </w:r>
          </w:p>
        </w:tc>
        <w:tc>
          <w:tcPr>
            <w:tcW w:w="100" w:type="dxa"/>
            <w:vAlign w:val="bottom"/>
            <w:shd w:val="clear" w:color="auto" w:fill="CFF0FC"/>
          </w:tcPr>
          <w:p>
            <w:pPr>
              <w:spacing w:after="0"/>
              <w:rPr>
                <w:sz w:val="19"/>
                <w:szCs w:val="19"/>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2,603,104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2,328,663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1,938,904</w:t>
            </w:r>
          </w:p>
        </w:tc>
        <w:tc>
          <w:tcPr>
            <w:tcW w:w="100" w:type="dxa"/>
            <w:vAlign w:val="bottom"/>
          </w:tcPr>
          <w:p>
            <w:pPr>
              <w:spacing w:after="0"/>
              <w:rPr>
                <w:sz w:val="19"/>
                <w:szCs w:val="19"/>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1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670,290</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468,040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441,330</w:t>
            </w:r>
          </w:p>
        </w:tc>
        <w:tc>
          <w:tcPr>
            <w:tcW w:w="100" w:type="dxa"/>
            <w:vAlign w:val="bottom"/>
            <w:shd w:val="clear" w:color="auto" w:fill="CFF0FC"/>
          </w:tcPr>
          <w:p>
            <w:pPr>
              <w:spacing w:after="0"/>
              <w:rPr>
                <w:sz w:val="19"/>
                <w:szCs w:val="19"/>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Net sales</w:t>
            </w:r>
          </w:p>
        </w:tc>
        <w:tc>
          <w:tcPr>
            <w:tcW w:w="17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5,807,149</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4,920,202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4,434,514</w:t>
            </w:r>
          </w:p>
        </w:tc>
        <w:tc>
          <w:tcPr>
            <w:tcW w:w="10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w:t>
      </w:r>
    </w:p>
    <w:p>
      <w:pPr>
        <w:spacing w:after="0" w:line="184"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Revenue from product sales and services is reported net of sales refunds, which includes an estimate of future returns based on historical refund rates, with a corresponding reduction to cost of sales. The Company records a refund liability for sales returns, which is included in accrued expenses and other liabilities, and a corresponding asset for anticipated cost recoveries, which is included in other current assets. There is inherent judgment in estimating future refunds as they are susceptible to factors outside of the Company’s influence. The Company has significant experience in estimating the amount of refunds based primarily on historical data.</w:t>
      </w:r>
    </w:p>
    <w:p>
      <w:pPr>
        <w:spacing w:after="0" w:line="188" w:lineRule="exact"/>
        <w:rPr>
          <w:sz w:val="20"/>
          <w:szCs w:val="20"/>
          <w:color w:val="auto"/>
        </w:rPr>
      </w:pPr>
    </w:p>
    <w:p>
      <w:pPr>
        <w:ind w:right="260" w:firstLine="589"/>
        <w:spacing w:after="0" w:line="277" w:lineRule="auto"/>
        <w:rPr>
          <w:sz w:val="20"/>
          <w:szCs w:val="20"/>
          <w:color w:val="auto"/>
        </w:rPr>
      </w:pPr>
      <w:r>
        <w:rPr>
          <w:rFonts w:ascii="Arial" w:cs="Arial" w:eastAsia="Arial" w:hAnsi="Arial"/>
          <w:sz w:val="18"/>
          <w:szCs w:val="18"/>
          <w:color w:val="auto"/>
        </w:rPr>
        <w:t>Revenue is recognized net of applicable sales tax in the consolidated statements of operations. Sales tax liability is included in accrued expenses and other liabilities in the consolidated balance sheets.</w:t>
      </w:r>
    </w:p>
    <w:p>
      <w:pPr>
        <w:spacing w:after="0" w:line="170" w:lineRule="exact"/>
        <w:rPr>
          <w:sz w:val="20"/>
          <w:szCs w:val="20"/>
          <w:color w:val="auto"/>
        </w:rPr>
      </w:pPr>
    </w:p>
    <w:p>
      <w:pPr>
        <w:ind w:right="160" w:firstLine="589"/>
        <w:spacing w:after="0" w:line="269" w:lineRule="auto"/>
        <w:rPr>
          <w:sz w:val="20"/>
          <w:szCs w:val="20"/>
          <w:color w:val="auto"/>
        </w:rPr>
      </w:pPr>
      <w:r>
        <w:rPr>
          <w:rFonts w:ascii="Arial" w:cs="Arial" w:eastAsia="Arial" w:hAnsi="Arial"/>
          <w:sz w:val="18"/>
          <w:szCs w:val="18"/>
          <w:color w:val="auto"/>
        </w:rPr>
        <w:t>The Company’s contract liabilities primarily relate to product merchandise not yet delivered to customers, unredeemed gift cards, services not yet completed, and options that provide a material right to customers, such as its customer loyalty program. Substantially all of the Company’s remaining performance obligations have an original expected duration of one year or less. The Company did not have any material contract assets as of January 29, 2022 and January 30, 2021.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Product revenue is recognized when control passes, which generally occurs at a point in time when the customer completes a transaction in a pet care center and receives the merchandise. The Company’s payment terms are typically at the point of sale.</w:t>
      </w:r>
    </w:p>
    <w:p>
      <w:pPr>
        <w:spacing w:after="0" w:line="170" w:lineRule="exact"/>
        <w:rPr>
          <w:sz w:val="20"/>
          <w:szCs w:val="20"/>
          <w:color w:val="auto"/>
        </w:rPr>
      </w:pPr>
    </w:p>
    <w:p>
      <w:pPr>
        <w:ind w:right="40" w:firstLine="589"/>
        <w:spacing w:after="0" w:line="293" w:lineRule="auto"/>
        <w:rPr>
          <w:sz w:val="20"/>
          <w:szCs w:val="20"/>
          <w:color w:val="auto"/>
        </w:rPr>
      </w:pPr>
      <w:r>
        <w:rPr>
          <w:rFonts w:ascii="Arial" w:cs="Arial" w:eastAsia="Arial" w:hAnsi="Arial"/>
          <w:sz w:val="16"/>
          <w:szCs w:val="16"/>
          <w:color w:val="auto"/>
        </w:rPr>
        <w:t>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 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jc w:val="both"/>
        <w:ind w:right="120" w:firstLine="589"/>
        <w:spacing w:after="0" w:line="311" w:lineRule="auto"/>
        <w:rPr>
          <w:sz w:val="20"/>
          <w:szCs w:val="20"/>
          <w:color w:val="auto"/>
        </w:rPr>
      </w:pPr>
      <w:r>
        <w:rPr>
          <w:rFonts w:ascii="Arial" w:cs="Arial" w:eastAsia="Arial" w:hAnsi="Arial"/>
          <w:sz w:val="16"/>
          <w:szCs w:val="16"/>
          <w:color w:val="auto"/>
        </w:rPr>
        <w:t>The Company recognizes service revenue from pet grooming, veterinary care, and certain other in-store services once the service is completed, as this is when the customer has the ability to direct the use of and obtain the benefits of the service. Payment terms are typically at the point of sale, but may also occur upon completion of the service. The Company’s service contracts are primarily with retail and veterinary customers.</w:t>
      </w:r>
    </w:p>
    <w:p>
      <w:pPr>
        <w:spacing w:after="0" w:line="149" w:lineRule="exact"/>
        <w:rPr>
          <w:sz w:val="20"/>
          <w:szCs w:val="20"/>
          <w:color w:val="auto"/>
        </w:rPr>
      </w:pPr>
    </w:p>
    <w:p>
      <w:pPr>
        <w:jc w:val="both"/>
        <w:ind w:right="40" w:firstLine="589"/>
        <w:spacing w:after="0" w:line="277" w:lineRule="auto"/>
        <w:rPr>
          <w:sz w:val="20"/>
          <w:szCs w:val="20"/>
          <w:color w:val="auto"/>
        </w:rPr>
      </w:pPr>
      <w:r>
        <w:rPr>
          <w:rFonts w:ascii="Arial" w:cs="Arial" w:eastAsia="Arial" w:hAnsi="Arial"/>
          <w:sz w:val="18"/>
          <w:szCs w:val="18"/>
          <w:color w:val="auto"/>
        </w:rPr>
        <w:t>The Company recognizes service revenue from dog training ratably over the life of the contract, as this pattern best depicts when customers use the services provided and, accordingly, when delivery of the performance obligation occurs.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Gift Cards</w:t>
      </w:r>
    </w:p>
    <w:p>
      <w:pPr>
        <w:spacing w:after="0" w:line="117" w:lineRule="exact"/>
        <w:rPr>
          <w:sz w:val="20"/>
          <w:szCs w:val="20"/>
          <w:color w:val="auto"/>
        </w:rPr>
      </w:pPr>
    </w:p>
    <w:p>
      <w:pPr>
        <w:jc w:val="both"/>
        <w:ind w:right="40" w:firstLine="589"/>
        <w:spacing w:after="0" w:line="301" w:lineRule="auto"/>
        <w:rPr>
          <w:sz w:val="20"/>
          <w:szCs w:val="20"/>
          <w:color w:val="auto"/>
        </w:rPr>
      </w:pPr>
      <w:r>
        <w:rPr>
          <w:rFonts w:ascii="Arial" w:cs="Arial" w:eastAsia="Arial" w:hAnsi="Arial"/>
          <w:sz w:val="16"/>
          <w:szCs w:val="16"/>
          <w:color w:val="auto"/>
        </w:rPr>
        <w:t>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Incentives and Customer Loyalty Program</w:t>
      </w:r>
    </w:p>
    <w:p>
      <w:pPr>
        <w:spacing w:after="0" w:line="117"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The Company has a customer loyalty program that allows members to earn points for each qualifying purchase. Points earned enable members to receive a certificate that may be redeemed on future purchases generally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The Company’s contract liabilities for its customer loyalty program were not material as of January 29, 2022 and January 30, 2021.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w:t>
      </w:r>
    </w:p>
    <w:p>
      <w:pPr>
        <w:spacing w:after="0" w:line="178" w:lineRule="exact"/>
        <w:rPr>
          <w:sz w:val="20"/>
          <w:szCs w:val="20"/>
          <w:color w:val="auto"/>
        </w:rPr>
      </w:pPr>
    </w:p>
    <w:p>
      <w:pPr>
        <w:jc w:val="both"/>
        <w:ind w:right="320" w:firstLine="589"/>
        <w:spacing w:after="0" w:line="301" w:lineRule="auto"/>
        <w:rPr>
          <w:sz w:val="20"/>
          <w:szCs w:val="20"/>
          <w:color w:val="auto"/>
        </w:rPr>
      </w:pPr>
      <w:r>
        <w:rPr>
          <w:rFonts w:ascii="Arial" w:cs="Arial" w:eastAsia="Arial" w:hAnsi="Arial"/>
          <w:sz w:val="16"/>
          <w:szCs w:val="16"/>
          <w:color w:val="auto"/>
        </w:rPr>
        <w:t>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Sale-Leaseback Transaction</w:t>
      </w:r>
    </w:p>
    <w:p>
      <w:pPr>
        <w:spacing w:after="0" w:line="121" w:lineRule="exact"/>
        <w:rPr>
          <w:sz w:val="20"/>
          <w:szCs w:val="20"/>
          <w:color w:val="auto"/>
        </w:rPr>
      </w:pPr>
    </w:p>
    <w:p>
      <w:pPr>
        <w:ind w:right="300" w:firstLine="589"/>
        <w:spacing w:after="0" w:line="263" w:lineRule="auto"/>
        <w:rPr>
          <w:sz w:val="20"/>
          <w:szCs w:val="20"/>
          <w:color w:val="auto"/>
        </w:rPr>
      </w:pPr>
      <w:r>
        <w:rPr>
          <w:rFonts w:ascii="Arial" w:cs="Arial" w:eastAsia="Arial" w:hAnsi="Arial"/>
          <w:sz w:val="18"/>
          <w:szCs w:val="18"/>
          <w:color w:val="auto"/>
        </w:rPr>
        <w:t>In January 2020, the Company sold and leased back its San Antonio, Texas corporate support center for $19.0 million with net cash proceeds of $18.5 million. The transaction qualified for sale-leaseback accounting, in which the Company recognized the sale, resulting in an initial gain of $3.1 million, which is reflected as a reduction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auto"/>
        </w:rPr>
        <w:t>of selling, general, and administrative expenses. The lease has been classified as an operating lease and contains a 10 year initial term plus renewal options.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Acquisitions</w:t>
      </w:r>
    </w:p>
    <w:p>
      <w:pPr>
        <w:spacing w:after="0" w:line="121"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During fiscal 2021 and 2019, the Company completed acquisitions of small, regional veterinary businesses for total consideration of approximately $5.5 million and $3.0 million, respectively. Noncash consideration was not material. Net tangible and identifiable intangible assets acquired and liabilities assumed were not material. The acquisitions resulted in the recognition of $4.7 million and $3.0 million of goodwill, respectively. The tax-deductible portion of goodwill in these acquisitions was $2.4 million and $3.0 million, respectively.</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 forma results of operations for the acquisitions have not been presented because they are not material to the consolidated results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Composition of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38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772,454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648,072</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623,201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538,841</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329,823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280,948</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Buildings and related improvements</w:t>
            </w: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16,959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16,872</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7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1,745,691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1,487,987</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(1,018,769)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(860,440)</w:t>
            </w:r>
          </w:p>
        </w:tc>
      </w:tr>
      <w:tr>
        <w:trPr>
          <w:trHeight w:val="223"/>
        </w:trPr>
        <w:tc>
          <w:tcPr>
            <w:tcW w:w="4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627,547</w:t>
            </w:r>
          </w:p>
        </w:tc>
        <w:tc>
          <w:tcPr>
            <w:tcW w:w="10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The Company’s depreciation and amortization expense for fixed assets, net was $171.1 million, $174.0 million, and $172.5 million for fiscal 2021, 2020 and 2019, respectively.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Salaries and Employee Benefits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salaries and employee benefits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296"/>
              <w:spacing w:after="0"/>
              <w:rPr>
                <w:sz w:val="20"/>
                <w:szCs w:val="20"/>
                <w:color w:val="auto"/>
              </w:rPr>
            </w:pPr>
            <w:r>
              <w:rPr>
                <w:rFonts w:ascii="Arial" w:cs="Arial" w:eastAsia="Arial" w:hAnsi="Arial"/>
                <w:sz w:val="14"/>
                <w:szCs w:val="14"/>
                <w:b w:val="1"/>
                <w:bCs w:val="1"/>
                <w:color w:val="auto"/>
              </w:rPr>
              <w:t>January 29,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40" w:type="dxa"/>
            <w:vAlign w:val="bottom"/>
            <w:tcBorders>
              <w:bottom w:val="single" w:sz="8" w:color="CFF0FC"/>
            </w:tcBorders>
          </w:tcPr>
          <w:p>
            <w:pPr>
              <w:spacing w:after="0"/>
              <w:rPr>
                <w:sz w:val="14"/>
                <w:szCs w:val="14"/>
                <w:color w:val="auto"/>
              </w:rPr>
            </w:pPr>
          </w:p>
        </w:tc>
        <w:tc>
          <w:tcPr>
            <w:tcW w:w="25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taxes</w:t>
            </w:r>
          </w:p>
        </w:tc>
        <w:tc>
          <w:tcPr>
            <w:tcW w:w="25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110,347</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Self-insurance reserves</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23,699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21,834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Accrued paid time-off</w:t>
            </w:r>
          </w:p>
        </w:tc>
        <w:tc>
          <w:tcPr>
            <w:tcW w:w="25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16,584</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150,630</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00" w:type="dxa"/>
            <w:vAlign w:val="bottom"/>
            <w:vMerge w:val="restart"/>
          </w:tcPr>
          <w:p>
            <w:pPr>
              <w:jc w:val="right"/>
              <w:ind w:right="1470"/>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January 29,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2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expenditures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Accrued real estate taxes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Sales taxes payable</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advertising</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liabilities</w:t>
            </w:r>
          </w:p>
        </w:tc>
        <w:tc>
          <w:tcPr>
            <w:tcW w:w="9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210,872</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4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gridSpan w:val="2"/>
          </w:tcPr>
          <w:p>
            <w:pPr>
              <w:ind w:left="60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January 29,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260" w:type="dxa"/>
            <w:vAlign w:val="bottom"/>
            <w:tcBorders>
              <w:bottom w:val="single" w:sz="8" w:color="CFF0FC"/>
            </w:tcBorders>
          </w:tcPr>
          <w:p>
            <w:pPr>
              <w:spacing w:after="0"/>
              <w:rPr>
                <w:sz w:val="14"/>
                <w:szCs w:val="14"/>
                <w:color w:val="auto"/>
              </w:rPr>
            </w:pPr>
          </w:p>
        </w:tc>
        <w:tc>
          <w:tcPr>
            <w:tcW w:w="9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Self-insurance reserves</w:t>
            </w: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56,486</w:t>
            </w:r>
          </w:p>
        </w:tc>
        <w:tc>
          <w:tcPr>
            <w:tcW w:w="22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Finance leases</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9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134,105</w:t>
            </w:r>
          </w:p>
        </w:tc>
        <w:tc>
          <w:tcPr>
            <w:tcW w:w="220" w:type="dxa"/>
            <w:vAlign w:val="bottom"/>
            <w:gridSpan w:val="2"/>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Lease assets and liabilities are reflected in the Company’s consolidated balance sheets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4"/>
                <w:szCs w:val="14"/>
                <w:color w:val="auto"/>
              </w:rPr>
            </w:pP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71"/>
        </w:trPr>
        <w:tc>
          <w:tcPr>
            <w:tcW w:w="26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location</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4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1,338,465</w:t>
            </w:r>
          </w:p>
        </w:tc>
        <w:tc>
          <w:tcPr>
            <w:tcW w:w="1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1,328,108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leases</w:t>
            </w:r>
          </w:p>
        </w:tc>
        <w:tc>
          <w:tcPr>
            <w:tcW w:w="49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Fixed assets, net(1)</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assets</w:t>
            </w:r>
          </w:p>
        </w:tc>
        <w:tc>
          <w:tcPr>
            <w:tcW w:w="180" w:type="dxa"/>
            <w:vAlign w:val="bottom"/>
            <w:tcBorders>
              <w:bottom w:val="single" w:sz="8" w:color="CFF0FC"/>
            </w:tcBorders>
          </w:tcPr>
          <w:p>
            <w:pPr>
              <w:spacing w:after="0"/>
              <w:rPr>
                <w:sz w:val="22"/>
                <w:szCs w:val="22"/>
                <w:color w:val="auto"/>
              </w:rPr>
            </w:pPr>
          </w:p>
        </w:tc>
        <w:tc>
          <w:tcPr>
            <w:tcW w:w="476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1,362,965</w:t>
            </w:r>
          </w:p>
        </w:tc>
        <w:tc>
          <w:tcPr>
            <w:tcW w:w="12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1,337,458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8"/>
                <w:szCs w:val="18"/>
                <w:color w:val="auto"/>
              </w:rPr>
            </w:pPr>
          </w:p>
        </w:tc>
        <w:tc>
          <w:tcPr>
            <w:tcW w:w="4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49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265,897</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258,289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 and other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FF0FC"/>
          </w:tcPr>
          <w:p>
            <w:pPr>
              <w:spacing w:after="0"/>
              <w:rPr>
                <w:sz w:val="19"/>
                <w:szCs w:val="19"/>
                <w:color w:val="auto"/>
              </w:rPr>
            </w:pPr>
          </w:p>
        </w:tc>
        <w:tc>
          <w:tcPr>
            <w:tcW w:w="4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9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excluding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tcPr>
          <w:p>
            <w:pPr>
              <w:ind w:left="140"/>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1,096,133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1,083,575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leases</w:t>
            </w:r>
          </w:p>
        </w:tc>
        <w:tc>
          <w:tcPr>
            <w:tcW w:w="49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1,391,846</w:t>
            </w:r>
          </w:p>
        </w:tc>
        <w:tc>
          <w:tcPr>
            <w:tcW w:w="1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26"/>
          <w:szCs w:val="26"/>
          <w:color w:val="auto"/>
          <w:vertAlign w:val="superscript"/>
        </w:rPr>
      </w:pPr>
      <w:r>
        <w:rPr>
          <w:rFonts w:ascii="Arial" w:cs="Arial" w:eastAsia="Arial" w:hAnsi="Arial"/>
          <w:sz w:val="13"/>
          <w:szCs w:val="13"/>
          <w:color w:val="auto"/>
        </w:rPr>
        <w:t>Finance lease right-of-use assets are recorded net of accumulated amortization of $19.7 million and $17.3 million as of January 29, 2022 and January 30, 2021, respectively.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1" w:name="page82"/>
    <w:bookmarkEnd w:id="81"/>
    <w:p>
      <w:pPr>
        <w:ind w:left="600"/>
        <w:spacing w:after="0"/>
        <w:rPr>
          <w:sz w:val="20"/>
          <w:szCs w:val="20"/>
          <w:color w:val="auto"/>
        </w:rPr>
      </w:pPr>
      <w:r>
        <w:rPr>
          <w:rFonts w:ascii="Arial" w:cs="Arial" w:eastAsia="Arial" w:hAnsi="Arial"/>
          <w:sz w:val="18"/>
          <w:szCs w:val="18"/>
          <w:color w:val="auto"/>
        </w:rPr>
        <w:t>The components of total lease cost are as follows (in thousands):</w:t>
      </w:r>
    </w:p>
    <w:p>
      <w:pPr>
        <w:spacing w:after="0" w:line="298" w:lineRule="exact"/>
        <w:rPr>
          <w:sz w:val="20"/>
          <w:szCs w:val="20"/>
          <w:color w:val="auto"/>
        </w:rPr>
      </w:pPr>
    </w:p>
    <w:tbl>
      <w:tblPr>
        <w:tblLayout w:type="fixed"/>
        <w:tblInd w:w="60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9"/>
              </w:rPr>
              <w:t>Fiscal years ended</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7"/>
              </w:rPr>
              <w:t>February 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498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422,465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430,359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441,981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Finance lease cost: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lease assets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3,292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109,723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105,859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112,709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Sublease income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9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lease cost</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531,906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535,091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554,132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w w:val="95"/>
              </w:rPr>
              <w:t>Other information for the Company’s leases is as follows (in thousands):</w:t>
            </w: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9"/>
              </w:rPr>
              <w:t>Fiscal years ended</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4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4"/>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7"/>
              </w:rPr>
              <w:t>February 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498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lease liabilities:</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418,210</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399,557</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408,562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Lease assets obtained in exchange for lease liabilities: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308,166</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132,829</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133,219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19,841</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0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January 29,</w:t>
            </w:r>
          </w:p>
        </w:tc>
        <w:tc>
          <w:tcPr>
            <w:tcW w:w="12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498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5"/>
          </w:tcPr>
          <w:p>
            <w:pPr>
              <w:jc w:val="right"/>
              <w:ind w:right="500"/>
              <w:spacing w:after="0"/>
              <w:rPr>
                <w:sz w:val="20"/>
                <w:szCs w:val="20"/>
                <w:color w:val="auto"/>
              </w:rPr>
            </w:pPr>
            <w:r>
              <w:rPr>
                <w:rFonts w:ascii="Arial" w:cs="Arial" w:eastAsia="Arial" w:hAnsi="Arial"/>
                <w:sz w:val="18"/>
                <w:szCs w:val="18"/>
                <w:color w:val="auto"/>
                <w:w w:val="89"/>
              </w:rPr>
              <w:t>6.0 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5.9 years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Finance leases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5"/>
            <w:shd w:val="clear" w:color="auto" w:fill="CFF0FC"/>
          </w:tcPr>
          <w:p>
            <w:pPr>
              <w:jc w:val="right"/>
              <w:ind w:right="500"/>
              <w:spacing w:after="0"/>
              <w:rPr>
                <w:sz w:val="20"/>
                <w:szCs w:val="20"/>
                <w:color w:val="auto"/>
              </w:rPr>
            </w:pPr>
            <w:r>
              <w:rPr>
                <w:rFonts w:ascii="Arial" w:cs="Arial" w:eastAsia="Arial" w:hAnsi="Arial"/>
                <w:sz w:val="18"/>
                <w:szCs w:val="18"/>
                <w:color w:val="auto"/>
                <w:w w:val="89"/>
              </w:rPr>
              <w:t>3.6 years</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6.6 years</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January 29, 2022, the maturities of the Company’s operating and finance lease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Fiscal years</w:t>
            </w: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Operating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Finance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2022</w:t>
            </w:r>
          </w:p>
        </w:tc>
        <w:tc>
          <w:tcPr>
            <w:tcW w:w="2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2023</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344,550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17,668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2025</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225,226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367,791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1,768,681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(406,651)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(3,376)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2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1,362,030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29,816</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Less current portion</w:t>
            </w:r>
          </w:p>
        </w:tc>
        <w:tc>
          <w:tcPr>
            <w:tcW w:w="2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(265,897)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(4,764)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liabilities, excluding current portion</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1,096,133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300" w:type="dxa"/>
            <w:vAlign w:val="bottom"/>
            <w:vMerge w:val="restart"/>
          </w:tcPr>
          <w:p>
            <w:pPr>
              <w:jc w:val="right"/>
              <w:ind w:right="135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7. Goodwill</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carrying amount of the Company’s goodwill were as follows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January 29,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120" w:type="dxa"/>
            <w:vAlign w:val="bottom"/>
            <w:tcBorders>
              <w:bottom w:val="single" w:sz="8" w:color="CFF0FC"/>
            </w:tcBorders>
          </w:tcPr>
          <w:p>
            <w:pPr>
              <w:spacing w:after="0"/>
              <w:rPr>
                <w:sz w:val="14"/>
                <w:szCs w:val="14"/>
                <w:color w:val="auto"/>
              </w:rPr>
            </w:pPr>
          </w:p>
        </w:tc>
        <w:tc>
          <w:tcPr>
            <w:tcW w:w="20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2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2,987,273</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2,987,273</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impairment</w:t>
            </w:r>
          </w:p>
        </w:tc>
        <w:tc>
          <w:tcPr>
            <w:tcW w:w="2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(807,963)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(807,963)</w:t>
            </w:r>
          </w:p>
        </w:tc>
      </w:tr>
      <w:tr>
        <w:trPr>
          <w:trHeight w:val="263"/>
        </w:trPr>
        <w:tc>
          <w:tcPr>
            <w:tcW w:w="4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Goodwill, net</w:t>
            </w:r>
          </w:p>
        </w:tc>
        <w:tc>
          <w:tcPr>
            <w:tcW w:w="20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2,179,310</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2,179,310</w:t>
            </w:r>
          </w:p>
        </w:tc>
        <w:tc>
          <w:tcPr>
            <w:tcW w:w="100" w:type="dxa"/>
            <w:vAlign w:val="bottom"/>
            <w:tcBorders>
              <w:bottom w:val="single" w:sz="8" w:color="CFF0FC"/>
            </w:tcBorders>
          </w:tcPr>
          <w:p>
            <w:pPr>
              <w:spacing w:after="0"/>
              <w:rPr>
                <w:sz w:val="22"/>
                <w:szCs w:val="22"/>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Additions from acquisitions</w:t>
            </w:r>
          </w:p>
        </w:tc>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Ending balance:</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2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2,991,954</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2,987,273</w:t>
            </w:r>
          </w:p>
        </w:tc>
        <w:tc>
          <w:tcPr>
            <w:tcW w:w="100" w:type="dxa"/>
            <w:vAlign w:val="bottom"/>
            <w:shd w:val="clear" w:color="auto" w:fill="CFF0FC"/>
          </w:tcPr>
          <w:p>
            <w:pPr>
              <w:spacing w:after="0"/>
              <w:rPr>
                <w:sz w:val="19"/>
                <w:szCs w:val="19"/>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Accumulated impairment</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(807,963)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(807,963)</w:t>
            </w:r>
          </w:p>
        </w:tc>
      </w:tr>
      <w:tr>
        <w:trPr>
          <w:trHeight w:val="223"/>
        </w:trPr>
        <w:tc>
          <w:tcPr>
            <w:tcW w:w="41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Goodwill, net</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2,183,991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2,179,310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Refer to Note 11 for further discussion of the results of impairment testing performed on the Company’s goodwill.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Senior Secured Credit Facilities</w:t>
      </w:r>
    </w:p>
    <w:p>
      <w:pPr>
        <w:spacing w:after="0" w:line="121" w:lineRule="exact"/>
        <w:rPr>
          <w:sz w:val="20"/>
          <w:szCs w:val="20"/>
          <w:color w:val="auto"/>
        </w:rPr>
      </w:pPr>
    </w:p>
    <w:p>
      <w:pPr>
        <w:ind w:right="120" w:firstLine="594"/>
        <w:spacing w:after="0" w:line="257" w:lineRule="auto"/>
        <w:rPr>
          <w:sz w:val="20"/>
          <w:szCs w:val="20"/>
          <w:color w:val="auto"/>
        </w:rPr>
      </w:pPr>
      <w:r>
        <w:rPr>
          <w:rFonts w:ascii="Arial" w:cs="Arial" w:eastAsia="Arial" w:hAnsi="Arial"/>
          <w:sz w:val="18"/>
          <w:szCs w:val="18"/>
          <w:color w:val="auto"/>
        </w:rPr>
        <w:t>As of January 30, 2021, the Company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88"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Company’s obligations under the First Lien Term Loan and ABL Revolving Credit Facility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January 29, 2022, the Company was in compliance with its covenants on the agreements.</w:t>
      </w:r>
    </w:p>
    <w:p>
      <w:pPr>
        <w:spacing w:after="0" w:line="188"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The credit agreements governing the First Lien Term Loan and ABL Revolving Credit Facility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First Lien Term Loan and ABL Revolving Credit Facility accelerating the maturity of such indebtedness and foreclosing upon the collateral pledged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20" w:firstLine="594"/>
        <w:spacing w:after="0" w:line="254" w:lineRule="auto"/>
        <w:rPr>
          <w:sz w:val="20"/>
          <w:szCs w:val="20"/>
          <w:color w:val="auto"/>
        </w:rPr>
      </w:pPr>
      <w:r>
        <w:rPr>
          <w:rFonts w:ascii="Arial" w:cs="Arial" w:eastAsia="Arial" w:hAnsi="Arial"/>
          <w:sz w:val="18"/>
          <w:szCs w:val="18"/>
          <w:color w:val="auto"/>
        </w:rPr>
        <w:t>On January 19, 2021, the Company repaid $727.0 million of the Amended Term Loan Facility using a portion of the proceeds from its initial public offering, in addition to existing cash on hand. The Company accounted for the repayment as a partial extinguishment and recognized a loss on debt extinguishment of $12.6 million, which represents a portion of previously unamortized debt discount and debt issuance costs and is included in the accompanying consolidated statement of operations. The repayment was applied to the remaining principal payments in order of scheduled payment date and, as a result, no quarterly principal payments remained under the Amended Term Loan Facility, other than the remaining principal balance due at maturity. As such, the entire remaining balance was included in senior secured credit facilities, net, excluding current portion in the consolidated balance sheets as of January 30, 2021.</w:t>
      </w:r>
    </w:p>
    <w:p>
      <w:pPr>
        <w:spacing w:after="0" w:line="195"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On March 4, 2021, the Company entered into the $1,700.0 million First Lien Term Loan and repaid all outstanding principal and interest on the Amended Term Loan Facility. Interest on the First Lien Term Loan is based on,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and interest payments commenced on June 30, 2021. Principal payments are $4.25 million quarterly.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3" w:name="page84"/>
    <w:bookmarkEnd w:id="83"/>
    <w:p>
      <w:pPr>
        <w:ind w:right="20" w:firstLine="769"/>
        <w:spacing w:after="0" w:line="263" w:lineRule="auto"/>
        <w:rPr>
          <w:sz w:val="20"/>
          <w:szCs w:val="20"/>
          <w:color w:val="auto"/>
        </w:rPr>
      </w:pPr>
      <w:r>
        <w:rPr>
          <w:rFonts w:ascii="Arial" w:cs="Arial" w:eastAsia="Arial" w:hAnsi="Arial"/>
          <w:sz w:val="18"/>
          <w:szCs w:val="18"/>
          <w:color w:val="auto"/>
        </w:rPr>
        <w:t>In connection with the March 4, 2021 transaction described above, the Company recognized a loss on debt extinguishment and modification of $19.6 million on the term loan facilities, which consisted of a $6.5 million write-off of unamortized debt discount and issuance costs on the Amended Term Loan Facility and $13.1 million of third-party expenses.</w:t>
      </w:r>
    </w:p>
    <w:p>
      <w:pPr>
        <w:spacing w:after="0" w:line="184" w:lineRule="exact"/>
        <w:rPr>
          <w:sz w:val="20"/>
          <w:szCs w:val="20"/>
          <w:color w:val="auto"/>
        </w:rPr>
      </w:pPr>
    </w:p>
    <w:p>
      <w:pPr>
        <w:ind w:left="780"/>
        <w:spacing w:after="0"/>
        <w:rPr>
          <w:sz w:val="20"/>
          <w:szCs w:val="20"/>
          <w:color w:val="auto"/>
        </w:rPr>
      </w:pPr>
      <w:r>
        <w:rPr>
          <w:rFonts w:ascii="Arial" w:cs="Arial" w:eastAsia="Arial" w:hAnsi="Arial"/>
          <w:sz w:val="16"/>
          <w:szCs w:val="16"/>
          <w:color w:val="auto"/>
        </w:rPr>
        <w:t>Fees relating to the Company’s entry into the First Lien Term Loan consisted of arranger fees and other third-party expenses. Of those fees,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 million was capitalized as debt issuance costs, along with $4.3 million of original issue discount. The remaining portion of original issue discount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debt issuance costs of the Amended Term Loan Facility previously capitalized is being amortized over the contractual term of the First Lien Term Loan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using the effective interest rate in effect on the date of issuance, as these amounts represent the portion that was not substantially modified.</w:t>
      </w:r>
    </w:p>
    <w:p>
      <w:pPr>
        <w:spacing w:after="0" w:line="234" w:lineRule="exact"/>
        <w:rPr>
          <w:sz w:val="20"/>
          <w:szCs w:val="20"/>
          <w:color w:val="auto"/>
        </w:rPr>
      </w:pPr>
    </w:p>
    <w:p>
      <w:pPr>
        <w:ind w:firstLine="594"/>
        <w:spacing w:after="0" w:line="272" w:lineRule="auto"/>
        <w:rPr>
          <w:sz w:val="20"/>
          <w:szCs w:val="20"/>
          <w:color w:val="auto"/>
        </w:rPr>
      </w:pPr>
      <w:r>
        <w:rPr>
          <w:rFonts w:ascii="Arial" w:cs="Arial" w:eastAsia="Arial" w:hAnsi="Arial"/>
          <w:sz w:val="17"/>
          <w:szCs w:val="17"/>
          <w:color w:val="auto"/>
        </w:rPr>
        <w:t>As of January 29, 2022, the outstanding principal balance of the First Lien Term Loan was $1,687.3 million ($1,662.1 million, net of the unamortized discount and debt issuance costs). As of January 30, 2021, the outstanding principal balance of the Amended Term Loan Facility was $1,678.1 million ($1,649.4 million, net of the unamortized discount and debt issuance costs). The weighted average interest rate on the borrowings outstanding was 4.1% and 4.3% as of January 29, 2022 and January 30, 2021, respectively. Debt issuance costs are being amortized over the contractual term to interest expense using the effective interest rate in effect at issuance. As of January 29, 2022, the estimated fair value of the First Lien Term Loan was approximately $1,687.3 million, based upon Level 2 fair value hierarchy inputs (Note 1). As of January 30, 2021, the estimated fair value of the Amended Term Loan Facility was approximately $1,673.9 million, based upon Level 2 fair value hierarchy inputs (Note 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right="760" w:firstLine="589"/>
        <w:spacing w:after="0" w:line="308" w:lineRule="auto"/>
        <w:rPr>
          <w:sz w:val="20"/>
          <w:szCs w:val="20"/>
          <w:color w:val="auto"/>
        </w:rPr>
      </w:pPr>
      <w:r>
        <w:rPr>
          <w:rFonts w:ascii="Arial" w:cs="Arial" w:eastAsia="Arial" w:hAnsi="Arial"/>
          <w:sz w:val="17"/>
          <w:szCs w:val="17"/>
          <w:color w:val="auto"/>
        </w:rPr>
        <w:t>On March 4, 2021, the Company entered into an agreement establishing the ABL Revolving Credit Facility and terminated the Amended Revolving Credit Facility. The ABL Revolving Credit Facility has availability up to $500.0 million, subject to a borrowing base.</w:t>
      </w:r>
    </w:p>
    <w:p>
      <w:pPr>
        <w:spacing w:after="0" w:line="146" w:lineRule="exact"/>
        <w:rPr>
          <w:sz w:val="20"/>
          <w:szCs w:val="20"/>
          <w:color w:val="auto"/>
        </w:rPr>
      </w:pPr>
    </w:p>
    <w:p>
      <w:pPr>
        <w:ind w:right="60" w:firstLine="769"/>
        <w:spacing w:after="0" w:line="257" w:lineRule="auto"/>
        <w:rPr>
          <w:sz w:val="20"/>
          <w:szCs w:val="20"/>
          <w:color w:val="auto"/>
        </w:rPr>
      </w:pPr>
      <w:r>
        <w:rPr>
          <w:rFonts w:ascii="Arial" w:cs="Arial" w:eastAsia="Arial" w:hAnsi="Arial"/>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88" w:lineRule="exact"/>
        <w:rPr>
          <w:sz w:val="20"/>
          <w:szCs w:val="20"/>
          <w:color w:val="auto"/>
        </w:rPr>
      </w:pPr>
    </w:p>
    <w:p>
      <w:pPr>
        <w:ind w:right="20" w:firstLine="594"/>
        <w:spacing w:after="0" w:line="254" w:lineRule="auto"/>
        <w:rPr>
          <w:sz w:val="20"/>
          <w:szCs w:val="20"/>
          <w:color w:val="auto"/>
        </w:rPr>
      </w:pPr>
      <w:r>
        <w:rPr>
          <w:rFonts w:ascii="Arial" w:cs="Arial" w:eastAsia="Arial" w:hAnsi="Arial"/>
          <w:sz w:val="18"/>
          <w:szCs w:val="18"/>
          <w:color w:val="auto"/>
        </w:rPr>
        <w:t>As of January 29, 2022, no amounts were outstanding under the ABL Revolving Credit Facility. As of January 30, 2021, no amounts were outstanding under the Amended Revolving Credit Facility. At January 29, 2022, $438.2 million was available under the ABL Revolving Credit Facility, which is net of $61.8 million of outstanding letters of credit issued in the normal course of business and no borrowing base reduction for a shortfall in qualifying assets. Unamortized debt issuance costs of $4.7 million relating to the ABL Revolving Credit Facility were outstanding and were being amortized using the straight-line method over the remaining term of the agreement as of January 29, 2022. Unamortized debt issuance costs of $3.1 million relating to the Amended Revolving Credit Facility were outstanding and were being amortized using the straight-line method over the remaining term of the agreement as of January 30, 2021.</w:t>
      </w:r>
    </w:p>
    <w:p>
      <w:pPr>
        <w:spacing w:after="0" w:line="195" w:lineRule="exact"/>
        <w:rPr>
          <w:sz w:val="20"/>
          <w:szCs w:val="20"/>
          <w:color w:val="auto"/>
        </w:rPr>
      </w:pPr>
    </w:p>
    <w:p>
      <w:pPr>
        <w:ind w:right="60" w:firstLine="769"/>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7" w:lineRule="exact"/>
        <w:rPr>
          <w:sz w:val="20"/>
          <w:szCs w:val="20"/>
          <w:color w:val="auto"/>
        </w:rPr>
      </w:pPr>
    </w:p>
    <w:p>
      <w:pPr>
        <w:ind w:right="240" w:firstLine="769"/>
        <w:spacing w:after="0" w:line="263" w:lineRule="auto"/>
        <w:rPr>
          <w:sz w:val="20"/>
          <w:szCs w:val="20"/>
          <w:color w:val="auto"/>
        </w:rPr>
      </w:pPr>
      <w:r>
        <w:rPr>
          <w:rFonts w:ascii="Arial" w:cs="Arial" w:eastAsia="Arial" w:hAnsi="Arial"/>
          <w:sz w:val="18"/>
          <w:szCs w:val="18"/>
          <w:color w:val="auto"/>
        </w:rPr>
        <w:t>Interest on the ABL Revolving Credit Facility is based on, at the Company’s option, either the base rate or Adjusted LIBOR subject to a floor of 0%, in either case, plus an applicable margin. The applicable margin is currently equal to 25 basis points in the case of base rate loans and 125 basis points in the case of Adjusted LIBOR loans.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4" w:name="page85"/>
    <w:bookmarkEnd w:id="84"/>
    <w:p>
      <w:pPr>
        <w:ind w:firstLine="589"/>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Average Historical Excess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570039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Less than 33.3% of the Line Cap</w:t>
      </w:r>
    </w:p>
    <w:p>
      <w:pPr>
        <w:spacing w:after="0" w:line="23" w:lineRule="exact"/>
        <w:rPr>
          <w:sz w:val="20"/>
          <w:szCs w:val="20"/>
          <w:color w:val="auto"/>
        </w:rPr>
      </w:pPr>
    </w:p>
    <w:p>
      <w:pPr>
        <w:ind w:left="1280" w:right="1360" w:hanging="134"/>
        <w:spacing w:after="0" w:line="258" w:lineRule="auto"/>
        <w:rPr>
          <w:sz w:val="20"/>
          <w:szCs w:val="20"/>
          <w:color w:val="auto"/>
        </w:rPr>
      </w:pPr>
      <w:r>
        <w:rPr>
          <w:rFonts w:ascii="Arial" w:cs="Arial" w:eastAsia="Arial" w:hAnsi="Arial"/>
          <w:sz w:val="18"/>
          <w:szCs w:val="18"/>
          <w:color w:val="auto"/>
        </w:rPr>
        <w:t>Less than 66.7% but greater than or equal to 33.3% of the Line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00395" cy="14541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Greater than or equal to 66.7% of the Line Cap</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Applicable</w:t>
            </w:r>
          </w:p>
        </w:tc>
        <w:tc>
          <w:tcPr>
            <w:tcW w:w="144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Adjusted</w:t>
            </w:r>
          </w:p>
        </w:tc>
        <w:tc>
          <w:tcPr>
            <w:tcW w:w="144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LIBOR</w:t>
            </w:r>
          </w:p>
        </w:tc>
        <w:tc>
          <w:tcPr>
            <w:tcW w:w="144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71"/>
        </w:trPr>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Loans</w:t>
            </w:r>
          </w:p>
        </w:tc>
        <w:tc>
          <w:tcPr>
            <w:tcW w:w="144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24"/>
        </w:trPr>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444"/>
        </w:trPr>
        <w:tc>
          <w:tcPr>
            <w:tcW w:w="144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80" w:space="720"/>
            <w:col w:w="4140"/>
          </w:cols>
          <w:pgMar w:left="320" w:top="557" w:right="339" w:bottom="1440" w:gutter="0" w:footer="0" w:header="0"/>
          <w:type w:val="continuous"/>
        </w:sectPr>
      </w:pPr>
    </w:p>
    <w:p>
      <w:pPr>
        <w:spacing w:after="0" w:line="42" w:lineRule="exact"/>
        <w:rPr>
          <w:sz w:val="20"/>
          <w:szCs w:val="20"/>
          <w:color w:val="auto"/>
        </w:rPr>
      </w:pPr>
    </w:p>
    <w:p>
      <w:pPr>
        <w:ind w:right="820" w:firstLine="589"/>
        <w:spacing w:after="0" w:line="308"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Notes</w:t>
      </w:r>
    </w:p>
    <w:p>
      <w:pPr>
        <w:spacing w:after="0" w:line="117" w:lineRule="exact"/>
        <w:rPr>
          <w:sz w:val="20"/>
          <w:szCs w:val="20"/>
          <w:color w:val="auto"/>
        </w:rPr>
      </w:pPr>
    </w:p>
    <w:p>
      <w:pPr>
        <w:ind w:right="120" w:firstLine="589"/>
        <w:spacing w:after="0" w:line="279" w:lineRule="auto"/>
        <w:rPr>
          <w:sz w:val="20"/>
          <w:szCs w:val="20"/>
          <w:color w:val="auto"/>
        </w:rPr>
      </w:pPr>
      <w:r>
        <w:rPr>
          <w:rFonts w:ascii="Arial" w:cs="Arial" w:eastAsia="Arial" w:hAnsi="Arial"/>
          <w:sz w:val="17"/>
          <w:szCs w:val="17"/>
          <w:color w:val="auto"/>
        </w:rPr>
        <w:t>On January 26, 2016, the Company issued unsecured senior notes maturing on January 26, 2024 in a private offering (the “Floating Rate Senior Notes”). Debt issuance costs of $26.2 million related to the Floating Rate Senior Notes were being amortized over the contractual term to interest expense using the effective interest rate in effect at issuance. The Floating Rate Senior Notes bear interest at a floating rate equal to three-month LIBOR, subject to a 1.00% floor, plus 8.0% per annum (the “Applicable Margin”) payable quarterly in arrears.</w:t>
      </w:r>
    </w:p>
    <w:p>
      <w:pPr>
        <w:spacing w:after="0" w:line="171" w:lineRule="exact"/>
        <w:rPr>
          <w:sz w:val="20"/>
          <w:szCs w:val="20"/>
          <w:color w:val="auto"/>
        </w:rPr>
      </w:pPr>
    </w:p>
    <w:p>
      <w:pPr>
        <w:ind w:right="100" w:firstLine="589"/>
        <w:spacing w:after="0" w:line="259" w:lineRule="auto"/>
        <w:rPr>
          <w:sz w:val="20"/>
          <w:szCs w:val="20"/>
          <w:color w:val="auto"/>
        </w:rPr>
      </w:pPr>
      <w:r>
        <w:rPr>
          <w:rFonts w:ascii="Arial" w:cs="Arial" w:eastAsia="Arial" w:hAnsi="Arial"/>
          <w:sz w:val="18"/>
          <w:szCs w:val="18"/>
          <w:color w:val="auto"/>
        </w:rPr>
        <w:t>At February 1, 2020, the outstanding principal balance of the Floating Rate Senior Notes was $750.0 million and the carrying amount was $734.4 million, net of the unamortized debt issuance costs. The weighted average interest rate on the borrowings outstanding was 9.9% as of February 1, 2020. At February 1, 2020 the estimated fair value of the Floating Rate Senior Notes was approximately $701.7 million, based upon Level 2 fair value hierarchy inputs (Note 1) and the expected timing of repayment or settlement as of the reporting date.</w:t>
      </w:r>
    </w:p>
    <w:p>
      <w:pPr>
        <w:spacing w:after="0" w:line="187" w:lineRule="exact"/>
        <w:rPr>
          <w:sz w:val="20"/>
          <w:szCs w:val="20"/>
          <w:color w:val="auto"/>
        </w:rPr>
      </w:pPr>
    </w:p>
    <w:p>
      <w:pPr>
        <w:ind w:right="160" w:firstLine="589"/>
        <w:spacing w:after="0" w:line="257" w:lineRule="auto"/>
        <w:rPr>
          <w:sz w:val="20"/>
          <w:szCs w:val="20"/>
          <w:color w:val="auto"/>
        </w:rPr>
      </w:pPr>
      <w:r>
        <w:rPr>
          <w:rFonts w:ascii="Arial" w:cs="Arial" w:eastAsia="Arial" w:hAnsi="Arial"/>
          <w:sz w:val="18"/>
          <w:szCs w:val="18"/>
          <w:color w:val="auto"/>
        </w:rPr>
        <w:t>In January 2021, the holders of the outstanding Floating Rate Senior Notes exchanged $450.0 million of the aggregate principal amount of the Floating Rate Senior Notes for a new series of notes with a principal amount of $450.0 million issued by Scooby Aggregator, LP. Scooby Aggregator, LP, as the new holder of $450.0 million of Floating Rate Senior Notes, contributed the principal balance to the Company. This contribution, offset by approximately $7.4 million of unamortized deferred financing costs associated with the principal balance contributed, was recorded as an adjustment to additional paid-in capital.</w:t>
      </w:r>
    </w:p>
    <w:p>
      <w:pPr>
        <w:spacing w:after="0" w:line="188" w:lineRule="exact"/>
        <w:rPr>
          <w:sz w:val="20"/>
          <w:szCs w:val="20"/>
          <w:color w:val="auto"/>
        </w:rPr>
      </w:pPr>
    </w:p>
    <w:p>
      <w:pPr>
        <w:jc w:val="both"/>
        <w:ind w:right="120" w:firstLine="589"/>
        <w:spacing w:after="0" w:line="259" w:lineRule="auto"/>
        <w:rPr>
          <w:sz w:val="20"/>
          <w:szCs w:val="20"/>
          <w:color w:val="auto"/>
        </w:rPr>
      </w:pPr>
      <w:r>
        <w:rPr>
          <w:rFonts w:ascii="Arial" w:cs="Arial" w:eastAsia="Arial" w:hAnsi="Arial"/>
          <w:sz w:val="18"/>
          <w:szCs w:val="18"/>
          <w:color w:val="auto"/>
        </w:rPr>
        <w:t>On January 19, 2021, the Company repaid the remaining $300.0 million principal balance of the Floating Rate Senior Notes using a portion of the proceeds from its initial public offering, in addition to existing cash on hand. The Company accounted for the repayment as an extinguishment of debt and recognized a loss on debt extinguishment of $4.9 million, which represents a write-off of the remaining unamortized debt issuance costs and is included in the accompanying consolidated statement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On January 26, 2016, the Company issued senior unsecured notes maturing on January 25, 2019 in a private offering to its members. Interest on the notes was originally 0.75% per annum, payable semi-annually either in cash or by means of capitalizing such interest and adding it to the then outstanding principal amount of the notes.</w:t>
      </w:r>
    </w:p>
    <w:p>
      <w:pPr>
        <w:spacing w:after="0" w:line="18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On April 6, 2019, the Company amended the notes to extend their maturity to July 25, 2019. Interest under these notes (the “3.00% Senior Notes”) was 3.00% per annum, payable upon maturity. On July 25, 2019, February 3, 2020, and September 28, 2020, the Company further amended the notes to extend their maturity to January 25, 2020, January 25, 2021, and January 25, 2023, respectively.</w:t>
      </w:r>
    </w:p>
    <w:p>
      <w:pPr>
        <w:spacing w:after="0" w:line="18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At February 1, 2020, the outstanding principal balance of the 3.00% Senior Notes was $131.7 million. At February 1, 2020, the estimated fair value of the 3.00% Senior Notes was approximately $121.4 million, based upon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85" w:name="page86"/>
    <w:bookmarkEnd w:id="85"/>
    <w:p>
      <w:pPr>
        <w:ind w:right="400"/>
        <w:spacing w:after="0" w:line="263" w:lineRule="auto"/>
        <w:rPr>
          <w:sz w:val="20"/>
          <w:szCs w:val="20"/>
          <w:color w:val="auto"/>
        </w:rPr>
      </w:pPr>
      <w:r>
        <w:rPr>
          <w:rFonts w:ascii="Arial" w:cs="Arial" w:eastAsia="Arial" w:hAnsi="Arial"/>
          <w:sz w:val="18"/>
          <w:szCs w:val="18"/>
          <w:color w:val="auto"/>
        </w:rPr>
        <w:t>debt yields and the redemption option, which are considered Level 2 fair value hierarchy inputs (Note 1), and the expected timing of repayment or settlement as of the reporting date. The borrowings were classified as long-term obligations due to the Company’s intent and ability to refinance these obligations on a long-term basis.</w:t>
      </w:r>
    </w:p>
    <w:p>
      <w:pPr>
        <w:spacing w:after="0" w:line="184" w:lineRule="exact"/>
        <w:rPr>
          <w:sz w:val="20"/>
          <w:szCs w:val="20"/>
          <w:color w:val="auto"/>
        </w:rPr>
      </w:pPr>
    </w:p>
    <w:p>
      <w:pPr>
        <w:ind w:right="380" w:firstLine="589"/>
        <w:spacing w:after="0" w:line="263" w:lineRule="auto"/>
        <w:rPr>
          <w:sz w:val="20"/>
          <w:szCs w:val="20"/>
          <w:color w:val="auto"/>
        </w:rPr>
      </w:pPr>
      <w:r>
        <w:rPr>
          <w:rFonts w:ascii="Arial" w:cs="Arial" w:eastAsia="Arial" w:hAnsi="Arial"/>
          <w:sz w:val="18"/>
          <w:szCs w:val="18"/>
          <w:color w:val="auto"/>
        </w:rPr>
        <w:t>On January 19, 2021, the Company repaid $4.0 million of the principal balance of the 3.00% Senior Notes. The remaining $127.7 million of principal and $3.6 million of accrued interest was then contributed to the Company in connection with its initial public offering. This contribution was recorded as an adjustment to additional paid-in-capital.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March 2016, the Company entered into a series of five interest rate cap agreements with four counterparties with a total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$1,950.0 million to limit the maximum interest rate on a portion of the Company’s variable-rate debt and limit its exposure to interest rate variability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three-month LIBOR exceeds 2.25%.</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interest rate caps expired and were settled in accordance with their contractual terms on January 29, 2021.</w:t>
      </w:r>
    </w:p>
    <w:p>
      <w:pPr>
        <w:spacing w:after="0" w:line="225"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The interest rate caps were accounted for as cash flow hedges because the interest rate caps were expected to be highly effective in hedging variable rate interest payments. Changes in the fair value of the interest rate caps were reported as a component of AOCI. There were no amounts remaining in AOCI relating to the interest rate caps as of January 29, 2022 and January 30, 2021. Approximately $10.8 million and $2.8 million of pre-tax losses deferred in AOCI were reclassified to interest expense during fiscal 2020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140" w:firstLine="589"/>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January 29, 2022</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55"/>
        </w:trPr>
        <w:tc>
          <w:tcPr>
            <w:tcW w:w="430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Money market mutual funds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167,277</w:t>
            </w:r>
          </w:p>
        </w:tc>
        <w:tc>
          <w:tcPr>
            <w:tcW w:w="8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of officers' life insurance</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29"/>
        </w:trPr>
        <w:tc>
          <w:tcPr>
            <w:tcW w:w="4300" w:type="dxa"/>
            <w:vAlign w:val="bottom"/>
          </w:tcPr>
          <w:p>
            <w:pPr>
              <w:ind w:left="240"/>
              <w:spacing w:after="0"/>
              <w:rPr>
                <w:sz w:val="20"/>
                <w:szCs w:val="20"/>
                <w:color w:val="auto"/>
              </w:rPr>
            </w:pPr>
            <w:r>
              <w:rPr>
                <w:rFonts w:ascii="Arial" w:cs="Arial" w:eastAsia="Arial" w:hAnsi="Arial"/>
                <w:sz w:val="18"/>
                <w:szCs w:val="18"/>
                <w:color w:val="auto"/>
              </w:rPr>
              <w:t>Non-qualified deferred compensation plan</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(17,453)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 in Rover Group, Inc.</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32,819</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473"/>
        </w:trPr>
        <w:tc>
          <w:tcPr>
            <w:tcW w:w="4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January 30, 2021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4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10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Money market mutual funds</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63,798</w:t>
            </w:r>
          </w:p>
        </w:tc>
        <w:tc>
          <w:tcPr>
            <w:tcW w:w="80" w:type="dxa"/>
            <w:vAlign w:val="bottom"/>
          </w:tcPr>
          <w:p>
            <w:pPr>
              <w:spacing w:after="0"/>
              <w:rPr>
                <w:sz w:val="19"/>
                <w:szCs w:val="19"/>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of officers' life insurance</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Non-qualified deferred compensation plan</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(15,526)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$158.0 million and $56.0 million as of January 29, 2022 and January 30, 2021, respectively. Also included in the Company’s money market mutual funds balances were $9.3 million and $7.8 million as of January 29, 2022 and January 30, 2021, respectively, which relate to the Company’s restricted cash, and are included in other current assets in the consolidated balance sheets.</w:t>
      </w:r>
    </w:p>
    <w:p>
      <w:pPr>
        <w:spacing w:after="0" w:line="188"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4"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The Company previously held an equity investment, in the form of multiple series of preferred stock, in A Place for Rover, Inc., an online marketplace for pet care, which was historically accounted for as an equity security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6" w:name="page87"/>
    <w:bookmarkEnd w:id="86"/>
    <w:p>
      <w:pPr>
        <w:spacing w:after="0" w:line="272" w:lineRule="auto"/>
        <w:rPr>
          <w:sz w:val="20"/>
          <w:szCs w:val="20"/>
          <w:color w:val="auto"/>
        </w:rPr>
      </w:pPr>
      <w:r>
        <w:rPr>
          <w:rFonts w:ascii="Arial" w:cs="Arial" w:eastAsia="Arial" w:hAnsi="Arial"/>
          <w:sz w:val="17"/>
          <w:szCs w:val="17"/>
          <w:color w:val="auto"/>
        </w:rPr>
        <w:t>without a readily determinable fair value. In July 2021, A Place for Rover, Inc. completed a business combination with Nebula Caravel Acquisition Corp., a publicly-traded special purpose acquisition company. The combined entity was renamed to Rover Group, Inc. (“Rover”), and the Company’s equity investment was converted into shares of Rover Class A common stock. In September 2021, the Company received additional shares of Rover Class A common stock in accordance with certain earnout provisions from the July 2021 business combination. The Company now remeasures the fair value of its investment on a quarterly basis, and the resulting gains or losses are included in other non-operating income in the consolidated statements of operations. On November 23, 2021, the Company completed the sale of approximately 11% of its Rover Class A common stock for net proceeds of $6.1 million in cash as part of its participation in an underwritten secondary offering by certain Rover shareholders.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6" w:lineRule="exact"/>
        <w:rPr>
          <w:sz w:val="20"/>
          <w:szCs w:val="20"/>
          <w:color w:val="auto"/>
        </w:rPr>
      </w:pPr>
    </w:p>
    <w:p>
      <w:pPr>
        <w:ind w:right="60" w:firstLine="589"/>
        <w:spacing w:after="0" w:line="259" w:lineRule="auto"/>
        <w:rPr>
          <w:sz w:val="20"/>
          <w:szCs w:val="20"/>
          <w:color w:val="auto"/>
        </w:rPr>
      </w:pPr>
      <w:r>
        <w:rPr>
          <w:rFonts w:ascii="Arial" w:cs="Arial" w:eastAsia="Arial" w:hAnsi="Arial"/>
          <w:sz w:val="18"/>
          <w:szCs w:val="18"/>
          <w:color w:val="auto"/>
        </w:rPr>
        <w:t>In fiscal 2021 and 2020, the Company determined that the fair value of its reporting unit was greater than its carrying amount, and therefore no goodwill impairment charge was recorded (Note 7). In fiscal 2021 and 2020, the Company determined that the fair value of its trade name was greater than its carrying amount, and therefore no tradename impairment charge was recorded. There were no indications of impairment of the Company’s other intangible assets or equity and other investments in fiscal 2021 and 2020.</w:t>
      </w:r>
    </w:p>
    <w:p>
      <w:pPr>
        <w:spacing w:after="0" w:line="187"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In fiscal 2019, the Company determined that the fair value of its reporting unit was greater than its carrying amount, and therefore no goodwill impairment charge was recorded. In fiscal 2019, the Company determined that the carrying amount of its trade name exceeded its fair value, resulting in a trade name impairment charge of $19.0 million. The Company recorded impairment charges of $0.7 million on other intangible assets and $3.2 million on its other cost method investments in fiscal 2019. The related losses are included in selling, general, and administrative expenses in the accompanying consolidated statements of operations. There were no other indications of impairment of the Company’s other intangible assets or equity and cost method investments in fiscal 2019.</w:t>
      </w:r>
    </w:p>
    <w:p>
      <w:pPr>
        <w:spacing w:after="0" w:line="192"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 Company recorded fixed asset and right-of-use asset impairment charges of $10.4 million, $14.5 million $13.0 million in fiscal years 2021, 2020, and 2019, respectively. Impairment charges are primarily related to pet care center locations and are recorded in selling, general and administrative expense in the accompanying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2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The Company has employee savings plans that permits eligible participants to make contributions by salary reduction pursuant to either section 401(k) of the Internal Revenue Code or under the Company’s non-qualified deferred compensation plan.</w:t>
      </w:r>
    </w:p>
    <w:p>
      <w:pPr>
        <w:spacing w:after="0" w:line="170"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The Company generally matches 100% of the first 1% plus 50% of the next 5% of compensation contributed by each participating employee to the 401(k) plan. For eligible participants that hold positions as director and above, the Company matches, at its discretion, 100% of the first 1% plus 50% of the next 2% of compensation that is contributed by each participating employee to the plan. The Company match is subject to a 3-year vesting schedule. Employees are required to complete six months of service with the Company to participate in the plan.</w:t>
      </w:r>
    </w:p>
    <w:p>
      <w:pPr>
        <w:spacing w:after="0" w:line="171" w:lineRule="exact"/>
        <w:rPr>
          <w:sz w:val="20"/>
          <w:szCs w:val="20"/>
          <w:color w:val="auto"/>
        </w:rPr>
      </w:pPr>
    </w:p>
    <w:p>
      <w:pPr>
        <w:ind w:right="160" w:firstLine="589"/>
        <w:spacing w:after="0" w:line="259" w:lineRule="auto"/>
        <w:rPr>
          <w:sz w:val="20"/>
          <w:szCs w:val="20"/>
          <w:color w:val="auto"/>
        </w:rPr>
      </w:pPr>
      <w:r>
        <w:rPr>
          <w:rFonts w:ascii="Arial" w:cs="Arial" w:eastAsia="Arial" w:hAnsi="Arial"/>
          <w:sz w:val="18"/>
          <w:szCs w:val="18"/>
          <w:color w:val="auto"/>
        </w:rPr>
        <w:t>Under the Company’s non-qualified deferred compensation plan, the Company matches 50% of the first 6% of compensation contributed by each participating employee to the plan from the date of eligibility until the point of time that the participating employee is eligible to participate in the Company’s 401(k) plan. Once a participating employee is eligible to participate in the 401(k) plan, the Company match is 50% of the first 3% of compensation contributed by the employee to the plan.</w:t>
      </w:r>
    </w:p>
    <w:p>
      <w:pPr>
        <w:spacing w:after="0" w:line="187" w:lineRule="exact"/>
        <w:rPr>
          <w:sz w:val="20"/>
          <w:szCs w:val="20"/>
          <w:color w:val="auto"/>
        </w:rPr>
      </w:pPr>
    </w:p>
    <w:p>
      <w:pPr>
        <w:ind w:right="420" w:firstLine="589"/>
        <w:spacing w:after="0" w:line="277" w:lineRule="auto"/>
        <w:rPr>
          <w:sz w:val="20"/>
          <w:szCs w:val="20"/>
          <w:color w:val="auto"/>
        </w:rPr>
      </w:pPr>
      <w:r>
        <w:rPr>
          <w:rFonts w:ascii="Arial" w:cs="Arial" w:eastAsia="Arial" w:hAnsi="Arial"/>
          <w:sz w:val="18"/>
          <w:szCs w:val="18"/>
          <w:color w:val="auto"/>
        </w:rPr>
        <w:t>In connection with the required matches, Company contributions to the plans were $9.2 million, $6.6 million, and $6.9 million for fiscal years 2021,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13. Stockholders’ Equity</w:t>
      </w:r>
    </w:p>
    <w:p>
      <w:pPr>
        <w:spacing w:after="0" w:line="135"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connection with its initial public offering, the Company established a new incentive plan (“the 2021 Equity Incentive Plan”) pursuant to which certain employees and non-employee directors of the Company are eligible to receive restricted stock units (“RSUs,” which include performance-based stock units), restricted stock awards (“RSAs”), non-qualified stock options, and other equity compensation awards. The Company has also established an employee stock purchase plan (“ESPP”).</w:t>
      </w:r>
    </w:p>
    <w:p>
      <w:pPr>
        <w:spacing w:after="0" w:line="187" w:lineRule="exact"/>
        <w:rPr>
          <w:sz w:val="20"/>
          <w:szCs w:val="20"/>
          <w:color w:val="auto"/>
        </w:rPr>
      </w:pPr>
    </w:p>
    <w:p>
      <w:pPr>
        <w:jc w:val="both"/>
        <w:ind w:right="220" w:firstLine="589"/>
        <w:spacing w:after="0" w:line="263" w:lineRule="auto"/>
        <w:rPr>
          <w:sz w:val="20"/>
          <w:szCs w:val="20"/>
          <w:color w:val="auto"/>
        </w:rPr>
      </w:pPr>
      <w:r>
        <w:rPr>
          <w:rFonts w:ascii="Arial" w:cs="Arial" w:eastAsia="Arial" w:hAnsi="Arial"/>
          <w:sz w:val="18"/>
          <w:szCs w:val="18"/>
          <w:color w:val="auto"/>
        </w:rPr>
        <w:t>The Company issues new shares of Class A common stock upon exercise of stock options and the vesting of restricted stock units. As of January 29, 2022, there were 27.6 million shares of Class A common stock available for issuance pursuant to future equity-based compensation awards under the 2021 Equity Incentive Plan.</w:t>
      </w:r>
    </w:p>
    <w:p>
      <w:pPr>
        <w:spacing w:after="0" w:line="184" w:lineRule="exact"/>
        <w:rPr>
          <w:sz w:val="20"/>
          <w:szCs w:val="20"/>
          <w:color w:val="auto"/>
        </w:rPr>
      </w:pPr>
    </w:p>
    <w:p>
      <w:pPr>
        <w:ind w:right="240" w:firstLine="589"/>
        <w:spacing w:after="0" w:line="277" w:lineRule="auto"/>
        <w:rPr>
          <w:sz w:val="20"/>
          <w:szCs w:val="20"/>
          <w:color w:val="auto"/>
        </w:rPr>
      </w:pPr>
      <w:r>
        <w:rPr>
          <w:rFonts w:ascii="Arial" w:cs="Arial" w:eastAsia="Arial" w:hAnsi="Arial"/>
          <w:sz w:val="18"/>
          <w:szCs w:val="18"/>
          <w:color w:val="auto"/>
        </w:rPr>
        <w:t>Scooby LP, the direct owner of Scooby Aggregator, LP, also maintains an incentive plan (the “2016 Incentive Plan”) under which it has awarded partnership unit awards to employees, consultants, and non-employee directors of the Company.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5"/>
              </w:rPr>
              <w:t>January 29,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1"/>
                <w:szCs w:val="11"/>
                <w:color w:val="auto"/>
              </w:rPr>
            </w:pPr>
          </w:p>
        </w:tc>
        <w:tc>
          <w:tcPr>
            <w:tcW w:w="11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center"/>
              <w:ind w:right="136"/>
              <w:spacing w:after="0" w:line="155" w:lineRule="exact"/>
              <w:rPr>
                <w:sz w:val="20"/>
                <w:szCs w:val="20"/>
                <w:color w:val="auto"/>
              </w:rPr>
            </w:pPr>
            <w:r>
              <w:rPr>
                <w:rFonts w:ascii="Arial" w:cs="Arial" w:eastAsia="Arial" w:hAnsi="Arial"/>
                <w:sz w:val="14"/>
                <w:szCs w:val="14"/>
                <w:b w:val="1"/>
                <w:bCs w:val="1"/>
                <w:color w:val="auto"/>
                <w:w w:val="93"/>
              </w:rPr>
              <w:t>(52 weeks)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ind w:right="37"/>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ind w:right="136"/>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RSUs and RSAs</w:t>
            </w:r>
          </w:p>
        </w:tc>
        <w:tc>
          <w:tcPr>
            <w:tcW w:w="19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Options</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8,002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awards</w:t>
            </w:r>
          </w:p>
        </w:tc>
        <w:tc>
          <w:tcPr>
            <w:tcW w:w="1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equity-based compensation expense</w:t>
            </w:r>
          </w:p>
        </w:tc>
        <w:tc>
          <w:tcPr>
            <w:tcW w:w="1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260"/>
              <w:spacing w:after="0"/>
              <w:rPr>
                <w:sz w:val="20"/>
                <w:szCs w:val="20"/>
                <w:color w:val="auto"/>
              </w:rPr>
            </w:pPr>
            <w:r>
              <w:rPr>
                <w:rFonts w:ascii="Arial" w:cs="Arial" w:eastAsia="Arial" w:hAnsi="Arial"/>
                <w:sz w:val="18"/>
                <w:szCs w:val="18"/>
                <w:color w:val="auto"/>
              </w:rPr>
              <w:t>Total related tax benefit</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5,033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 and RSAs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Company has both time-vested RSUs and performance-based RSUs. Time-vested RSUs are awarded to eligible employees and non-employee directors and entitle the grantee to receive shares of Class A common stock at the end of a vesting period, subject solely to the individual’s continued employment or service as a director. For the time-vested RSUs,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RSU activity under the 2021 Equity Incentive Plan was as follows (in thousands, except per share and contractual life amounts):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tcPr>
          <w:p>
            <w:pPr>
              <w:jc w:val="center"/>
              <w:ind w:right="43"/>
              <w:spacing w:after="0"/>
              <w:rPr>
                <w:sz w:val="20"/>
                <w:szCs w:val="20"/>
                <w:color w:val="auto"/>
              </w:rPr>
            </w:pPr>
            <w:r>
              <w:rPr>
                <w:rFonts w:ascii="Arial" w:cs="Arial" w:eastAsia="Arial" w:hAnsi="Arial"/>
                <w:sz w:val="14"/>
                <w:szCs w:val="14"/>
                <w:b w:val="1"/>
                <w:bCs w:val="1"/>
                <w:color w:val="auto"/>
                <w:w w:val="95"/>
              </w:rPr>
              <w:t>Weighted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fair value</w:t>
            </w:r>
          </w:p>
        </w:tc>
        <w:tc>
          <w:tcPr>
            <w:tcW w:w="12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per share</w:t>
            </w:r>
          </w:p>
        </w:tc>
        <w:tc>
          <w:tcPr>
            <w:tcW w:w="1240" w:type="dxa"/>
            <w:vAlign w:val="bottom"/>
          </w:tcPr>
          <w:p>
            <w:pPr>
              <w:jc w:val="center"/>
              <w:ind w:right="43"/>
              <w:spacing w:after="0"/>
              <w:rPr>
                <w:sz w:val="20"/>
                <w:szCs w:val="20"/>
                <w:color w:val="auto"/>
              </w:rPr>
            </w:pPr>
            <w:r>
              <w:rPr>
                <w:rFonts w:ascii="Arial" w:cs="Arial" w:eastAsia="Arial" w:hAnsi="Arial"/>
                <w:sz w:val="14"/>
                <w:szCs w:val="14"/>
                <w:b w:val="1"/>
                <w:bCs w:val="1"/>
                <w:color w:val="auto"/>
                <w:w w:val="91"/>
              </w:rPr>
              <w:t>life (years)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221"/>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18.00</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88,864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Vested and delivered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18.21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29,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18"/>
                <w:szCs w:val="18"/>
                <w:color w:val="auto"/>
              </w:rPr>
              <w:t>18.63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ind w:right="43"/>
              <w:spacing w:after="0"/>
              <w:rPr>
                <w:sz w:val="20"/>
                <w:szCs w:val="20"/>
                <w:color w:val="auto"/>
              </w:rPr>
            </w:pPr>
            <w:r>
              <w:rPr>
                <w:rFonts w:ascii="Arial" w:cs="Arial" w:eastAsia="Arial" w:hAnsi="Arial"/>
                <w:sz w:val="18"/>
                <w:szCs w:val="18"/>
                <w:color w:val="auto"/>
              </w:rPr>
              <w:t>1.0</w:t>
            </w:r>
          </w:p>
        </w:tc>
        <w:tc>
          <w:tcPr>
            <w:tcW w:w="3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8"/>
                <w:szCs w:val="18"/>
                <w:color w:val="auto"/>
              </w:rPr>
              <w:t>47,342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As of January 29, 2022, unrecognized compensation expense related to unvested RSUs was $37.4 million, which is expected to be recognized over a weighted average period of approximately 2.0 years.</w:t>
      </w:r>
    </w:p>
    <w:p>
      <w:pPr>
        <w:spacing w:after="0" w:line="170"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becomes vested on each of the first two anniversaries of the grant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The Company provides stock option grants, which are time-vested, as a form of employee compensation. For each grant, 34% of the options generally becomes vested on the anniversary of the grant date, followed by 16.5% of the options in four equal semi-annual installments thereafter. Stock options generally expire 10 years from the grant date.</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Stock option activity under the 2021 Equity Incentive Plan was as follows (in thousands, except per share and contractual life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subject</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to options</w:t>
            </w:r>
          </w:p>
        </w:tc>
        <w:tc>
          <w:tcPr>
            <w:tcW w:w="1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29,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4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January 29, 2022</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18.00</w:t>
            </w:r>
          </w:p>
        </w:tc>
        <w:tc>
          <w:tcPr>
            <w:tcW w:w="2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20" w:firstLine="589"/>
        <w:spacing w:after="0" w:line="277" w:lineRule="auto"/>
        <w:rPr>
          <w:sz w:val="20"/>
          <w:szCs w:val="20"/>
          <w:color w:val="auto"/>
        </w:rPr>
      </w:pPr>
      <w:r>
        <w:rPr>
          <w:rFonts w:ascii="Arial" w:cs="Arial" w:eastAsia="Arial" w:hAnsi="Arial"/>
          <w:sz w:val="18"/>
          <w:szCs w:val="18"/>
          <w:color w:val="auto"/>
        </w:rPr>
        <w:t>No stock option awards were granted in fiscal 2021 or fiscal 2019. The fair value of stock option awards granted in fiscal 2020 was estimated at the grant date using the Black-Scholes option pricing model with the following assumptions:</w:t>
      </w:r>
    </w:p>
    <w:p>
      <w:pPr>
        <w:spacing w:after="0" w:line="185" w:lineRule="exact"/>
        <w:rPr>
          <w:sz w:val="20"/>
          <w:szCs w:val="20"/>
          <w:color w:val="auto"/>
        </w:rPr>
      </w:pPr>
    </w:p>
    <w:tbl>
      <w:tblPr>
        <w:tblLayout w:type="fixed"/>
        <w:tblInd w:w="24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2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volatility (1)</w:t>
            </w:r>
          </w:p>
        </w:tc>
        <w:tc>
          <w:tcPr>
            <w:tcW w:w="1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29"/>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 (2)</w:t>
            </w:r>
          </w:p>
        </w:tc>
        <w:tc>
          <w:tcPr>
            <w:tcW w:w="14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Expected term (3)</w:t>
            </w:r>
          </w:p>
        </w:tc>
        <w:tc>
          <w:tcPr>
            <w:tcW w:w="1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 years</w:t>
            </w:r>
          </w:p>
        </w:tc>
      </w:tr>
      <w:tr>
        <w:trPr>
          <w:trHeight w:val="229"/>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Grant date fair value per share</w:t>
            </w:r>
          </w:p>
        </w:tc>
        <w:tc>
          <w:tcPr>
            <w:tcW w:w="14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Estimated fair value per option granted</w:t>
            </w: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72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9" w:lineRule="exact"/>
        <w:rPr>
          <w:sz w:val="20"/>
          <w:szCs w:val="20"/>
          <w:color w:val="auto"/>
        </w:rPr>
      </w:pPr>
    </w:p>
    <w:p>
      <w:pPr>
        <w:ind w:left="580" w:right="240" w:hanging="572"/>
        <w:spacing w:after="0" w:line="253" w:lineRule="auto"/>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expected volatility was estimated based on the historical volatility of a select peer group of similar publicly traded companies for a term consistent with the expected term of the stock options.</w:t>
      </w:r>
    </w:p>
    <w:p>
      <w:pPr>
        <w:spacing w:after="0" w:line="11" w:lineRule="exact"/>
        <w:rPr>
          <w:rFonts w:ascii="Arial" w:cs="Arial" w:eastAsia="Arial" w:hAnsi="Arial"/>
          <w:sz w:val="14"/>
          <w:szCs w:val="14"/>
          <w:color w:val="auto"/>
        </w:rPr>
      </w:pPr>
    </w:p>
    <w:p>
      <w:pPr>
        <w:ind w:left="580" w:hanging="572"/>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risk-free interest rates were based on the U.S. Treasury constant maturity interest rate for a term consistent with the expected term of the stock options.</w:t>
      </w:r>
    </w:p>
    <w:p>
      <w:pPr>
        <w:spacing w:after="0" w:line="41" w:lineRule="exact"/>
        <w:rPr>
          <w:rFonts w:ascii="Arial" w:cs="Arial" w:eastAsia="Arial" w:hAnsi="Arial"/>
          <w:sz w:val="14"/>
          <w:szCs w:val="14"/>
          <w:color w:val="auto"/>
        </w:rPr>
      </w:pPr>
    </w:p>
    <w:p>
      <w:pPr>
        <w:ind w:left="580" w:hanging="572"/>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expected term of the stock options represents the estimated period of time until exercise and was calculated using the simplified method.</w:t>
      </w:r>
    </w:p>
    <w:p>
      <w:pPr>
        <w:spacing w:after="0" w:line="248"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January 29, 2022, unrecognized compensation expense related to unvested options was $15.0 million, which is expected to be recognized over a weighted average period of approximately 2.0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 As of January 29, 2022, 7.6 million shares of Class A common stock were available for issuance under the ESPP.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Awards</w:t>
      </w:r>
    </w:p>
    <w:p>
      <w:pPr>
        <w:spacing w:after="0" w:line="225"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Other awards primarily consist of partnership unit awards (“Series C Units”) issued by Scooby LP to eligible employees, consultants, and non-employee directors of the Company under the 2016 Incentive Plan, which was established in connection with the Acquisition. Series C Unit awards are restricted profit interests in Scooby LP subject to a distribution threshold and have generally been issued in the form of time-based units that vest in three to five equal annual installments following the grant date. In addition to acceleration upon a change in control, a portion of grantees’ Series C Units may vest upon certain levels of direct or indirect sales by Scooby LP of the Company’s Class A common stock, and all unvested Series C Units will fully accelerate in the event Scooby LP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9" w:name="page90"/>
    <w:bookmarkEnd w:id="89"/>
    <w:p>
      <w:pPr>
        <w:ind w:right="60"/>
        <w:spacing w:after="0" w:line="277" w:lineRule="auto"/>
        <w:rPr>
          <w:sz w:val="20"/>
          <w:szCs w:val="20"/>
          <w:color w:val="auto"/>
        </w:rPr>
      </w:pPr>
      <w:r>
        <w:rPr>
          <w:rFonts w:ascii="Arial" w:cs="Arial" w:eastAsia="Arial" w:hAnsi="Arial"/>
          <w:sz w:val="18"/>
          <w:szCs w:val="18"/>
          <w:color w:val="auto"/>
        </w:rPr>
        <w:t>sells 90% of its direct or indirect holdings of the Company’s Class A common stock. No additional Series C Units have been or will be awarded following the Company’s initial public offering.</w:t>
      </w:r>
    </w:p>
    <w:p>
      <w:pPr>
        <w:spacing w:after="0" w:line="170" w:lineRule="exact"/>
        <w:rPr>
          <w:sz w:val="20"/>
          <w:szCs w:val="20"/>
          <w:color w:val="auto"/>
        </w:rPr>
      </w:pPr>
    </w:p>
    <w:p>
      <w:pPr>
        <w:ind w:right="680" w:firstLine="589"/>
        <w:spacing w:after="0" w:line="277" w:lineRule="auto"/>
        <w:rPr>
          <w:sz w:val="20"/>
          <w:szCs w:val="20"/>
          <w:color w:val="auto"/>
        </w:rPr>
      </w:pPr>
      <w:r>
        <w:rPr>
          <w:rFonts w:ascii="Arial" w:cs="Arial" w:eastAsia="Arial" w:hAnsi="Arial"/>
          <w:sz w:val="18"/>
          <w:szCs w:val="18"/>
          <w:color w:val="auto"/>
        </w:rPr>
        <w:t>For the Series C Units granted during fiscal 2020 and 2019, the weighted average fair value per unit was estimated to be $0.44 and $0.25, respectively.</w:t>
      </w:r>
    </w:p>
    <w:p>
      <w:pPr>
        <w:spacing w:after="0" w:line="170"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weighted average fair value per Series C Unit was estimated at the grant date using the Black-Scholes option pricing model with the following assumptions: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120" w:type="dxa"/>
            <w:vAlign w:val="bottom"/>
            <w:gridSpan w:val="4"/>
          </w:tcPr>
          <w:p>
            <w:pPr>
              <w:ind w:left="80"/>
              <w:spacing w:after="0"/>
              <w:rPr>
                <w:sz w:val="20"/>
                <w:szCs w:val="20"/>
                <w:color w:val="auto"/>
              </w:rPr>
            </w:pPr>
            <w:r>
              <w:rPr>
                <w:rFonts w:ascii="Arial" w:cs="Arial" w:eastAsia="Arial" w:hAnsi="Arial"/>
                <w:sz w:val="14"/>
                <w:szCs w:val="14"/>
                <w:b w:val="1"/>
                <w:bCs w:val="1"/>
                <w:color w:val="auto"/>
              </w:rPr>
              <w:t>Fiscal years ended</w:t>
            </w:r>
          </w:p>
        </w:tc>
      </w:tr>
      <w:tr>
        <w:trPr>
          <w:trHeight w:val="133"/>
        </w:trPr>
        <w:tc>
          <w:tcPr>
            <w:tcW w:w="5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720" w:type="dxa"/>
            <w:vAlign w:val="bottom"/>
            <w:tcBorders>
              <w:top w:val="single" w:sz="8" w:color="auto"/>
            </w:tcBorders>
          </w:tcPr>
          <w:p>
            <w:pPr>
              <w:jc w:val="center"/>
              <w:ind w:left="397"/>
              <w:spacing w:after="0" w:line="133" w:lineRule="exact"/>
              <w:rPr>
                <w:sz w:val="20"/>
                <w:szCs w:val="20"/>
                <w:color w:val="auto"/>
              </w:rPr>
            </w:pPr>
            <w:r>
              <w:rPr>
                <w:rFonts w:ascii="Arial" w:cs="Arial" w:eastAsia="Arial" w:hAnsi="Arial"/>
                <w:sz w:val="14"/>
                <w:szCs w:val="14"/>
                <w:b w:val="1"/>
                <w:bCs w:val="1"/>
                <w:color w:val="auto"/>
                <w:w w:val="93"/>
              </w:rPr>
              <w:t>January 30,</w:t>
            </w: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February 1,</w:t>
            </w:r>
          </w:p>
        </w:tc>
        <w:tc>
          <w:tcPr>
            <w:tcW w:w="100" w:type="dxa"/>
            <w:vAlign w:val="bottom"/>
          </w:tcPr>
          <w:p>
            <w:pPr>
              <w:spacing w:after="0"/>
              <w:rPr>
                <w:sz w:val="11"/>
                <w:szCs w:val="11"/>
                <w:color w:val="auto"/>
              </w:rPr>
            </w:pPr>
          </w:p>
        </w:tc>
      </w:tr>
      <w:tr>
        <w:trPr>
          <w:trHeight w:val="171"/>
        </w:trPr>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tcPr>
          <w:p>
            <w:pPr>
              <w:jc w:val="center"/>
              <w:ind w:left="397"/>
              <w:spacing w:after="0"/>
              <w:rPr>
                <w:sz w:val="20"/>
                <w:szCs w:val="20"/>
                <w:color w:val="auto"/>
              </w:rPr>
            </w:pPr>
            <w:r>
              <w:rPr>
                <w:rFonts w:ascii="Arial" w:cs="Arial" w:eastAsia="Arial" w:hAnsi="Arial"/>
                <w:sz w:val="14"/>
                <w:szCs w:val="14"/>
                <w:b w:val="1"/>
                <w:bCs w:val="1"/>
                <w:color w:val="auto"/>
                <w:w w:val="89"/>
              </w:rPr>
              <w:t>2021</w:t>
            </w:r>
          </w:p>
        </w:tc>
        <w:tc>
          <w:tcPr>
            <w:tcW w:w="3020" w:type="dxa"/>
            <w:vAlign w:val="bottom"/>
            <w:gridSpan w:val="3"/>
          </w:tcPr>
          <w:p>
            <w:pPr>
              <w:jc w:val="center"/>
              <w:ind w:left="69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55"/>
        </w:trPr>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720" w:type="dxa"/>
            <w:vAlign w:val="bottom"/>
            <w:tcBorders>
              <w:top w:val="single" w:sz="8" w:color="auto"/>
            </w:tcBorders>
          </w:tcPr>
          <w:p>
            <w:pPr>
              <w:jc w:val="center"/>
              <w:ind w:left="397"/>
              <w:spacing w:after="0" w:line="155" w:lineRule="exact"/>
              <w:rPr>
                <w:sz w:val="20"/>
                <w:szCs w:val="20"/>
                <w:color w:val="auto"/>
              </w:rPr>
            </w:pPr>
            <w:r>
              <w:rPr>
                <w:rFonts w:ascii="Arial" w:cs="Arial" w:eastAsia="Arial" w:hAnsi="Arial"/>
                <w:sz w:val="14"/>
                <w:szCs w:val="14"/>
                <w:b w:val="1"/>
                <w:bCs w:val="1"/>
                <w:color w:val="auto"/>
                <w:w w:val="90"/>
              </w:rPr>
              <w:t>(52 weeks)</w:t>
            </w: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2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20" w:type="dxa"/>
            <w:vAlign w:val="bottom"/>
            <w:shd w:val="clear" w:color="auto" w:fill="CFF0FC"/>
          </w:tcPr>
          <w:p>
            <w:pPr>
              <w:jc w:val="center"/>
              <w:ind w:left="397"/>
              <w:spacing w:after="0"/>
              <w:rPr>
                <w:sz w:val="20"/>
                <w:szCs w:val="20"/>
                <w:color w:val="auto"/>
              </w:rPr>
            </w:pPr>
            <w:r>
              <w:rPr>
                <w:rFonts w:ascii="Arial" w:cs="Arial" w:eastAsia="Arial" w:hAnsi="Arial"/>
                <w:sz w:val="18"/>
                <w:szCs w:val="18"/>
                <w:color w:val="auto"/>
                <w:w w:val="87"/>
              </w:rPr>
              <w:t>0.0%</w:t>
            </w:r>
          </w:p>
        </w:tc>
        <w:tc>
          <w:tcPr>
            <w:tcW w:w="3020" w:type="dxa"/>
            <w:vAlign w:val="bottom"/>
            <w:gridSpan w:val="3"/>
            <w:shd w:val="clear" w:color="auto" w:fill="CFF0FC"/>
          </w:tcPr>
          <w:p>
            <w:pPr>
              <w:jc w:val="center"/>
              <w:ind w:left="696"/>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Expected volatility (1)</w:t>
            </w:r>
          </w:p>
        </w:tc>
        <w:tc>
          <w:tcPr>
            <w:tcW w:w="1720" w:type="dxa"/>
            <w:vAlign w:val="bottom"/>
          </w:tcPr>
          <w:p>
            <w:pPr>
              <w:jc w:val="center"/>
              <w:ind w:left="397"/>
              <w:spacing w:after="0"/>
              <w:rPr>
                <w:sz w:val="20"/>
                <w:szCs w:val="20"/>
                <w:color w:val="auto"/>
              </w:rPr>
            </w:pPr>
            <w:r>
              <w:rPr>
                <w:rFonts w:ascii="Arial" w:cs="Arial" w:eastAsia="Arial" w:hAnsi="Arial"/>
                <w:sz w:val="18"/>
                <w:szCs w:val="18"/>
                <w:color w:val="auto"/>
                <w:w w:val="90"/>
              </w:rPr>
              <w:t>60.0 - 81.9%</w:t>
            </w:r>
          </w:p>
        </w:tc>
        <w:tc>
          <w:tcPr>
            <w:tcW w:w="3020" w:type="dxa"/>
            <w:vAlign w:val="bottom"/>
            <w:gridSpan w:val="3"/>
          </w:tcPr>
          <w:p>
            <w:pPr>
              <w:jc w:val="center"/>
              <w:ind w:left="696"/>
              <w:spacing w:after="0"/>
              <w:rPr>
                <w:sz w:val="20"/>
                <w:szCs w:val="20"/>
                <w:color w:val="auto"/>
              </w:rPr>
            </w:pPr>
            <w:r>
              <w:rPr>
                <w:rFonts w:ascii="Arial" w:cs="Arial" w:eastAsia="Arial" w:hAnsi="Arial"/>
                <w:sz w:val="18"/>
                <w:szCs w:val="18"/>
                <w:color w:val="auto"/>
                <w:w w:val="93"/>
              </w:rPr>
              <w:t>60.0%</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volatility (1)</w:t>
            </w:r>
          </w:p>
        </w:tc>
        <w:tc>
          <w:tcPr>
            <w:tcW w:w="1720" w:type="dxa"/>
            <w:vAlign w:val="bottom"/>
            <w:shd w:val="clear" w:color="auto" w:fill="CFF0FC"/>
          </w:tcPr>
          <w:p>
            <w:pPr>
              <w:jc w:val="center"/>
              <w:ind w:left="397"/>
              <w:spacing w:after="0"/>
              <w:rPr>
                <w:sz w:val="20"/>
                <w:szCs w:val="20"/>
                <w:color w:val="auto"/>
              </w:rPr>
            </w:pPr>
            <w:r>
              <w:rPr>
                <w:rFonts w:ascii="Arial" w:cs="Arial" w:eastAsia="Arial" w:hAnsi="Arial"/>
                <w:sz w:val="18"/>
                <w:szCs w:val="18"/>
                <w:color w:val="auto"/>
                <w:w w:val="93"/>
              </w:rPr>
              <w:t>81.1%</w:t>
            </w:r>
          </w:p>
        </w:tc>
        <w:tc>
          <w:tcPr>
            <w:tcW w:w="3020" w:type="dxa"/>
            <w:vAlign w:val="bottom"/>
            <w:gridSpan w:val="3"/>
            <w:shd w:val="clear" w:color="auto" w:fill="CFF0FC"/>
          </w:tcPr>
          <w:p>
            <w:pPr>
              <w:jc w:val="center"/>
              <w:ind w:left="696"/>
              <w:spacing w:after="0"/>
              <w:rPr>
                <w:sz w:val="20"/>
                <w:szCs w:val="20"/>
                <w:color w:val="auto"/>
              </w:rPr>
            </w:pPr>
            <w:r>
              <w:rPr>
                <w:rFonts w:ascii="Arial" w:cs="Arial" w:eastAsia="Arial" w:hAnsi="Arial"/>
                <w:sz w:val="18"/>
                <w:szCs w:val="18"/>
                <w:color w:val="auto"/>
                <w:w w:val="93"/>
              </w:rPr>
              <w:t>60.0%</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Risk-free interest rate (2)</w:t>
            </w:r>
          </w:p>
        </w:tc>
        <w:tc>
          <w:tcPr>
            <w:tcW w:w="1720" w:type="dxa"/>
            <w:vAlign w:val="bottom"/>
          </w:tcPr>
          <w:p>
            <w:pPr>
              <w:jc w:val="center"/>
              <w:ind w:left="397"/>
              <w:spacing w:after="0"/>
              <w:rPr>
                <w:sz w:val="20"/>
                <w:szCs w:val="20"/>
                <w:color w:val="auto"/>
              </w:rPr>
            </w:pPr>
            <w:r>
              <w:rPr>
                <w:rFonts w:ascii="Arial" w:cs="Arial" w:eastAsia="Arial" w:hAnsi="Arial"/>
                <w:sz w:val="18"/>
                <w:szCs w:val="18"/>
                <w:color w:val="auto"/>
                <w:w w:val="97"/>
              </w:rPr>
              <w:t>0.1% - 1.3%</w:t>
            </w:r>
          </w:p>
        </w:tc>
        <w:tc>
          <w:tcPr>
            <w:tcW w:w="3020" w:type="dxa"/>
            <w:vAlign w:val="bottom"/>
            <w:gridSpan w:val="3"/>
          </w:tcPr>
          <w:p>
            <w:pPr>
              <w:jc w:val="center"/>
              <w:ind w:left="696"/>
              <w:spacing w:after="0"/>
              <w:rPr>
                <w:sz w:val="20"/>
                <w:szCs w:val="20"/>
                <w:color w:val="auto"/>
              </w:rPr>
            </w:pPr>
            <w:r>
              <w:rPr>
                <w:rFonts w:ascii="Arial" w:cs="Arial" w:eastAsia="Arial" w:hAnsi="Arial"/>
                <w:sz w:val="18"/>
                <w:szCs w:val="18"/>
                <w:color w:val="auto"/>
                <w:w w:val="97"/>
              </w:rPr>
              <w:t>1.4% - 2.3%</w:t>
            </w:r>
          </w:p>
        </w:tc>
        <w:tc>
          <w:tcPr>
            <w:tcW w:w="10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(3)</w:t>
            </w:r>
          </w:p>
        </w:tc>
        <w:tc>
          <w:tcPr>
            <w:tcW w:w="1720" w:type="dxa"/>
            <w:vAlign w:val="bottom"/>
            <w:shd w:val="clear" w:color="auto" w:fill="CFF0FC"/>
          </w:tcPr>
          <w:p>
            <w:pPr>
              <w:jc w:val="center"/>
              <w:ind w:left="397"/>
              <w:spacing w:after="0"/>
              <w:rPr>
                <w:sz w:val="20"/>
                <w:szCs w:val="20"/>
                <w:color w:val="auto"/>
              </w:rPr>
            </w:pPr>
            <w:r>
              <w:rPr>
                <w:rFonts w:ascii="Arial" w:cs="Arial" w:eastAsia="Arial" w:hAnsi="Arial"/>
                <w:sz w:val="18"/>
                <w:szCs w:val="18"/>
                <w:color w:val="auto"/>
                <w:w w:val="90"/>
              </w:rPr>
              <w:t>2.0 to 4.0 years</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3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5.0 years</w:t>
            </w:r>
          </w:p>
        </w:tc>
      </w:tr>
      <w:tr>
        <w:trPr>
          <w:trHeight w:val="95"/>
        </w:trPr>
        <w:tc>
          <w:tcPr>
            <w:tcW w:w="5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2" w:lineRule="exact"/>
        <w:rPr>
          <w:sz w:val="20"/>
          <w:szCs w:val="20"/>
          <w:color w:val="auto"/>
        </w:rPr>
      </w:pPr>
    </w:p>
    <w:p>
      <w:pPr>
        <w:ind w:left="580" w:right="180" w:hanging="572"/>
        <w:spacing w:after="0" w:line="253" w:lineRule="auto"/>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expected volatility was estimated based on the historical volatility of a select peer group of similar publicly traded companies for a term consistent with the expected term of the Series C Units.</w:t>
      </w:r>
    </w:p>
    <w:p>
      <w:pPr>
        <w:spacing w:after="0" w:line="11" w:lineRule="exact"/>
        <w:rPr>
          <w:rFonts w:ascii="Arial" w:cs="Arial" w:eastAsia="Arial" w:hAnsi="Arial"/>
          <w:sz w:val="14"/>
          <w:szCs w:val="14"/>
          <w:color w:val="auto"/>
        </w:rPr>
      </w:pPr>
    </w:p>
    <w:p>
      <w:pPr>
        <w:ind w:left="580" w:hanging="572"/>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risk-free interest rates were based on the U.S. Treasury constant maturity interest rate for a term consistent with the expected term of the Series C Units.</w:t>
      </w:r>
    </w:p>
    <w:p>
      <w:pPr>
        <w:spacing w:after="0" w:line="41" w:lineRule="exact"/>
        <w:rPr>
          <w:rFonts w:ascii="Arial" w:cs="Arial" w:eastAsia="Arial" w:hAnsi="Arial"/>
          <w:sz w:val="14"/>
          <w:szCs w:val="14"/>
          <w:color w:val="auto"/>
        </w:rPr>
      </w:pPr>
    </w:p>
    <w:p>
      <w:pPr>
        <w:ind w:left="580" w:hanging="572"/>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expected term of the Series C Units was based on estimated liquidity event timing.</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30,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(6,828)</w:t>
            </w:r>
          </w:p>
        </w:tc>
      </w:tr>
      <w:tr>
        <w:trPr>
          <w:trHeight w:val="263"/>
        </w:trPr>
        <w:tc>
          <w:tcPr>
            <w:tcW w:w="5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January 29,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207,178</w:t>
            </w:r>
          </w:p>
        </w:tc>
        <w:tc>
          <w:tcPr>
            <w:tcW w:w="80" w:type="dxa"/>
            <w:vAlign w:val="bottom"/>
            <w:tcBorders>
              <w:bottom w:val="single" w:sz="8" w:color="CFF0FC"/>
            </w:tcBorders>
          </w:tcPr>
          <w:p>
            <w:pPr>
              <w:spacing w:after="0"/>
              <w:rPr>
                <w:sz w:val="22"/>
                <w:szCs w:val="22"/>
                <w:color w:val="auto"/>
              </w:rPr>
            </w:pPr>
          </w:p>
        </w:tc>
      </w:tr>
      <w:tr>
        <w:trPr>
          <w:trHeight w:val="210"/>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January 29, 2022</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119,438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Charges with respect to awards issued pursuant to the 2016 Incentive Plan are reflected in the Company’s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related to Series C Units is generally not tax deductible.</w:t>
      </w:r>
    </w:p>
    <w:p>
      <w:pPr>
        <w:spacing w:after="0" w:line="211" w:lineRule="exact"/>
        <w:rPr>
          <w:sz w:val="20"/>
          <w:szCs w:val="20"/>
          <w:color w:val="auto"/>
        </w:rPr>
      </w:pPr>
    </w:p>
    <w:p>
      <w:pPr>
        <w:ind w:right="320" w:firstLine="589"/>
        <w:spacing w:after="0" w:line="277" w:lineRule="auto"/>
        <w:rPr>
          <w:sz w:val="20"/>
          <w:szCs w:val="20"/>
          <w:color w:val="auto"/>
        </w:rPr>
      </w:pPr>
      <w:r>
        <w:rPr>
          <w:rFonts w:ascii="Arial" w:cs="Arial" w:eastAsia="Arial" w:hAnsi="Arial"/>
          <w:sz w:val="18"/>
          <w:szCs w:val="18"/>
          <w:color w:val="auto"/>
        </w:rPr>
        <w:t>As of January 29, 2022, unrecognized compensation expense related to the unvested portion of Scooby LP’s Series C Units was $17.8 million, which is expected to be recognized over a weighted average period of 2.2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right="220" w:firstLine="589"/>
        <w:spacing w:after="0" w:line="279" w:lineRule="auto"/>
        <w:rPr>
          <w:sz w:val="20"/>
          <w:szCs w:val="20"/>
          <w:color w:val="auto"/>
        </w:rPr>
      </w:pPr>
      <w:r>
        <w:rPr>
          <w:rFonts w:ascii="Arial" w:cs="Arial" w:eastAsia="Arial" w:hAnsi="Arial"/>
          <w:sz w:val="17"/>
          <w:szCs w:val="17"/>
          <w:color w:val="auto"/>
        </w:rPr>
        <w:t>Shares of Class A common stock and Class B-1 common stock participate equally in the earnings and losses of the Company and have identical rights in distribution. Basic net income (loss) per Class A and B-1 common share is based on the weighted-average Class A and B-1 common shares outstanding during the relevant period. Diluted net income (loss) per Class A and B-1 common share is based on the weighted-average Class A and B-1 common shares outstanding during the relevant period adjusted for the effect of potentially dilutive securities.</w:t>
      </w:r>
    </w:p>
    <w:p>
      <w:pPr>
        <w:spacing w:after="0" w:line="171"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spacing w:after="0" w:line="187" w:lineRule="exact"/>
        <w:rPr>
          <w:sz w:val="20"/>
          <w:szCs w:val="20"/>
          <w:color w:val="auto"/>
        </w:rPr>
      </w:pPr>
    </w:p>
    <w:p>
      <w:pPr>
        <w:ind w:right="200" w:firstLine="589"/>
        <w:spacing w:after="0" w:line="311" w:lineRule="auto"/>
        <w:rPr>
          <w:sz w:val="20"/>
          <w:szCs w:val="20"/>
          <w:color w:val="auto"/>
        </w:rPr>
      </w:pPr>
      <w:r>
        <w:rPr>
          <w:rFonts w:ascii="Arial" w:cs="Arial" w:eastAsia="Arial" w:hAnsi="Arial"/>
          <w:sz w:val="16"/>
          <w:szCs w:val="16"/>
          <w:color w:val="auto"/>
        </w:rPr>
        <w:t>In fiscal 2021, there were approximately 3.3 million potential shares that were anti-dilutive and excluded from the computation of diluted shares outstanding. In fiscal 2020, all outstanding stock options and unvested RSUs were excluded from the calculation of diluted loss per Class A and B-1 common share, as their effect would be antidilutive in a net loss period. There were no potentially dilutive securities outstanding in fiscal 2019.</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90" w:name="page91"/>
    <w:bookmarkEnd w:id="90"/>
    <w:p>
      <w:pPr>
        <w:ind w:right="220" w:firstLine="589"/>
        <w:spacing w:after="0" w:line="259" w:lineRule="auto"/>
        <w:rPr>
          <w:sz w:val="20"/>
          <w:szCs w:val="20"/>
          <w:color w:val="auto"/>
        </w:rPr>
      </w:pPr>
      <w:r>
        <w:rPr>
          <w:rFonts w:ascii="Arial" w:cs="Arial" w:eastAsia="Arial" w:hAnsi="Arial"/>
          <w:sz w:val="18"/>
          <w:szCs w:val="18"/>
          <w:color w:val="auto"/>
        </w:rPr>
        <w:t>Shares of Class B-2 common stock are not included in the calculation of net income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 Unvested RSAs are not considered participating securities for earnings per share purposes, as any related dividends are forfeitable.</w:t>
      </w:r>
    </w:p>
    <w:p>
      <w:pPr>
        <w:spacing w:after="0" w:line="187"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For periods prior to the Company’s conversion to a Delaware corporation, including fiscal 2020 for which a portion of the period preceded the conversion, the Company has retrospectively presented net loss per share as if the conversion had occurred at the beginning of the earliest period presented. The weighted average shares used in computing net loss per Class A and B-1 common share in these periods are based on the number of Common Series A and Common Series B Units held by members. For periods prior to the conversion, these calculations do not include the 55.2 million shares of Class A common stock issued in the Company’s initial public offering.</w:t>
      </w:r>
    </w:p>
    <w:p>
      <w:pPr>
        <w:spacing w:after="0" w:line="188" w:lineRule="exact"/>
        <w:rPr>
          <w:sz w:val="20"/>
          <w:szCs w:val="20"/>
          <w:color w:val="auto"/>
        </w:rPr>
      </w:pPr>
    </w:p>
    <w:p>
      <w:pPr>
        <w:ind w:right="40" w:firstLine="589"/>
        <w:spacing w:after="0" w:line="296" w:lineRule="auto"/>
        <w:rPr>
          <w:sz w:val="20"/>
          <w:szCs w:val="20"/>
          <w:color w:val="auto"/>
        </w:rPr>
      </w:pPr>
      <w:r>
        <w:rPr>
          <w:rFonts w:ascii="Arial" w:cs="Arial" w:eastAsia="Arial" w:hAnsi="Arial"/>
          <w:sz w:val="16"/>
          <w:szCs w:val="16"/>
          <w:color w:val="auto"/>
        </w:rPr>
        <w:t>Prior to the conversion, the Company’s Series C Units met the definition of participating securities, as they would have participated in distributions after certain applicable thresholds had been met. However, such thresholds had not been met in the periods presented, and holders of Series C Units were not contractually obligated to participate in losses of the Company. Accordingly, losses were not allocated to participating securities under the two-class method in these periods. Following the conversion, the Company had no Series C Units outstanding. Scooby LP’s own Series C Units (such as those granted under the 2016 Incentive Plan) do not participate in the earnings and losses of the Company and are therefore not participating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Income tax expense (benefit)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9"/>
              </w:rPr>
              <w:t>Fiscal years ended</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5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January 29,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60" w:type="dxa"/>
            <w:vAlign w:val="bottom"/>
          </w:tcPr>
          <w:p>
            <w:pPr>
              <w:spacing w:after="0"/>
              <w:rPr>
                <w:sz w:val="11"/>
                <w:szCs w:val="11"/>
                <w:color w:val="auto"/>
              </w:rPr>
            </w:pPr>
          </w:p>
        </w:tc>
        <w:tc>
          <w:tcPr>
            <w:tcW w:w="104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97"/>
              </w:rPr>
              <w:t>February 1,</w:t>
            </w:r>
          </w:p>
        </w:tc>
        <w:tc>
          <w:tcPr>
            <w:tcW w:w="100" w:type="dxa"/>
            <w:vAlign w:val="bottom"/>
          </w:tcPr>
          <w:p>
            <w:pPr>
              <w:spacing w:after="0"/>
              <w:rPr>
                <w:sz w:val="11"/>
                <w:szCs w:val="11"/>
                <w:color w:val="auto"/>
              </w:rPr>
            </w:pPr>
          </w:p>
        </w:tc>
      </w:tr>
      <w:tr>
        <w:trPr>
          <w:trHeight w:val="171"/>
        </w:trPr>
        <w:tc>
          <w:tcPr>
            <w:tcW w:w="5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5"/>
              <w:spacing w:after="0" w:line="155" w:lineRule="exact"/>
              <w:rPr>
                <w:sz w:val="20"/>
                <w:szCs w:val="20"/>
                <w:color w:val="auto"/>
              </w:rPr>
            </w:pPr>
            <w:r>
              <w:rPr>
                <w:rFonts w:ascii="Arial" w:cs="Arial" w:eastAsia="Arial" w:hAnsi="Arial"/>
                <w:sz w:val="14"/>
                <w:szCs w:val="14"/>
                <w:b w:val="1"/>
                <w:bCs w:val="1"/>
                <w:color w:val="auto"/>
                <w:w w:val="93"/>
              </w:rPr>
              <w:t>(52 weeks)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95"/>
              <w:spacing w:after="0" w:line="155" w:lineRule="exact"/>
              <w:rPr>
                <w:sz w:val="20"/>
                <w:szCs w:val="20"/>
                <w:color w:val="auto"/>
              </w:rPr>
            </w:pPr>
            <w:r>
              <w:rPr>
                <w:rFonts w:ascii="Arial" w:cs="Arial" w:eastAsia="Arial" w:hAnsi="Arial"/>
                <w:sz w:val="14"/>
                <w:szCs w:val="14"/>
                <w:b w:val="1"/>
                <w:bCs w:val="1"/>
                <w:color w:val="auto"/>
                <w:w w:val="93"/>
              </w:rPr>
              <w:t>(52 weeks)</w:t>
            </w:r>
          </w:p>
        </w:tc>
        <w:tc>
          <w:tcPr>
            <w:tcW w:w="100" w:type="dxa"/>
            <w:vAlign w:val="bottom"/>
          </w:tcPr>
          <w:p>
            <w:pPr>
              <w:spacing w:after="0"/>
              <w:rPr>
                <w:sz w:val="13"/>
                <w:szCs w:val="13"/>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4,550</w:t>
            </w:r>
          </w:p>
        </w:tc>
        <w:tc>
          <w:tcPr>
            <w:tcW w:w="16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(29,869)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4,273</w:t>
            </w:r>
          </w:p>
        </w:tc>
        <w:tc>
          <w:tcPr>
            <w:tcW w:w="100" w:type="dxa"/>
            <w:vAlign w:val="bottom"/>
          </w:tcPr>
          <w:p>
            <w:pPr>
              <w:spacing w:after="0"/>
              <w:rPr>
                <w:sz w:val="19"/>
                <w:szCs w:val="19"/>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15,732</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(28,885)</w:t>
            </w:r>
          </w:p>
        </w:tc>
        <w:tc>
          <w:tcPr>
            <w:tcW w:w="2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w:t>
            </w:r>
          </w:p>
        </w:tc>
        <w:tc>
          <w:tcPr>
            <w:tcW w:w="10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39,087</w:t>
            </w:r>
          </w:p>
        </w:tc>
        <w:tc>
          <w:tcPr>
            <w:tcW w:w="160" w:type="dxa"/>
            <w:vAlign w:val="bottom"/>
          </w:tcPr>
          <w:p>
            <w:pPr>
              <w:spacing w:after="0"/>
              <w:rPr>
                <w:sz w:val="19"/>
                <w:szCs w:val="19"/>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19,604</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(34,814)</w:t>
            </w: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(1,346)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(10,273)</w:t>
            </w:r>
          </w:p>
        </w:tc>
      </w:tr>
      <w:tr>
        <w:trPr>
          <w:trHeight w:val="223"/>
        </w:trPr>
        <w:tc>
          <w:tcPr>
            <w:tcW w:w="59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25,548</w:t>
            </w:r>
          </w:p>
        </w:tc>
        <w:tc>
          <w:tcPr>
            <w:tcW w:w="24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53,473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reconciliation of income tax expense (benefit) at the federal statutory rate with the provision for income taxes is as follows (in thousands):</w:t>
      </w:r>
    </w:p>
    <w:p>
      <w:pPr>
        <w:spacing w:after="0" w:line="309"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Fiscal years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left="53"/>
              <w:spacing w:after="0" w:line="155" w:lineRule="exact"/>
              <w:rPr>
                <w:sz w:val="20"/>
                <w:szCs w:val="20"/>
                <w:color w:val="auto"/>
              </w:rPr>
            </w:pPr>
            <w:r>
              <w:rPr>
                <w:rFonts w:ascii="Arial" w:cs="Arial" w:eastAsia="Arial" w:hAnsi="Arial"/>
                <w:sz w:val="14"/>
                <w:szCs w:val="14"/>
                <w:b w:val="1"/>
                <w:bCs w:val="1"/>
                <w:color w:val="auto"/>
                <w:w w:val="94"/>
              </w:rPr>
              <w:t>January 29, 2022</w:t>
            </w:r>
          </w:p>
        </w:tc>
        <w:tc>
          <w:tcPr>
            <w:tcW w:w="3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5"/>
          </w:tcPr>
          <w:p>
            <w:pPr>
              <w:jc w:val="center"/>
              <w:ind w:right="480"/>
              <w:spacing w:after="0" w:line="155" w:lineRule="exact"/>
              <w:rPr>
                <w:sz w:val="20"/>
                <w:szCs w:val="20"/>
                <w:color w:val="auto"/>
              </w:rPr>
            </w:pPr>
            <w:r>
              <w:rPr>
                <w:rFonts w:ascii="Arial" w:cs="Arial" w:eastAsia="Arial" w:hAnsi="Arial"/>
                <w:sz w:val="14"/>
                <w:szCs w:val="14"/>
                <w:b w:val="1"/>
                <w:bCs w:val="1"/>
                <w:color w:val="auto"/>
                <w:w w:val="94"/>
              </w:rPr>
              <w:t>January 30, 2021</w:t>
            </w: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left="93"/>
              <w:spacing w:after="0" w:line="155" w:lineRule="exact"/>
              <w:rPr>
                <w:sz w:val="20"/>
                <w:szCs w:val="20"/>
                <w:color w:val="auto"/>
              </w:rPr>
            </w:pPr>
            <w:r>
              <w:rPr>
                <w:rFonts w:ascii="Arial" w:cs="Arial" w:eastAsia="Arial" w:hAnsi="Arial"/>
                <w:sz w:val="14"/>
                <w:szCs w:val="14"/>
                <w:b w:val="1"/>
                <w:bCs w:val="1"/>
                <w:color w:val="auto"/>
                <w:w w:val="95"/>
              </w:rPr>
              <w:t>February 1, 2020</w:t>
            </w: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3"/>
          </w:tcPr>
          <w:p>
            <w:pPr>
              <w:jc w:val="center"/>
              <w:ind w:left="53"/>
              <w:spacing w:after="0" w:line="155" w:lineRule="exact"/>
              <w:rPr>
                <w:sz w:val="20"/>
                <w:szCs w:val="20"/>
                <w:color w:val="auto"/>
              </w:rPr>
            </w:pPr>
            <w:r>
              <w:rPr>
                <w:rFonts w:ascii="Arial" w:cs="Arial" w:eastAsia="Arial" w:hAnsi="Arial"/>
                <w:sz w:val="14"/>
                <w:szCs w:val="14"/>
                <w:b w:val="1"/>
                <w:bCs w:val="1"/>
                <w:color w:val="auto"/>
                <w:w w:val="93"/>
              </w:rPr>
              <w:t>(52 weeks)</w:t>
            </w:r>
          </w:p>
        </w:tc>
        <w:tc>
          <w:tcPr>
            <w:tcW w:w="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3"/>
          </w:tcPr>
          <w:p>
            <w:pPr>
              <w:jc w:val="center"/>
              <w:ind w:left="173"/>
              <w:spacing w:after="0" w:line="155" w:lineRule="exact"/>
              <w:rPr>
                <w:sz w:val="20"/>
                <w:szCs w:val="20"/>
                <w:color w:val="auto"/>
              </w:rPr>
            </w:pPr>
            <w:r>
              <w:rPr>
                <w:rFonts w:ascii="Arial" w:cs="Arial" w:eastAsia="Arial" w:hAnsi="Arial"/>
                <w:sz w:val="14"/>
                <w:szCs w:val="14"/>
                <w:b w:val="1"/>
                <w:bCs w:val="1"/>
                <w:color w:val="auto"/>
                <w:w w:val="90"/>
              </w:rPr>
              <w:t>(52 weeks)</w:t>
            </w: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left="113"/>
              <w:spacing w:after="0" w:line="155" w:lineRule="exact"/>
              <w:rPr>
                <w:sz w:val="20"/>
                <w:szCs w:val="20"/>
                <w:color w:val="auto"/>
              </w:rPr>
            </w:pPr>
            <w:r>
              <w:rPr>
                <w:rFonts w:ascii="Arial" w:cs="Arial" w:eastAsia="Arial" w:hAnsi="Arial"/>
                <w:sz w:val="14"/>
                <w:szCs w:val="14"/>
                <w:b w:val="1"/>
                <w:bCs w:val="1"/>
                <w:color w:val="auto"/>
                <w:w w:val="90"/>
              </w:rPr>
              <w:t>(52 weeks)</w:t>
            </w: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Income tax expense (benefit) at federal statutory rate   $</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45,751</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3"/>
              </w:rPr>
              <w:t>21.0%</w:t>
            </w:r>
          </w:p>
        </w:tc>
        <w:tc>
          <w:tcPr>
            <w:tcW w:w="2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(6,251)</w:t>
            </w: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(27,524)</w:t>
            </w:r>
          </w:p>
        </w:tc>
        <w:tc>
          <w:tcPr>
            <w:tcW w:w="4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21.0%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620" w:type="dxa"/>
            <w:vAlign w:val="bottom"/>
          </w:tcPr>
          <w:p>
            <w:pPr>
              <w:jc w:val="right"/>
              <w:spacing w:after="0"/>
              <w:rPr>
                <w:sz w:val="20"/>
                <w:szCs w:val="20"/>
                <w:color w:val="auto"/>
              </w:rPr>
            </w:pPr>
            <w:r>
              <w:rPr>
                <w:rFonts w:ascii="Arial" w:cs="Arial" w:eastAsia="Arial" w:hAnsi="Arial"/>
                <w:sz w:val="18"/>
                <w:szCs w:val="18"/>
                <w:color w:val="auto"/>
              </w:rPr>
              <w:t>7,636</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9"/>
                <w:szCs w:val="19"/>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(4,073)</w:t>
            </w:r>
          </w:p>
        </w:tc>
        <w:tc>
          <w:tcPr>
            <w:tcW w:w="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(2,500)</w:t>
            </w:r>
          </w:p>
        </w:tc>
        <w:tc>
          <w:tcPr>
            <w:tcW w:w="4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(1,907)</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(4,150)</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CARES Act – carryback rate differential</w:t>
            </w:r>
          </w:p>
        </w:tc>
        <w:tc>
          <w:tcPr>
            <w:tcW w:w="124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(8,752)</w:t>
            </w:r>
          </w:p>
        </w:tc>
        <w:tc>
          <w:tcPr>
            <w:tcW w:w="3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IPO transaction costs</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(5,201)</w:t>
            </w:r>
          </w:p>
        </w:tc>
        <w:tc>
          <w:tcPr>
            <w:tcW w:w="4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(551)</w:t>
            </w:r>
          </w:p>
        </w:tc>
        <w:tc>
          <w:tcPr>
            <w:tcW w:w="4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(1,899)</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0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53,473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24.5%</w:t>
            </w:r>
          </w:p>
        </w:tc>
        <w:tc>
          <w:tcPr>
            <w:tcW w:w="6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(3,337</w:t>
            </w:r>
          </w:p>
        </w:tc>
        <w:tc>
          <w:tcPr>
            <w:tcW w:w="2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(35,658</w:t>
            </w:r>
          </w:p>
        </w:tc>
        <w:tc>
          <w:tcPr>
            <w:tcW w:w="1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27.3%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right="220" w:firstLine="594"/>
        <w:spacing w:after="0" w:line="279" w:lineRule="auto"/>
        <w:rPr>
          <w:sz w:val="20"/>
          <w:szCs w:val="20"/>
          <w:color w:val="auto"/>
        </w:rPr>
      </w:pPr>
      <w:r>
        <w:rPr>
          <w:rFonts w:ascii="Arial" w:cs="Arial" w:eastAsia="Arial" w:hAnsi="Arial"/>
          <w:sz w:val="17"/>
          <w:szCs w:val="17"/>
          <w:color w:val="auto"/>
        </w:rPr>
        <w:t>The effective tax rate is based on expected taxable income, statutory tax rates and tax planning opportunities available to the Company. Reserves are established when positions are “more likely than not” to be challenged and not sustained. Reserves are adjusted at each financial statement date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spacing w:after="0" w:line="171" w:lineRule="exact"/>
        <w:rPr>
          <w:sz w:val="20"/>
          <w:szCs w:val="20"/>
          <w:color w:val="auto"/>
        </w:rPr>
      </w:pPr>
    </w:p>
    <w:p>
      <w:pPr>
        <w:ind w:right="180" w:firstLine="594"/>
        <w:spacing w:after="0" w:line="273"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(“CARES Act”) was signed into law by the President of the United States. The CARES Act includes, among other things, U.S. corporate income tax provisions related to net operating loss carryback periods, alternative minimum tax credits, modifications to interest deduction limitations and technical corrections on tax depreciation methods for qualified improvement property. The Company re-measured deferred tax assets related to $67.4 million net operating losses available under the CARES Act that are expected to be carried back to the fiscal years before the Tax Act was enacted, which resulted in a benefit of $8.8 million that increased the effective tax rate in the fiscal year ended January 30, 2021.</w:t>
      </w:r>
    </w:p>
    <w:p>
      <w:pPr>
        <w:spacing w:after="0" w:line="178"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During the fiscal year ended January 29, 2022, the Company completed its analysis of third party legal, consulting, accounting, and other transaction costs incurred by the Company in connection with its initial public offering on January 13, 2021, which resulted in a benefit of $5.2 million that decreased the effective tax rate in the fiscal year ended January 29, 2022.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29,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5820" w:type="dxa"/>
            <w:vAlign w:val="bottom"/>
            <w:tcBorders>
              <w:bottom w:val="single" w:sz="8" w:color="CFF0FC"/>
            </w:tcBorders>
          </w:tcPr>
          <w:p>
            <w:pPr>
              <w:spacing w:after="0"/>
              <w:rPr>
                <w:sz w:val="14"/>
                <w:szCs w:val="14"/>
                <w:color w:val="auto"/>
              </w:rPr>
            </w:pPr>
          </w:p>
        </w:tc>
        <w:tc>
          <w:tcPr>
            <w:tcW w:w="19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1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21,203</w:t>
            </w:r>
          </w:p>
        </w:tc>
        <w:tc>
          <w:tcPr>
            <w:tcW w:w="180" w:type="dxa"/>
            <w:vAlign w:val="bottom"/>
          </w:tcPr>
          <w:p>
            <w:pPr>
              <w:spacing w:after="0"/>
              <w:rPr>
                <w:sz w:val="19"/>
                <w:szCs w:val="19"/>
                <w:color w:val="auto"/>
              </w:rPr>
            </w:pP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20,212</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employee benefits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44,437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Net operating losses, state tax credit carryforwards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5,733</w:t>
            </w:r>
          </w:p>
        </w:tc>
        <w:tc>
          <w:tcPr>
            <w:tcW w:w="120" w:type="dxa"/>
            <w:vAlign w:val="bottom"/>
          </w:tcPr>
          <w:p>
            <w:pPr>
              <w:spacing w:after="0"/>
              <w:rPr>
                <w:sz w:val="19"/>
                <w:szCs w:val="19"/>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limitation carry-forward under</w:t>
            </w:r>
          </w:p>
        </w:tc>
        <w:tc>
          <w:tcPr>
            <w:tcW w:w="1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IRC §163(j)</w:t>
            </w:r>
          </w:p>
        </w:tc>
        <w:tc>
          <w:tcPr>
            <w:tcW w:w="1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w:t>
            </w:r>
          </w:p>
        </w:tc>
        <w:tc>
          <w:tcPr>
            <w:tcW w:w="120" w:type="dxa"/>
            <w:vAlign w:val="bottom"/>
            <w:shd w:val="clear" w:color="auto" w:fill="CFF0FC"/>
          </w:tcPr>
          <w:p>
            <w:pPr>
              <w:spacing w:after="0"/>
              <w:rPr>
                <w:sz w:val="20"/>
                <w:szCs w:val="20"/>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Lease-related items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359,677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355,321</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9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451,821</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9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445,885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445,672</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Fixed assets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(115,621)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(91,769)</w:t>
            </w: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(267,597)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(264,720)</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Debt restructuring</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(7,493)</w:t>
            </w: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Lease-related items</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(347,501)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(345,123)</w:t>
            </w: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Investments in joint ventures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(31,273)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(16,830)</w:t>
            </w: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(657)</w:t>
            </w: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19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(764,240)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(726,592)</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19"/>
                <w:szCs w:val="19"/>
                <w:color w:val="auto"/>
              </w:rPr>
            </w:pPr>
          </w:p>
        </w:tc>
        <w:tc>
          <w:tcPr>
            <w:tcW w:w="19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(318,355)</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(280,920)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89"/>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spacing w:after="0" w:line="187" w:lineRule="exact"/>
        <w:rPr>
          <w:sz w:val="20"/>
          <w:szCs w:val="20"/>
          <w:color w:val="auto"/>
        </w:rPr>
      </w:pPr>
    </w:p>
    <w:p>
      <w:pPr>
        <w:ind w:right="80" w:firstLine="589"/>
        <w:spacing w:after="0" w:line="279" w:lineRule="auto"/>
        <w:rPr>
          <w:sz w:val="20"/>
          <w:szCs w:val="20"/>
          <w:color w:val="auto"/>
        </w:rPr>
      </w:pPr>
      <w:r>
        <w:rPr>
          <w:rFonts w:ascii="Arial" w:cs="Arial" w:eastAsia="Arial" w:hAnsi="Arial"/>
          <w:sz w:val="17"/>
          <w:szCs w:val="17"/>
          <w:color w:val="auto"/>
        </w:rPr>
        <w:t>As of January 29, 2022, the Company has recorded a deferred tax asset of $2.5 million reflecting the benefit of $48.4 million in state income tax net operating loss carryforwards, which will begin to expire in fiscal 2023. The Company believes that it is more likely than not that the state net operating loss carryforward will not be realized and recorded a valuation allowance of $2.5 million on the deferred tax asset related to these state net operating loss carryforwards as of January 29, 2022. The Company recorded a deferred tax asset of $3.5 million for certain state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2" w:name="page93"/>
    <w:bookmarkEnd w:id="92"/>
    <w:p>
      <w:pPr>
        <w:ind w:right="260"/>
        <w:spacing w:after="0" w:line="263" w:lineRule="auto"/>
        <w:rPr>
          <w:sz w:val="20"/>
          <w:szCs w:val="20"/>
          <w:color w:val="auto"/>
        </w:rPr>
      </w:pPr>
      <w:r>
        <w:rPr>
          <w:rFonts w:ascii="Arial" w:cs="Arial" w:eastAsia="Arial" w:hAnsi="Arial"/>
          <w:sz w:val="18"/>
          <w:szCs w:val="18"/>
          <w:color w:val="auto"/>
        </w:rPr>
        <w:t>tax credits as of January 29, 2022. The Company believes it is more likely than not that a portion of these credits will not be realized and has recorded a $2.8 million valuation allowance related to these credits. If or when recognized, the tax benefits related to any reversal of the valuation allowance on deferred tax assets will be accounted for as a reduction of income tax expense.</w:t>
      </w:r>
    </w:p>
    <w:p>
      <w:pPr>
        <w:spacing w:after="0" w:line="184"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The Company has approximately $16.4 million of unrecognized tax benefits as of January 29, 2022, of which $4.2 million, if recognized, would impact the effective tax rate and $12.2 million would result in an adjustment to the net deferred tax liability.</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unrecognized tax benefits, excluding interest and penalties, were as follows (in thousands):</w:t>
      </w:r>
    </w:p>
    <w:p>
      <w:pPr>
        <w:spacing w:after="0" w:line="21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64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16,421</w:t>
            </w:r>
          </w:p>
        </w:tc>
        <w:tc>
          <w:tcPr>
            <w:tcW w:w="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Additions for tax positions taken in prior years</w:t>
            </w:r>
          </w:p>
        </w:tc>
        <w:tc>
          <w:tcPr>
            <w:tcW w:w="260" w:type="dxa"/>
            <w:vAlign w:val="bottom"/>
          </w:tcPr>
          <w:p>
            <w:pPr>
              <w:spacing w:after="0"/>
              <w:rPr>
                <w:sz w:val="19"/>
                <w:szCs w:val="19"/>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19"/>
                <w:szCs w:val="19"/>
                <w:color w:val="auto"/>
              </w:rPr>
            </w:pPr>
          </w:p>
        </w:tc>
      </w:tr>
      <w:tr>
        <w:trPr>
          <w:trHeight w:val="230"/>
        </w:trPr>
        <w:tc>
          <w:tcPr>
            <w:tcW w:w="6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Decreases related to lapse of statute limitation</w:t>
            </w: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89"/>
        <w:spacing w:after="0" w:line="259" w:lineRule="auto"/>
        <w:rPr>
          <w:sz w:val="20"/>
          <w:szCs w:val="20"/>
          <w:color w:val="auto"/>
        </w:rPr>
      </w:pPr>
      <w:r>
        <w:rPr>
          <w:rFonts w:ascii="Arial" w:cs="Arial" w:eastAsia="Arial" w:hAnsi="Arial"/>
          <w:sz w:val="18"/>
          <w:szCs w:val="18"/>
          <w:color w:val="auto"/>
        </w:rPr>
        <w:t>The Company has approximately $1.7 million accrued for interest and penalties as of January 29, 2022 in the consolidated balance sheets and recorded $0.9 million in interest during fiscal 2021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spacing w:after="0" w:line="187"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The Company is no longer subject to examination for U.S. federal income tax for periods prior to fiscal 2018. The Company is no longer subject to examination by state tax authorities for tax periods prior to fiscal 2016. The Company is currently under audit by various state jurisdictions for various years. Though the estimated completion dates of these audits are not known, it is possible that these audits will be completed within the next 12 months. In addition, the Company does not foresee other material changes to the federal or state uncertain tax positions affecting income tax expense within the next 12 months. The Company has no material foreign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 (Loss)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Changes in the balances of each component included in AOCI are presented below (net of tax,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currency</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Derivatives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2"/>
                <w:szCs w:val="12"/>
                <w:color w:val="auto"/>
              </w:rPr>
            </w:pP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February 2, 2019</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tcPr>
          <w:p>
            <w:pPr>
              <w:spacing w:after="0"/>
              <w:rPr>
                <w:sz w:val="20"/>
                <w:szCs w:val="20"/>
                <w:color w:val="auto"/>
              </w:rPr>
            </w:pPr>
            <w:r>
              <w:rPr>
                <w:rFonts w:ascii="Arial" w:cs="Arial" w:eastAsia="Arial" w:hAnsi="Arial"/>
                <w:sz w:val="18"/>
                <w:szCs w:val="18"/>
                <w:color w:val="auto"/>
              </w:rPr>
              <w:t>Other comprehensive (loss) income before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(9,088)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(loss) income</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 at February 1, 2020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1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Amounts reclassified from AOCI</w:t>
            </w: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30, 2021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(963)</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29, 2022</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Baseball Stadium Naming Rights Commitment</w:t>
      </w:r>
    </w:p>
    <w:p>
      <w:pPr>
        <w:spacing w:after="0" w:line="117" w:lineRule="exact"/>
        <w:rPr>
          <w:sz w:val="20"/>
          <w:szCs w:val="20"/>
          <w:color w:val="auto"/>
        </w:rPr>
      </w:pPr>
    </w:p>
    <w:p>
      <w:pPr>
        <w:ind w:right="280" w:firstLine="589"/>
        <w:spacing w:after="0" w:line="277" w:lineRule="auto"/>
        <w:rPr>
          <w:sz w:val="20"/>
          <w:szCs w:val="20"/>
          <w:color w:val="auto"/>
        </w:rPr>
      </w:pPr>
      <w:r>
        <w:rPr>
          <w:rFonts w:ascii="Arial" w:cs="Arial" w:eastAsia="Arial" w:hAnsi="Arial"/>
          <w:sz w:val="18"/>
          <w:szCs w:val="18"/>
          <w:color w:val="auto"/>
        </w:rPr>
        <w:t>In March 2003, the Company entered into an agreement with San Diego Ballpark Funding LLC and Padres L.P. to name the San Diego Padres’ new stadium Petco Park. The naming rights include signage, advertising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3" w:name="page94"/>
    <w:bookmarkEnd w:id="93"/>
    <w:p>
      <w:pPr>
        <w:ind w:right="160"/>
        <w:spacing w:after="0" w:line="259" w:lineRule="auto"/>
        <w:rPr>
          <w:sz w:val="20"/>
          <w:szCs w:val="20"/>
          <w:color w:val="auto"/>
        </w:rPr>
      </w:pPr>
      <w:r>
        <w:rPr>
          <w:rFonts w:ascii="Arial" w:cs="Arial" w:eastAsia="Arial" w:hAnsi="Arial"/>
          <w:sz w:val="18"/>
          <w:szCs w:val="18"/>
          <w:color w:val="auto"/>
        </w:rPr>
        <w:t>other promotional benefits. Pursuant to the agreement, the Company pays an annual contract fee. Fees for fiscal 2021, 2020, and 2019 were $4.1 million, $4.1 million, and $4.0 million, respectively. These fees are included in selling, general and administrative expenses in the consolidated statements of operations, and will be adjusted by the maximum annual change related to the San Diego consumer price index per year through the 2027 Major League Baseball season.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7"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January 29, 2022.</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of the 1934 Act. Management has assessed the effectiveness of our internal control over financial reporting as of January 29, 2022 based on criteria established in Internal Control — Integrated Framework (2013) issued by the Committee of Sponsoring Organizations of the Treadway Commission. As a result of this assessment, management concluded that, as of January 29, 2022, we maintained effective internal control over financial reporting.</w:t>
      </w:r>
    </w:p>
    <w:p>
      <w:pPr>
        <w:spacing w:after="0" w:line="171" w:lineRule="exact"/>
        <w:rPr>
          <w:sz w:val="20"/>
          <w:szCs w:val="20"/>
          <w:color w:val="auto"/>
        </w:rPr>
      </w:pPr>
    </w:p>
    <w:p>
      <w:pPr>
        <w:ind w:right="180" w:firstLine="589"/>
        <w:spacing w:after="0" w:line="308" w:lineRule="auto"/>
        <w:rPr>
          <w:sz w:val="20"/>
          <w:szCs w:val="20"/>
          <w:color w:val="auto"/>
        </w:rPr>
      </w:pPr>
      <w:r>
        <w:rPr>
          <w:rFonts w:ascii="Arial" w:cs="Arial" w:eastAsia="Arial" w:hAnsi="Arial"/>
          <w:sz w:val="17"/>
          <w:szCs w:val="17"/>
          <w:color w:val="auto"/>
        </w:rPr>
        <w:t>The effectiveness of our internal control over financial reporting as of January 29, 2022 has been audited by Ernst &amp; Young LLP, an independent registered public accounting firm, as stated in their report that appears under Part II, Item 8 of this Annual Report on Form 10-K.</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fiscal 2021 that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666"/>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our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33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our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37" w:lineRule="exact"/>
        <w:rPr>
          <w:sz w:val="20"/>
          <w:szCs w:val="20"/>
          <w:color w:val="auto"/>
        </w:rPr>
      </w:pPr>
    </w:p>
    <w:p>
      <w:pPr>
        <w:ind w:right="60" w:firstLine="540"/>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our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r>
        <w:rPr>
          <w:rFonts w:ascii="Arial" w:cs="Arial" w:eastAsia="Arial" w:hAnsi="Arial"/>
          <w:sz w:val="18"/>
          <w:szCs w:val="18"/>
          <w:color w:val="auto"/>
        </w:rPr>
        <w:t>.</w:t>
      </w:r>
    </w:p>
    <w:p>
      <w:pPr>
        <w:spacing w:after="0" w:line="337" w:lineRule="exact"/>
        <w:rPr>
          <w:sz w:val="20"/>
          <w:szCs w:val="20"/>
          <w:color w:val="auto"/>
        </w:rPr>
      </w:pPr>
    </w:p>
    <w:p>
      <w:pPr>
        <w:ind w:right="80" w:firstLine="535"/>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our fiscal year covered by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60" w:firstLine="540"/>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2022 annual meeting of stockholders to be filed with the SEC within 120 days after the end of our fiscal year covered by this Annual Report on Form 10-K.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As part of this Annual Report on Form 10-K, the consolidated financial statements are listed in the accompanying index to financial statements on page 60.</w:t>
      </w:r>
    </w:p>
    <w:p>
      <w:pPr>
        <w:spacing w:after="0" w:line="274" w:lineRule="exact"/>
        <w:rPr>
          <w:sz w:val="20"/>
          <w:szCs w:val="20"/>
          <w:color w:val="auto"/>
        </w:rPr>
      </w:pPr>
    </w:p>
    <w:p>
      <w:pPr>
        <w:ind w:left="600" w:right="8700" w:hanging="592"/>
        <w:spacing w:after="0" w:line="488" w:lineRule="auto"/>
        <w:tabs>
          <w:tab w:leader="none" w:pos="191"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 Schedules </w:t>
      </w:r>
      <w:r>
        <w:rPr>
          <w:rFonts w:ascii="Arial" w:cs="Arial" w:eastAsia="Arial" w:hAnsi="Arial"/>
          <w:sz w:val="16"/>
          <w:szCs w:val="16"/>
          <w:color w:val="auto"/>
        </w:rPr>
        <w:t>Not applicable.</w:t>
      </w:r>
    </w:p>
    <w:p>
      <w:pPr>
        <w:spacing w:after="0" w:line="115" w:lineRule="exact"/>
        <w:rPr>
          <w:rFonts w:ascii="Arial" w:cs="Arial" w:eastAsia="Arial" w:hAnsi="Arial"/>
          <w:sz w:val="16"/>
          <w:szCs w:val="16"/>
          <w:b w:val="1"/>
          <w:bCs w:val="1"/>
          <w:color w:val="auto"/>
        </w:rPr>
      </w:pPr>
    </w:p>
    <w:p>
      <w:pPr>
        <w:ind w:left="180" w:hanging="172"/>
        <w:spacing w:after="0"/>
        <w:tabs>
          <w:tab w:leader="none" w:pos="1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list of exhibits filed as part of this Annual Report on Form 10-K or are incorporated herein by reference: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Exhibit</w:t>
            </w:r>
          </w:p>
        </w:tc>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8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8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Borders>
              <w:top w:val="single" w:sz="8" w:color="auto"/>
            </w:tcBorders>
          </w:tcPr>
          <w:p>
            <w:pPr>
              <w:jc w:val="center"/>
              <w:ind w:right="333"/>
              <w:spacing w:after="0"/>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24"/>
                <w:szCs w:val="24"/>
                <w:color w:val="auto"/>
              </w:rPr>
            </w:pPr>
          </w:p>
        </w:tc>
        <w:tc>
          <w:tcPr>
            <w:tcW w:w="10160" w:type="dxa"/>
            <w:vAlign w:val="bottom"/>
            <w:tcBorders>
              <w:top w:val="single" w:sz="8" w:color="auto"/>
            </w:tcBorders>
            <w:gridSpan w:val="21"/>
          </w:tcPr>
          <w:p>
            <w:pPr>
              <w:spacing w:after="0"/>
              <w:rPr>
                <w:rFonts w:ascii="Arial" w:cs="Arial" w:eastAsia="Arial" w:hAnsi="Arial"/>
                <w:sz w:val="18"/>
                <w:szCs w:val="18"/>
                <w:color w:val="0000EE"/>
                <w:w w:val="94"/>
              </w:rPr>
            </w:pPr>
            <w:hyperlink r:id="rId124">
              <w:r>
                <w:rPr>
                  <w:rFonts w:ascii="Arial" w:cs="Arial" w:eastAsia="Arial" w:hAnsi="Arial"/>
                  <w:sz w:val="18"/>
                  <w:szCs w:val="18"/>
                  <w:color w:val="0000EE"/>
                  <w:w w:val="94"/>
                </w:rPr>
                <w:t>Second Amended and Restated Certificate of Incorporation of Petco Health and Wellness Company, Inc. (incorporated by reference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Exhibit 3.1 of the Company’s Current Report on Form 8-K, filed on January 19, 2021)</w:t>
              </w:r>
            </w:hyperlink>
          </w:p>
        </w:tc>
        <w:tc>
          <w:tcPr>
            <w:tcW w:w="5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center"/>
              <w:ind w:right="333"/>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24"/>
                <w:szCs w:val="24"/>
                <w:color w:val="auto"/>
              </w:rPr>
            </w:pPr>
          </w:p>
        </w:tc>
        <w:tc>
          <w:tcPr>
            <w:tcW w:w="9540" w:type="dxa"/>
            <w:vAlign w:val="bottom"/>
            <w:tcBorders>
              <w:bottom w:val="single" w:sz="8" w:color="0000EE"/>
            </w:tcBorders>
            <w:gridSpan w:val="11"/>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Second Amended and Restated Bylaws of Petco Health and Wellness Company, Inc. (incorporated by reference to Exhibit 3.2 of the</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Company’s Current Report on Form 8-K, filed on January 19,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center"/>
              <w:ind w:right="333"/>
              <w:spacing w:after="0"/>
              <w:rPr>
                <w:sz w:val="20"/>
                <w:szCs w:val="20"/>
                <w:color w:val="auto"/>
              </w:rPr>
            </w:pPr>
            <w:r>
              <w:rPr>
                <w:rFonts w:ascii="Arial" w:cs="Arial" w:eastAsia="Arial" w:hAnsi="Arial"/>
                <w:sz w:val="18"/>
                <w:szCs w:val="18"/>
                <w:color w:val="auto"/>
                <w:w w:val="95"/>
              </w:rPr>
              <w:t>4.1</w:t>
            </w:r>
          </w:p>
        </w:tc>
        <w:tc>
          <w:tcPr>
            <w:tcW w:w="60" w:type="dxa"/>
            <w:vAlign w:val="bottom"/>
          </w:tcPr>
          <w:p>
            <w:pPr>
              <w:spacing w:after="0"/>
              <w:rPr>
                <w:sz w:val="24"/>
                <w:szCs w:val="24"/>
                <w:color w:val="auto"/>
              </w:rPr>
            </w:pPr>
          </w:p>
        </w:tc>
        <w:tc>
          <w:tcPr>
            <w:tcW w:w="10160" w:type="dxa"/>
            <w:vAlign w:val="bottom"/>
            <w:gridSpan w:val="21"/>
          </w:tcPr>
          <w:p>
            <w:pPr>
              <w:spacing w:after="0"/>
              <w:rPr>
                <w:rFonts w:ascii="Arial" w:cs="Arial" w:eastAsia="Arial" w:hAnsi="Arial"/>
                <w:sz w:val="18"/>
                <w:szCs w:val="18"/>
                <w:color w:val="0000EE"/>
                <w:w w:val="94"/>
              </w:rPr>
            </w:pPr>
            <w:hyperlink r:id="rId126">
              <w:r>
                <w:rPr>
                  <w:rFonts w:ascii="Arial" w:cs="Arial" w:eastAsia="Arial" w:hAnsi="Arial"/>
                  <w:sz w:val="18"/>
                  <w:szCs w:val="18"/>
                  <w:color w:val="0000EE"/>
                  <w:w w:val="94"/>
                </w:rPr>
                <w:t>Registration Rights Agreement, dated as of January 19, 2021, by and between Petco Health and Wellness Company, Inc. and Scooby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Aggregator, LP (incorporated by reference to Exhibit 4.1 of the Company’s Current Report on Form 8-K, filed on January 19, 2021)</w:t>
              </w:r>
            </w:hyperlink>
          </w:p>
        </w:tc>
        <w:tc>
          <w:tcPr>
            <w:tcW w:w="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20" w:type="dxa"/>
            <w:vAlign w:val="bottom"/>
          </w:tcPr>
          <w:p>
            <w:pPr>
              <w:jc w:val="center"/>
              <w:ind w:right="333"/>
              <w:spacing w:after="0"/>
              <w:rPr>
                <w:sz w:val="20"/>
                <w:szCs w:val="20"/>
                <w:color w:val="auto"/>
              </w:rPr>
            </w:pPr>
            <w:r>
              <w:rPr>
                <w:rFonts w:ascii="Arial" w:cs="Arial" w:eastAsia="Arial" w:hAnsi="Arial"/>
                <w:sz w:val="18"/>
                <w:szCs w:val="18"/>
                <w:color w:val="auto"/>
                <w:w w:val="95"/>
              </w:rPr>
              <w:t>4.2</w:t>
            </w:r>
          </w:p>
        </w:tc>
        <w:tc>
          <w:tcPr>
            <w:tcW w:w="60" w:type="dxa"/>
            <w:vAlign w:val="bottom"/>
          </w:tcPr>
          <w:p>
            <w:pPr>
              <w:spacing w:after="0"/>
              <w:rPr>
                <w:sz w:val="24"/>
                <w:szCs w:val="24"/>
                <w:color w:val="auto"/>
              </w:rPr>
            </w:pPr>
          </w:p>
        </w:tc>
        <w:tc>
          <w:tcPr>
            <w:tcW w:w="10080" w:type="dxa"/>
            <w:vAlign w:val="bottom"/>
            <w:tcBorders>
              <w:bottom w:val="single" w:sz="8" w:color="0000EE"/>
            </w:tcBorders>
            <w:gridSpan w:val="19"/>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Stockholder’s Agreement, dated as of January 19, 2021, by and between Petco Health and Wellness Company, Inc. and Scooby Aggregator,</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LP (incorporated by reference to Exhibit 4.2 of the Company’s Current Report on Form 8-K, filed on January 19,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20" w:type="dxa"/>
            <w:vAlign w:val="bottom"/>
          </w:tcPr>
          <w:p>
            <w:pPr>
              <w:jc w:val="center"/>
              <w:ind w:right="333"/>
              <w:spacing w:after="0"/>
              <w:rPr>
                <w:sz w:val="20"/>
                <w:szCs w:val="20"/>
                <w:color w:val="auto"/>
              </w:rPr>
            </w:pPr>
            <w:r>
              <w:rPr>
                <w:rFonts w:ascii="Arial" w:cs="Arial" w:eastAsia="Arial" w:hAnsi="Arial"/>
                <w:sz w:val="18"/>
                <w:szCs w:val="18"/>
                <w:color w:val="auto"/>
                <w:w w:val="95"/>
              </w:rPr>
              <w:t>4.3</w:t>
            </w:r>
          </w:p>
        </w:tc>
        <w:tc>
          <w:tcPr>
            <w:tcW w:w="60" w:type="dxa"/>
            <w:vAlign w:val="bottom"/>
          </w:tcPr>
          <w:p>
            <w:pPr>
              <w:spacing w:after="0"/>
              <w:rPr>
                <w:sz w:val="24"/>
                <w:szCs w:val="24"/>
                <w:color w:val="auto"/>
              </w:rPr>
            </w:pPr>
          </w:p>
        </w:tc>
        <w:tc>
          <w:tcPr>
            <w:tcW w:w="10060" w:type="dxa"/>
            <w:vAlign w:val="bottom"/>
            <w:tcBorders>
              <w:bottom w:val="single" w:sz="8" w:color="0000EE"/>
            </w:tcBorders>
            <w:gridSpan w:val="18"/>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Description of Securities registered pursuant to Section 12 of the Exchange Act (incorporated by reference to Exhibit 4.3 of the Company’s</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Annual Report on Form 10-K for the fiscal year ended January 31, 2021)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10.1†</w:t>
            </w:r>
          </w:p>
        </w:tc>
        <w:tc>
          <w:tcPr>
            <w:tcW w:w="10040" w:type="dxa"/>
            <w:vAlign w:val="bottom"/>
            <w:tcBorders>
              <w:bottom w:val="single" w:sz="8" w:color="0000EE"/>
            </w:tcBorders>
            <w:gridSpan w:val="17"/>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Petco Health and Wellness Company, Inc. 2021 Equity Incentive Plan (incorporated by reference to Exhibit 10.1 of the Company’s Current</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Report on Form 8-K, filed on January 19, 2021)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10.2†</w:t>
            </w:r>
          </w:p>
        </w:tc>
        <w:tc>
          <w:tcPr>
            <w:tcW w:w="10120" w:type="dxa"/>
            <w:vAlign w:val="bottom"/>
            <w:tcBorders>
              <w:bottom w:val="single" w:sz="8" w:color="0000EE"/>
            </w:tcBorders>
            <w:gridSpan w:val="20"/>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Petco Health and Wellness Company, Inc. 2021 Employee Stock Purchase Plan (incorporated by reference to Exhibit 10.2 of the Company’s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Current Report on Form 8-K, filed on January 19, 2021)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10.3†</w:t>
            </w:r>
          </w:p>
        </w:tc>
        <w:tc>
          <w:tcPr>
            <w:tcW w:w="10160" w:type="dxa"/>
            <w:vAlign w:val="bottom"/>
            <w:gridSpan w:val="21"/>
          </w:tcPr>
          <w:p>
            <w:pPr>
              <w:spacing w:after="0"/>
              <w:rPr>
                <w:rFonts w:ascii="Arial" w:cs="Arial" w:eastAsia="Arial" w:hAnsi="Arial"/>
                <w:sz w:val="18"/>
                <w:szCs w:val="18"/>
                <w:color w:val="0000EE"/>
                <w:w w:val="98"/>
              </w:rPr>
            </w:pPr>
            <w:hyperlink r:id="rId131">
              <w:r>
                <w:rPr>
                  <w:rFonts w:ascii="Arial" w:cs="Arial" w:eastAsia="Arial" w:hAnsi="Arial"/>
                  <w:sz w:val="18"/>
                  <w:szCs w:val="18"/>
                  <w:color w:val="0000EE"/>
                  <w:w w:val="98"/>
                </w:rPr>
                <w:t>Form of Indemnification Agreement for Directors and Certain Officers (incorporated by reference to Exhibit 10.2 of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Registration Statement on Form S-1, filed on December 3, 2020)</w:t>
              </w:r>
            </w:hyperlink>
          </w:p>
        </w:tc>
        <w:tc>
          <w:tcPr>
            <w:tcW w:w="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10.4†</w:t>
            </w:r>
          </w:p>
        </w:tc>
        <w:tc>
          <w:tcPr>
            <w:tcW w:w="10160" w:type="dxa"/>
            <w:vAlign w:val="bottom"/>
            <w:gridSpan w:val="21"/>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Amended and Restated Employment Agreement between Petco Animal Supplies Stores, Inc., Petco Health and Wellness Company,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180" w:type="dxa"/>
            <w:vAlign w:val="bottom"/>
            <w:gridSpan w:val="7"/>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and Ronald Coughlin, Jr. dated December 3, 2020 (incorporated by reference to Exhibit 10.23 of the Company’s Registration Statement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Form S-1, filed on December 3, 2020)</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080" w:type="dxa"/>
            <w:vAlign w:val="bottom"/>
            <w:gridSpan w:val="8"/>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10.5†</w:t>
            </w:r>
          </w:p>
        </w:tc>
        <w:tc>
          <w:tcPr>
            <w:tcW w:w="10020" w:type="dxa"/>
            <w:vAlign w:val="bottom"/>
            <w:tcBorders>
              <w:bottom w:val="single" w:sz="8" w:color="0000EE"/>
            </w:tcBorders>
            <w:gridSpan w:val="16"/>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Employment Agreement between Petco Animal Supplies Stores, Inc. and Michael Nuzzo dated April 8, 2015 (incorporated by reference to</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21"/>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Exhibit 10.4 of the Company’s Registration Statement on Form S-1, filed on December 3, 2020)</w:t>
              </w:r>
            </w:hyperlink>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80" w:type="dxa"/>
            <w:vAlign w:val="bottom"/>
            <w:tcBorders>
              <w:top w:val="single" w:sz="8" w:color="0000EE"/>
            </w:tcBorders>
            <w:gridSpan w:val="4"/>
          </w:tcPr>
          <w:p>
            <w:pPr>
              <w:ind w:left="4460"/>
              <w:spacing w:after="0"/>
              <w:rPr>
                <w:sz w:val="20"/>
                <w:szCs w:val="20"/>
                <w:color w:val="auto"/>
              </w:rPr>
            </w:pPr>
            <w:r>
              <w:rPr>
                <w:rFonts w:ascii="Arial" w:cs="Arial" w:eastAsia="Arial" w:hAnsi="Arial"/>
                <w:sz w:val="18"/>
                <w:szCs w:val="18"/>
                <w:color w:val="auto"/>
                <w:w w:val="99"/>
              </w:rPr>
              <w:t>96</w:t>
            </w: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36">
        <w:r>
          <w:rPr>
            <w:rFonts w:ascii="Arial" w:cs="Arial" w:eastAsia="Arial" w:hAnsi="Arial"/>
            <w:sz w:val="16"/>
            <w:szCs w:val="16"/>
            <w:u w:val="single" w:color="auto"/>
            <w:color w:val="0000EE"/>
          </w:rPr>
          <w:t>Amendment to Employment Agreement between Petco Animal Supplies Stores, Inc., Scooby LP, and Michael Nuzzo dated January 26,</w:t>
        </w:r>
      </w:hyperlink>
    </w:p>
    <w:p>
      <w:pPr>
        <w:spacing w:after="0" w:line="23" w:lineRule="exact"/>
        <w:rPr>
          <w:sz w:val="20"/>
          <w:szCs w:val="20"/>
          <w:color w:val="auto"/>
        </w:rPr>
      </w:pPr>
    </w:p>
    <w:p>
      <w:pPr>
        <w:ind w:left="980"/>
        <w:spacing w:after="0"/>
        <w:rPr>
          <w:rFonts w:ascii="Arial" w:cs="Arial" w:eastAsia="Arial" w:hAnsi="Arial"/>
          <w:sz w:val="17"/>
          <w:szCs w:val="17"/>
          <w:u w:val="single" w:color="auto"/>
          <w:color w:val="0000EE"/>
        </w:rPr>
      </w:pPr>
      <w:hyperlink r:id="rId136">
        <w:r>
          <w:rPr>
            <w:rFonts w:ascii="Arial" w:cs="Arial" w:eastAsia="Arial" w:hAnsi="Arial"/>
            <w:sz w:val="17"/>
            <w:szCs w:val="17"/>
            <w:u w:val="single" w:color="auto"/>
            <w:color w:val="0000EE"/>
          </w:rPr>
          <w:t>2016 (incorporated by reference to Exhibit 10.5 of the Company’s Registration Statement on Form S-1, filed on December 3, 2020)</w:t>
        </w:r>
      </w:hyperlink>
    </w:p>
    <w:p>
      <w:pPr>
        <w:spacing w:after="0" w:line="155" w:lineRule="exact"/>
        <w:rPr>
          <w:sz w:val="20"/>
          <w:szCs w:val="20"/>
          <w:color w:val="auto"/>
        </w:rPr>
      </w:pPr>
    </w:p>
    <w:p>
      <w:pPr>
        <w:ind w:left="980" w:right="260" w:hanging="989"/>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37">
        <w:r>
          <w:rPr>
            <w:rFonts w:ascii="Arial" w:cs="Arial" w:eastAsia="Arial" w:hAnsi="Arial"/>
            <w:sz w:val="18"/>
            <w:szCs w:val="18"/>
            <w:u w:val="single" w:color="auto"/>
            <w:color w:val="0000EE"/>
          </w:rPr>
          <w:t>Employment Agreement between Petco Animal Supplies, Inc. and Darren MacDonald dated May 25, 2019 (incorporated by reference to</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Exhibit 10.6 of the Company’s Registration Statement on Form S-1, filed on December 3, 2020)</w:t>
        </w:r>
      </w:hyperlink>
    </w:p>
    <w:p>
      <w:pPr>
        <w:spacing w:after="0" w:line="103" w:lineRule="exact"/>
        <w:rPr>
          <w:sz w:val="20"/>
          <w:szCs w:val="20"/>
          <w:color w:val="auto"/>
        </w:rPr>
      </w:pPr>
    </w:p>
    <w:p>
      <w:pPr>
        <w:ind w:left="980" w:right="220" w:hanging="989"/>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38">
        <w:r>
          <w:rPr>
            <w:rFonts w:ascii="Arial" w:cs="Arial" w:eastAsia="Arial" w:hAnsi="Arial"/>
            <w:sz w:val="18"/>
            <w:szCs w:val="18"/>
            <w:u w:val="single" w:color="auto"/>
            <w:color w:val="0000EE"/>
          </w:rPr>
          <w:t>Employment Letter between Petco Animal Supplies Stores, Inc. and Justin Tichy dated September 17, 2018 (incorporated by reference to</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Exhibit 10.7 of the Company’s Registration Statement on Form S-1, filed on December 3, 2020)</w:t>
        </w:r>
      </w:hyperlink>
    </w:p>
    <w:p>
      <w:pPr>
        <w:spacing w:after="0" w:line="103" w:lineRule="exact"/>
        <w:rPr>
          <w:sz w:val="20"/>
          <w:szCs w:val="20"/>
          <w:color w:val="auto"/>
        </w:rPr>
      </w:pPr>
    </w:p>
    <w:p>
      <w:pPr>
        <w:ind w:left="980" w:right="520" w:hanging="989"/>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39">
        <w:r>
          <w:rPr>
            <w:rFonts w:ascii="Arial" w:cs="Arial" w:eastAsia="Arial" w:hAnsi="Arial"/>
            <w:sz w:val="18"/>
            <w:szCs w:val="18"/>
            <w:u w:val="single" w:color="auto"/>
            <w:color w:val="0000EE"/>
          </w:rPr>
          <w:t>Employment Letter between Petco Animal Supplies Stores, Inc. and Ilene Eskenazi dated July 20, 2020 (incorporated by reference 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Exhibit 10.11 of the Company’s Annual Report on Form 10-K for the fiscal year ended January 31, 2021)</w:t>
        </w:r>
      </w:hyperlink>
    </w:p>
    <w:p>
      <w:pPr>
        <w:spacing w:after="0" w:line="103" w:lineRule="exact"/>
        <w:rPr>
          <w:sz w:val="20"/>
          <w:szCs w:val="20"/>
          <w:color w:val="auto"/>
        </w:rPr>
      </w:pPr>
    </w:p>
    <w:p>
      <w:pPr>
        <w:ind w:left="980" w:right="40" w:hanging="989"/>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40">
        <w:r>
          <w:rPr>
            <w:rFonts w:ascii="Arial" w:cs="Arial" w:eastAsia="Arial" w:hAnsi="Arial"/>
            <w:sz w:val="18"/>
            <w:szCs w:val="18"/>
            <w:u w:val="single" w:color="auto"/>
            <w:color w:val="0000EE"/>
          </w:rPr>
          <w:t>Form of Common Series C Unit Award Agreement (incorporated by reference to Exhibit 10.11 of the Company’s Registration Statement on</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Form S-1, filed on December 3, 2020)</w:t>
        </w:r>
      </w:hyperlink>
    </w:p>
    <w:p>
      <w:pPr>
        <w:spacing w:after="0" w:line="103" w:lineRule="exact"/>
        <w:rPr>
          <w:sz w:val="20"/>
          <w:szCs w:val="20"/>
          <w:color w:val="auto"/>
        </w:rPr>
      </w:pPr>
    </w:p>
    <w:p>
      <w:pPr>
        <w:ind w:left="980" w:hanging="989"/>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41">
        <w:r>
          <w:rPr>
            <w:rFonts w:ascii="Arial" w:cs="Arial" w:eastAsia="Arial" w:hAnsi="Arial"/>
            <w:sz w:val="18"/>
            <w:szCs w:val="18"/>
            <w:u w:val="single" w:color="auto"/>
            <w:color w:val="0000EE"/>
          </w:rPr>
          <w:t>Second Amended and Restated Special Retention Bonus Agreement between Petco Animal Supplies Stores, Inc., Petco Health and Wellness</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Company, Inc., and Michael Nuzzo dated December 3, 2020 (incorporated by reference to Exhibit 10.13 of the Company’s Registration</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Statement on Form S-1, filed on December 3, 2020)</w:t>
        </w:r>
      </w:hyperlink>
    </w:p>
    <w:p>
      <w:pPr>
        <w:spacing w:after="0" w:line="116" w:lineRule="exact"/>
        <w:rPr>
          <w:rFonts w:ascii="Arial" w:cs="Arial" w:eastAsia="Arial" w:hAnsi="Arial"/>
          <w:sz w:val="18"/>
          <w:szCs w:val="18"/>
          <w:u w:val="single" w:color="auto"/>
          <w:color w:val="0000EE"/>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142">
        <w:r>
          <w:rPr>
            <w:rFonts w:ascii="Arial" w:cs="Arial" w:eastAsia="Arial" w:hAnsi="Arial"/>
            <w:sz w:val="16"/>
            <w:szCs w:val="16"/>
            <w:u w:val="single" w:color="auto"/>
            <w:color w:val="0000EE"/>
          </w:rPr>
          <w:t>Form of Restricted Stock Unit Award Grant Notice and Standard Terms and Conditions under the Petco Health and Wellness Company, Inc.</w:t>
        </w:r>
      </w:hyperlink>
    </w:p>
    <w:p>
      <w:pPr>
        <w:spacing w:after="0" w:line="23" w:lineRule="exact"/>
        <w:rPr>
          <w:rFonts w:ascii="Arial" w:cs="Arial" w:eastAsia="Arial" w:hAnsi="Arial"/>
          <w:sz w:val="18"/>
          <w:szCs w:val="18"/>
          <w:u w:val="single" w:color="auto"/>
          <w:color w:val="0000EE"/>
        </w:rPr>
      </w:pPr>
    </w:p>
    <w:p>
      <w:pPr>
        <w:ind w:left="980"/>
        <w:spacing w:after="0"/>
        <w:rPr>
          <w:rFonts w:ascii="Arial" w:cs="Arial" w:eastAsia="Arial" w:hAnsi="Arial"/>
          <w:sz w:val="16"/>
          <w:szCs w:val="16"/>
          <w:u w:val="single" w:color="auto"/>
          <w:color w:val="0000EE"/>
        </w:rPr>
      </w:pPr>
      <w:hyperlink r:id="rId142">
        <w:r>
          <w:rPr>
            <w:rFonts w:ascii="Arial" w:cs="Arial" w:eastAsia="Arial" w:hAnsi="Arial"/>
            <w:sz w:val="16"/>
            <w:szCs w:val="16"/>
            <w:u w:val="single" w:color="auto"/>
            <w:color w:val="0000EE"/>
          </w:rPr>
          <w:t>2021 Equity Incentive Plan (Director Form) (incorporated by reference to Exhibit 99.2 of the Company’s Registration Statement on Form S-</w:t>
        </w:r>
      </w:hyperlink>
    </w:p>
    <w:p>
      <w:pPr>
        <w:spacing w:after="0" w:line="32" w:lineRule="exact"/>
        <w:rPr>
          <w:rFonts w:ascii="Arial" w:cs="Arial" w:eastAsia="Arial" w:hAnsi="Arial"/>
          <w:sz w:val="18"/>
          <w:szCs w:val="18"/>
          <w:u w:val="single" w:color="auto"/>
          <w:color w:val="0000EE"/>
        </w:rPr>
      </w:pPr>
    </w:p>
    <w:p>
      <w:pPr>
        <w:ind w:left="980"/>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8, filed on January 19, 2021)</w:t>
        </w:r>
      </w:hyperlink>
    </w:p>
    <w:p>
      <w:pPr>
        <w:spacing w:after="0" w:line="143" w:lineRule="exact"/>
        <w:rPr>
          <w:rFonts w:ascii="Arial" w:cs="Arial" w:eastAsia="Arial" w:hAnsi="Arial"/>
          <w:sz w:val="18"/>
          <w:szCs w:val="18"/>
          <w:u w:val="single" w:color="auto"/>
          <w:color w:val="0000EE"/>
        </w:rPr>
      </w:pPr>
    </w:p>
    <w:p>
      <w:pPr>
        <w:jc w:val="both"/>
        <w:ind w:left="980" w:right="40" w:hanging="989"/>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43">
        <w:r>
          <w:rPr>
            <w:rFonts w:ascii="Arial" w:cs="Arial" w:eastAsia="Arial" w:hAnsi="Arial"/>
            <w:sz w:val="18"/>
            <w:szCs w:val="18"/>
            <w:u w:val="single" w:color="auto"/>
            <w:color w:val="0000EE"/>
          </w:rPr>
          <w:t>Form of Restricted Stock Unit Award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2021 Equity Incentive Plan (CEO Form) (incorporated by reference to Exhibit 99.3 of the Company’s Registration Statement on Form S-8,</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filed on January 19, 2021)</w:t>
        </w:r>
      </w:hyperlink>
    </w:p>
    <w:p>
      <w:pPr>
        <w:spacing w:after="0" w:line="116" w:lineRule="exact"/>
        <w:rPr>
          <w:rFonts w:ascii="Arial" w:cs="Arial" w:eastAsia="Arial" w:hAnsi="Arial"/>
          <w:sz w:val="18"/>
          <w:szCs w:val="18"/>
          <w:u w:val="single" w:color="auto"/>
          <w:color w:val="0000EE"/>
        </w:rPr>
      </w:pPr>
    </w:p>
    <w:p>
      <w:pPr>
        <w:jc w:val="both"/>
        <w:ind w:left="980" w:right="40" w:hanging="989"/>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44">
        <w:r>
          <w:rPr>
            <w:rFonts w:ascii="Arial" w:cs="Arial" w:eastAsia="Arial" w:hAnsi="Arial"/>
            <w:sz w:val="18"/>
            <w:szCs w:val="18"/>
            <w:u w:val="single" w:color="auto"/>
            <w:color w:val="0000EE"/>
          </w:rPr>
          <w:t>Form of Restricted Stock Unit Award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2021 Equity Incentive Plan (Executive Form) (incorporated by reference to Exhibit 99.4 of the Company’s Registration Statement on Form</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S-8, filed on January 19, 2021)</w:t>
        </w:r>
      </w:hyperlink>
    </w:p>
    <w:p>
      <w:pPr>
        <w:spacing w:after="0" w:line="116" w:lineRule="exact"/>
        <w:rPr>
          <w:rFonts w:ascii="Arial" w:cs="Arial" w:eastAsia="Arial" w:hAnsi="Arial"/>
          <w:sz w:val="18"/>
          <w:szCs w:val="18"/>
          <w:u w:val="single" w:color="auto"/>
          <w:color w:val="0000EE"/>
        </w:rPr>
      </w:pPr>
    </w:p>
    <w:p>
      <w:pPr>
        <w:jc w:val="both"/>
        <w:ind w:left="980" w:right="80" w:hanging="989"/>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45">
        <w:r>
          <w:rPr>
            <w:rFonts w:ascii="Arial" w:cs="Arial" w:eastAsia="Arial" w:hAnsi="Arial"/>
            <w:sz w:val="18"/>
            <w:szCs w:val="18"/>
            <w:u w:val="single" w:color="auto"/>
            <w:color w:val="0000EE"/>
          </w:rPr>
          <w:t>Form of Nonqualified Stock Options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2021 Equity Incentive Plan (CEO Form) (incorporated by reference to Exhibit 99.5 of the Company’s Registration Statement on Form S-8,</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filed on January 19, 2021)</w:t>
        </w:r>
      </w:hyperlink>
    </w:p>
    <w:p>
      <w:pPr>
        <w:spacing w:after="0" w:line="116" w:lineRule="exact"/>
        <w:rPr>
          <w:rFonts w:ascii="Arial" w:cs="Arial" w:eastAsia="Arial" w:hAnsi="Arial"/>
          <w:sz w:val="18"/>
          <w:szCs w:val="18"/>
          <w:u w:val="single" w:color="auto"/>
          <w:color w:val="0000EE"/>
        </w:rPr>
      </w:pPr>
    </w:p>
    <w:p>
      <w:pPr>
        <w:jc w:val="both"/>
        <w:ind w:left="980" w:right="80" w:hanging="989"/>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46">
        <w:r>
          <w:rPr>
            <w:rFonts w:ascii="Arial" w:cs="Arial" w:eastAsia="Arial" w:hAnsi="Arial"/>
            <w:sz w:val="18"/>
            <w:szCs w:val="18"/>
            <w:u w:val="single" w:color="auto"/>
            <w:color w:val="0000EE"/>
          </w:rPr>
          <w:t>Form of Nonqualified Stock Options Grant Notice and Standard Terms and Conditions under the Petco Health and Wellness Company, Inc.</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2021 Equity Incentive Plan (Executive Form) (incorporated by reference to Exhibit 99.6 of the Company’s Registration Statement on Form</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S-8, filed on January 19, 2021)</w:t>
        </w:r>
      </w:hyperlink>
    </w:p>
    <w:p>
      <w:pPr>
        <w:spacing w:after="0" w:line="116" w:lineRule="exact"/>
        <w:rPr>
          <w:rFonts w:ascii="Arial" w:cs="Arial" w:eastAsia="Arial" w:hAnsi="Arial"/>
          <w:sz w:val="18"/>
          <w:szCs w:val="18"/>
          <w:u w:val="single" w:color="auto"/>
          <w:color w:val="0000EE"/>
        </w:rPr>
      </w:pPr>
    </w:p>
    <w:p>
      <w:pPr>
        <w:jc w:val="both"/>
        <w:ind w:left="980" w:right="140" w:hanging="989"/>
        <w:spacing w:after="0" w:line="263"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47">
        <w:r>
          <w:rPr>
            <w:rFonts w:ascii="Arial" w:cs="Arial" w:eastAsia="Arial" w:hAnsi="Arial"/>
            <w:sz w:val="18"/>
            <w:szCs w:val="18"/>
            <w:u w:val="single" w:color="auto"/>
            <w:color w:val="0000EE"/>
          </w:rPr>
          <w:t>Form of Performance Stock Unit Award Grant Notice and Standard Terms and Conditions under the Petco Health and Wellness Company,</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Inc. 2021 Equity Incentive Plan (incorporated by reference to Exhibit 99.7 of the Company’s Registration Statement on Form S-8, filed on</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January 19, 2021)</w:t>
        </w:r>
      </w:hyperlink>
    </w:p>
    <w:p>
      <w:pPr>
        <w:spacing w:after="0" w:line="184" w:lineRule="exact"/>
        <w:rPr>
          <w:rFonts w:ascii="Arial" w:cs="Arial" w:eastAsia="Arial" w:hAnsi="Arial"/>
          <w:sz w:val="18"/>
          <w:szCs w:val="18"/>
          <w:u w:val="single" w:color="auto"/>
          <w:color w:val="0000EE"/>
        </w:rPr>
      </w:pPr>
    </w:p>
    <w:p>
      <w:pPr>
        <w:jc w:val="center"/>
        <w:ind w:right="60"/>
        <w:spacing w:after="0"/>
        <w:rPr>
          <w:sz w:val="20"/>
          <w:szCs w:val="20"/>
          <w:color w:val="auto"/>
        </w:rPr>
      </w:pPr>
      <w:r>
        <w:rPr>
          <w:rFonts w:ascii="Arial" w:cs="Arial" w:eastAsia="Arial" w:hAnsi="Arial"/>
          <w:sz w:val="18"/>
          <w:szCs w:val="18"/>
          <w:color w:val="auto"/>
        </w:rPr>
        <w:t>97</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-70485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490"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10.18</w:t>
            </w:r>
          </w:p>
        </w:tc>
        <w:tc>
          <w:tcPr>
            <w:tcW w:w="10060" w:type="dxa"/>
            <w:vAlign w:val="bottom"/>
            <w:gridSpan w:val="23"/>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First Lien Credit Agreement, dated March 4, 2021, by and among Petco Health and Wellness Company, Inc., the Lenders party thereto, and</w:t>
              </w:r>
            </w:hyperlink>
          </w:p>
        </w:tc>
      </w:tr>
      <w:tr>
        <w:trPr>
          <w:trHeight w:val="196"/>
        </w:trPr>
        <w:tc>
          <w:tcPr>
            <w:tcW w:w="1080" w:type="dxa"/>
            <w:vAlign w:val="bottom"/>
          </w:tcPr>
          <w:p>
            <w:pPr>
              <w:spacing w:after="0"/>
              <w:rPr>
                <w:sz w:val="17"/>
                <w:szCs w:val="17"/>
                <w:color w:val="auto"/>
              </w:rPr>
            </w:pPr>
          </w:p>
        </w:tc>
        <w:tc>
          <w:tcPr>
            <w:tcW w:w="1004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Citibank, N.A., as Administrative Agent and Collateral Agent (incorporated by reference to Exhibit 10.1 of the Company’s Current Report</w:t>
              </w:r>
            </w:hyperlink>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r:id="rId149">
              <w:r>
                <w:rPr>
                  <w:rFonts w:ascii="Arial" w:cs="Arial" w:eastAsia="Arial" w:hAnsi="Arial"/>
                  <w:sz w:val="18"/>
                  <w:szCs w:val="18"/>
                  <w:color w:val="0000EE"/>
                  <w:w w:val="93"/>
                </w:rPr>
                <w:t>on Form 8-K, filed on March 5, 2021)</w:t>
              </w:r>
            </w:hyperlink>
          </w:p>
        </w:tc>
        <w:tc>
          <w:tcPr>
            <w:tcW w:w="7220" w:type="dxa"/>
            <w:vAlign w:val="bottom"/>
            <w:tcBorders>
              <w:top w:val="single" w:sz="8" w:color="0000EE"/>
            </w:tcBorders>
            <w:gridSpan w:val="16"/>
          </w:tcPr>
          <w:p>
            <w:pPr>
              <w:spacing w:after="0"/>
              <w:rPr>
                <w:sz w:val="17"/>
                <w:szCs w:val="17"/>
                <w:color w:val="auto"/>
              </w:rPr>
            </w:pPr>
          </w:p>
        </w:tc>
        <w:tc>
          <w:tcPr>
            <w:tcW w:w="80" w:type="dxa"/>
            <w:vAlign w:val="bottom"/>
            <w:gridSpan w:val="4"/>
          </w:tcPr>
          <w:p>
            <w:pPr>
              <w:spacing w:after="0"/>
              <w:rPr>
                <w:sz w:val="17"/>
                <w:szCs w:val="17"/>
                <w:color w:val="auto"/>
              </w:rPr>
            </w:pPr>
          </w:p>
        </w:tc>
      </w:tr>
      <w:tr>
        <w:trPr>
          <w:trHeight w:val="331"/>
        </w:trPr>
        <w:tc>
          <w:tcPr>
            <w:tcW w:w="1080" w:type="dxa"/>
            <w:vAlign w:val="bottom"/>
          </w:tcPr>
          <w:p>
            <w:pPr>
              <w:ind w:left="100"/>
              <w:spacing w:after="0"/>
              <w:rPr>
                <w:sz w:val="20"/>
                <w:szCs w:val="20"/>
                <w:color w:val="auto"/>
              </w:rPr>
            </w:pPr>
            <w:r>
              <w:rPr>
                <w:rFonts w:ascii="Arial" w:cs="Arial" w:eastAsia="Arial" w:hAnsi="Arial"/>
                <w:sz w:val="18"/>
                <w:szCs w:val="18"/>
                <w:color w:val="auto"/>
              </w:rPr>
              <w:t>10.19</w:t>
            </w:r>
          </w:p>
        </w:tc>
        <w:tc>
          <w:tcPr>
            <w:tcW w:w="10060" w:type="dxa"/>
            <w:vAlign w:val="bottom"/>
            <w:gridSpan w:val="23"/>
          </w:tcPr>
          <w:p>
            <w:pPr>
              <w:spacing w:after="0"/>
              <w:rPr>
                <w:rFonts w:ascii="Arial" w:cs="Arial" w:eastAsia="Arial" w:hAnsi="Arial"/>
                <w:sz w:val="18"/>
                <w:szCs w:val="18"/>
                <w:color w:val="0000EE"/>
                <w:w w:val="95"/>
              </w:rPr>
            </w:pPr>
            <w:hyperlink r:id="rId150">
              <w:r>
                <w:rPr>
                  <w:rFonts w:ascii="Arial" w:cs="Arial" w:eastAsia="Arial" w:hAnsi="Arial"/>
                  <w:sz w:val="18"/>
                  <w:szCs w:val="18"/>
                  <w:color w:val="0000EE"/>
                  <w:w w:val="95"/>
                </w:rPr>
                <w:t>ABL Revolving Credit Agreement, dated March 4, 2021, by and among Petco Health and Wellness Company, Inc., the Lenders party</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7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thereto, and Citibank, N.A., as Administrative Agent and Collateral Agent (incorporated by reference to Exhibit 10.2 of the Company’s</w:t>
              </w:r>
            </w:hyperlink>
          </w:p>
        </w:tc>
        <w:tc>
          <w:tcPr>
            <w:tcW w:w="300" w:type="dxa"/>
            <w:vAlign w:val="bottom"/>
            <w:gridSpan w:val="9"/>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Current Report on Form 8-K, filed on March 5, 2021)</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10.20</w:t>
            </w:r>
          </w:p>
        </w:tc>
        <w:tc>
          <w:tcPr>
            <w:tcW w:w="10060" w:type="dxa"/>
            <w:vAlign w:val="bottom"/>
            <w:gridSpan w:val="23"/>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ABL Guaranty, dated March 4, 2021, by and among Petco Health and Wellness Company, Inc., as Borrower, the Guarantors from time to</w:t>
              </w:r>
            </w:hyperlink>
          </w:p>
        </w:tc>
      </w:tr>
      <w:tr>
        <w:trPr>
          <w:trHeight w:val="196"/>
        </w:trPr>
        <w:tc>
          <w:tcPr>
            <w:tcW w:w="108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151">
              <w:r>
                <w:rPr>
                  <w:rFonts w:ascii="Arial" w:cs="Arial" w:eastAsia="Arial" w:hAnsi="Arial"/>
                  <w:sz w:val="18"/>
                  <w:szCs w:val="18"/>
                  <w:color w:val="0000EE"/>
                  <w:w w:val="92"/>
                </w:rPr>
                <w:t>time party thereto, and Citibank, N.A., as Administrative Agent (incorporated by reference to Exhibit 10.31 of the Company’s Annual</w:t>
              </w:r>
            </w:hyperlink>
          </w:p>
        </w:tc>
        <w:tc>
          <w:tcPr>
            <w:tcW w:w="220" w:type="dxa"/>
            <w:vAlign w:val="bottom"/>
            <w:tcBorders>
              <w:top w:val="single" w:sz="8" w:color="0000EE"/>
            </w:tcBorders>
            <w:gridSpan w:val="4"/>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1">
              <w:r>
                <w:rPr>
                  <w:rFonts w:ascii="Arial" w:cs="Arial" w:eastAsia="Arial" w:hAnsi="Arial"/>
                  <w:sz w:val="18"/>
                  <w:szCs w:val="18"/>
                  <w:color w:val="0000EE"/>
                  <w:w w:val="90"/>
                </w:rPr>
                <w:t>Report on Form 10-K for the fiscal year ended January 31, 2021)</w:t>
              </w:r>
            </w:hyperlink>
          </w:p>
        </w:tc>
        <w:tc>
          <w:tcPr>
            <w:tcW w:w="5360" w:type="dxa"/>
            <w:vAlign w:val="bottom"/>
            <w:gridSpan w:val="18"/>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10.21</w:t>
            </w:r>
          </w:p>
        </w:tc>
        <w:tc>
          <w:tcPr>
            <w:tcW w:w="10060" w:type="dxa"/>
            <w:vAlign w:val="bottom"/>
            <w:gridSpan w:val="23"/>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First Lien Guaranty, dated March 4, 2021, by and among Petco Health and Wellness Company, Inc., as Borrower, the Guarantors from time</w:t>
              </w:r>
            </w:hyperlink>
          </w:p>
        </w:tc>
      </w:tr>
      <w:tr>
        <w:trPr>
          <w:trHeight w:val="196"/>
        </w:trPr>
        <w:tc>
          <w:tcPr>
            <w:tcW w:w="108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to time party thereto, and Citibank, N.A., as Administrative Agent (incorporated by reference to Exhibit 10.32 of the Company’s Annual</w:t>
              </w:r>
            </w:hyperlink>
          </w:p>
        </w:tc>
        <w:tc>
          <w:tcPr>
            <w:tcW w:w="2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Report on Form 10-K for the fiscal year ended January 31, 2021)</w:t>
              </w:r>
            </w:hyperlink>
          </w:p>
        </w:tc>
        <w:tc>
          <w:tcPr>
            <w:tcW w:w="5360" w:type="dxa"/>
            <w:vAlign w:val="bottom"/>
            <w:gridSpan w:val="18"/>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10.22</w:t>
            </w:r>
          </w:p>
        </w:tc>
        <w:tc>
          <w:tcPr>
            <w:tcW w:w="9960" w:type="dxa"/>
            <w:vAlign w:val="bottom"/>
            <w:tcBorders>
              <w:bottom w:val="single" w:sz="8" w:color="0000EE"/>
            </w:tcBorders>
            <w:gridSpan w:val="18"/>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ABL Security Agreement, dated March 4, 2021, by and among Petco Health and Wellness Company, Inc., as Borrower, the Grantors from</w:t>
              </w:r>
            </w:hyperlink>
          </w:p>
        </w:tc>
        <w:tc>
          <w:tcPr>
            <w:tcW w:w="100" w:type="dxa"/>
            <w:vAlign w:val="bottom"/>
            <w:gridSpan w:val="5"/>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6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53">
              <w:r>
                <w:rPr>
                  <w:rFonts w:ascii="Arial" w:cs="Arial" w:eastAsia="Arial" w:hAnsi="Arial"/>
                  <w:sz w:val="18"/>
                  <w:szCs w:val="18"/>
                  <w:color w:val="0000EE"/>
                  <w:w w:val="92"/>
                </w:rPr>
                <w:t>time to time party thereto, and Citibank, N.A., as Administrative Agent (incorporated by reference to Exhibit 10.33 of the Company’s</w:t>
              </w:r>
            </w:hyperlink>
          </w:p>
        </w:tc>
        <w:tc>
          <w:tcPr>
            <w:tcW w:w="420" w:type="dxa"/>
            <w:vAlign w:val="bottom"/>
            <w:gridSpan w:val="1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Annual Report on Form 10-K for the fiscal year ended January 31, 2021)</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10.23</w:t>
            </w:r>
          </w:p>
        </w:tc>
        <w:tc>
          <w:tcPr>
            <w:tcW w:w="10060" w:type="dxa"/>
            <w:vAlign w:val="bottom"/>
            <w:gridSpan w:val="23"/>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First Lien Security Agreement, dated March 4, 2021, by and among Petco Health and Wellness Company, Inc., as Borrower, the Grantors</w:t>
              </w:r>
            </w:hyperlink>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7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from time to time party thereto, and Citibank, N.A., as Administrative Agent (incorporated by reference to Exhibit 10.34 of the Company’s</w:t>
              </w:r>
            </w:hyperlink>
          </w:p>
        </w:tc>
      </w:tr>
      <w:tr>
        <w:trPr>
          <w:trHeight w:val="196"/>
        </w:trPr>
        <w:tc>
          <w:tcPr>
            <w:tcW w:w="1080" w:type="dxa"/>
            <w:vAlign w:val="bottom"/>
          </w:tcPr>
          <w:p>
            <w:pPr>
              <w:spacing w:after="0"/>
              <w:rPr>
                <w:sz w:val="17"/>
                <w:szCs w:val="17"/>
                <w:color w:val="auto"/>
              </w:rPr>
            </w:pPr>
          </w:p>
        </w:tc>
        <w:tc>
          <w:tcPr>
            <w:tcW w:w="100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Annual Report on Form 10-K for the fiscal year ended January 31, 2021)</w:t>
              </w:r>
            </w:hyperlink>
          </w:p>
        </w:tc>
        <w:tc>
          <w:tcPr>
            <w:tcW w:w="40" w:type="dxa"/>
            <w:vAlign w:val="bottom"/>
            <w:gridSpan w:val="2"/>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10.24</w:t>
            </w:r>
          </w:p>
        </w:tc>
        <w:tc>
          <w:tcPr>
            <w:tcW w:w="10060" w:type="dxa"/>
            <w:vAlign w:val="bottom"/>
            <w:gridSpan w:val="23"/>
          </w:tcPr>
          <w:p>
            <w:pPr>
              <w:spacing w:after="0"/>
              <w:rPr>
                <w:rFonts w:ascii="Arial" w:cs="Arial" w:eastAsia="Arial" w:hAnsi="Arial"/>
                <w:sz w:val="18"/>
                <w:szCs w:val="18"/>
                <w:color w:val="0000EE"/>
                <w:w w:val="95"/>
              </w:rPr>
            </w:pPr>
            <w:hyperlink r:id="rId155">
              <w:r>
                <w:rPr>
                  <w:rFonts w:ascii="Arial" w:cs="Arial" w:eastAsia="Arial" w:hAnsi="Arial"/>
                  <w:sz w:val="18"/>
                  <w:szCs w:val="18"/>
                  <w:color w:val="0000EE"/>
                  <w:w w:val="95"/>
                </w:rPr>
                <w:t>Intercreditor Agreement, dated March 4, 2021, by and among Citibank, N.A., as Revolving Credit Collateral Agent, Citibank, N.A., as</w:t>
              </w:r>
            </w:hyperlink>
          </w:p>
        </w:tc>
      </w:tr>
      <w:tr>
        <w:trPr>
          <w:trHeight w:val="196"/>
        </w:trPr>
        <w:tc>
          <w:tcPr>
            <w:tcW w:w="108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Initial Term Loan Collateral Agent, as acknowledged and agreed by Petco Health and Wellness Company, Inc., and the Grantors party</w:t>
              </w:r>
            </w:hyperlink>
          </w:p>
        </w:tc>
        <w:tc>
          <w:tcPr>
            <w:tcW w:w="40" w:type="dxa"/>
            <w:vAlign w:val="bottom"/>
            <w:tcBorders>
              <w:top w:val="single" w:sz="8" w:color="0000EE"/>
            </w:tcBorders>
          </w:tcPr>
          <w:p>
            <w:pPr>
              <w:spacing w:after="0"/>
              <w:rPr>
                <w:sz w:val="17"/>
                <w:szCs w:val="17"/>
                <w:color w:val="auto"/>
              </w:rPr>
            </w:pPr>
          </w:p>
        </w:tc>
        <w:tc>
          <w:tcPr>
            <w:tcW w:w="360" w:type="dxa"/>
            <w:vAlign w:val="bottom"/>
            <w:gridSpan w:val="10"/>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thereto (incorporated by reference to Exhibit 10.35 of the Company’s Annual Report on Form 10-K for the fiscal year ended January 31,</w:t>
              </w:r>
            </w:hyperlink>
          </w:p>
        </w:tc>
      </w:tr>
      <w:tr>
        <w:trPr>
          <w:trHeight w:val="196"/>
        </w:trPr>
        <w:tc>
          <w:tcPr>
            <w:tcW w:w="10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5">
              <w:r>
                <w:rPr>
                  <w:rFonts w:ascii="Arial" w:cs="Arial" w:eastAsia="Arial" w:hAnsi="Arial"/>
                  <w:sz w:val="18"/>
                  <w:szCs w:val="18"/>
                  <w:color w:val="0000EE"/>
                  <w:w w:val="86"/>
                </w:rPr>
                <w:t>2021)</w:t>
              </w:r>
            </w:hyperlink>
          </w:p>
        </w:tc>
        <w:tc>
          <w:tcPr>
            <w:tcW w:w="4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21.1</w:t>
            </w:r>
          </w:p>
        </w:tc>
        <w:tc>
          <w:tcPr>
            <w:tcW w:w="10060" w:type="dxa"/>
            <w:vAlign w:val="bottom"/>
            <w:tcBorders>
              <w:bottom w:val="single" w:sz="8" w:color="0000EE"/>
            </w:tcBorders>
            <w:gridSpan w:val="23"/>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List of Subsidiaries (incorporated by reference to Exhibit 21.1 of the Company’s Registration Statement on Form S-1, filed on December 3,</w:t>
              </w:r>
            </w:hyperlink>
          </w:p>
        </w:tc>
      </w:tr>
      <w:tr>
        <w:trPr>
          <w:trHeight w:val="196"/>
        </w:trPr>
        <w:tc>
          <w:tcPr>
            <w:tcW w:w="10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56">
              <w:r>
                <w:rPr>
                  <w:rFonts w:ascii="Arial" w:cs="Arial" w:eastAsia="Arial" w:hAnsi="Arial"/>
                  <w:sz w:val="18"/>
                  <w:szCs w:val="18"/>
                  <w:color w:val="0000EE"/>
                  <w:w w:val="86"/>
                </w:rPr>
                <w:t>2020)</w:t>
              </w:r>
            </w:hyperlink>
          </w:p>
        </w:tc>
        <w:tc>
          <w:tcPr>
            <w:tcW w:w="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23*</w:t>
            </w:r>
          </w:p>
        </w:tc>
        <w:tc>
          <w:tcPr>
            <w:tcW w:w="10060" w:type="dxa"/>
            <w:vAlign w:val="bottom"/>
            <w:gridSpan w:val="23"/>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Consent of Ernst &amp; Young LLP,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060" w:type="dxa"/>
            <w:vAlign w:val="bottom"/>
            <w:gridSpan w:val="23"/>
          </w:tcPr>
          <w:p>
            <w:pPr>
              <w:spacing w:after="0"/>
              <w:rPr>
                <w:rFonts w:ascii="Arial" w:cs="Arial" w:eastAsia="Arial" w:hAnsi="Arial"/>
                <w:sz w:val="18"/>
                <w:szCs w:val="18"/>
                <w:color w:val="0000EE"/>
                <w:w w:val="95"/>
              </w:rPr>
            </w:pPr>
            <w:hyperlink w:anchor="page103">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080" w:type="dxa"/>
            <w:vAlign w:val="bottom"/>
          </w:tcPr>
          <w:p>
            <w:pPr>
              <w:spacing w:after="0"/>
              <w:rPr>
                <w:sz w:val="17"/>
                <w:szCs w:val="17"/>
                <w:color w:val="auto"/>
              </w:rPr>
            </w:pPr>
          </w:p>
        </w:tc>
        <w:tc>
          <w:tcPr>
            <w:tcW w:w="96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Adopted Pursuant to Section 302 of the Sarbanes-Oxley Act of 2002</w:t>
              </w:r>
            </w:hyperlink>
          </w:p>
        </w:tc>
        <w:tc>
          <w:tcPr>
            <w:tcW w:w="440" w:type="dxa"/>
            <w:vAlign w:val="bottom"/>
            <w:gridSpan w:val="1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96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460" w:type="dxa"/>
            <w:vAlign w:val="bottom"/>
            <w:gridSpan w:val="14"/>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Adopted Pursuant to Section 302 of the Sarbanes-Oxley Act of 2002</w:t>
              </w:r>
            </w:hyperlink>
          </w:p>
        </w:tc>
      </w:tr>
      <w:tr>
        <w:trPr>
          <w:trHeight w:val="20"/>
        </w:trPr>
        <w:tc>
          <w:tcPr>
            <w:tcW w:w="10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5060" w:type="dxa"/>
            <w:vAlign w:val="bottom"/>
            <w:gridSpan w:val="1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1006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8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Act of 2002</w:t>
              </w:r>
            </w:hyperlink>
          </w:p>
        </w:tc>
      </w:tr>
      <w:tr>
        <w:trPr>
          <w:trHeight w:val="20"/>
        </w:trPr>
        <w:tc>
          <w:tcPr>
            <w:tcW w:w="10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140" w:type="dxa"/>
            <w:vAlign w:val="bottom"/>
            <w:gridSpan w:val="1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5"/>
        </w:trPr>
        <w:tc>
          <w:tcPr>
            <w:tcW w:w="1080" w:type="dxa"/>
            <w:vAlign w:val="bottom"/>
          </w:tcPr>
          <w:p>
            <w:pPr>
              <w:ind w:left="100"/>
              <w:spacing w:after="0"/>
              <w:rPr>
                <w:sz w:val="20"/>
                <w:szCs w:val="20"/>
                <w:color w:val="auto"/>
              </w:rPr>
            </w:pPr>
            <w:r>
              <w:rPr>
                <w:rFonts w:ascii="Arial" w:cs="Arial" w:eastAsia="Arial" w:hAnsi="Arial"/>
                <w:sz w:val="18"/>
                <w:szCs w:val="18"/>
                <w:color w:val="auto"/>
              </w:rPr>
              <w:t>32.2**</w:t>
            </w:r>
          </w:p>
        </w:tc>
        <w:tc>
          <w:tcPr>
            <w:tcW w:w="10060" w:type="dxa"/>
            <w:vAlign w:val="bottom"/>
            <w:gridSpan w:val="23"/>
          </w:tcPr>
          <w:p>
            <w:pPr>
              <w:spacing w:after="0"/>
              <w:rPr>
                <w:rFonts w:ascii="Arial" w:cs="Arial" w:eastAsia="Arial" w:hAnsi="Arial"/>
                <w:sz w:val="18"/>
                <w:szCs w:val="18"/>
                <w:color w:val="0000EE"/>
                <w:w w:val="91"/>
              </w:rPr>
            </w:pPr>
            <w:hyperlink w:anchor="page108">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r>
      <w:tr>
        <w:trPr>
          <w:trHeight w:val="196"/>
        </w:trPr>
        <w:tc>
          <w:tcPr>
            <w:tcW w:w="1080" w:type="dxa"/>
            <w:vAlign w:val="bottom"/>
          </w:tcPr>
          <w:p>
            <w:pPr>
              <w:spacing w:after="0"/>
              <w:rPr>
                <w:sz w:val="17"/>
                <w:szCs w:val="17"/>
                <w:color w:val="auto"/>
              </w:rPr>
            </w:pPr>
          </w:p>
        </w:tc>
        <w:tc>
          <w:tcPr>
            <w:tcW w:w="100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Act of 2002</w:t>
              </w:r>
            </w:hyperlink>
          </w:p>
        </w:tc>
        <w:tc>
          <w:tcPr>
            <w:tcW w:w="6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00" w:type="dxa"/>
            <w:vAlign w:val="bottom"/>
            <w:gridSpan w:val="21"/>
          </w:tcPr>
          <w:p>
            <w:pPr>
              <w:spacing w:after="0" w:line="20" w:lineRule="exact"/>
              <w:rPr>
                <w:sz w:val="1"/>
                <w:szCs w:val="1"/>
                <w:color w:val="auto"/>
              </w:rPr>
            </w:pPr>
          </w:p>
        </w:tc>
      </w:tr>
      <w:tr>
        <w:trPr>
          <w:trHeight w:val="236"/>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gridSpan w:val="23"/>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r>
      <w:tr>
        <w:trPr>
          <w:trHeight w:val="230"/>
        </w:trPr>
        <w:tc>
          <w:tcPr>
            <w:tcW w:w="1080" w:type="dxa"/>
            <w:vAlign w:val="bottom"/>
          </w:tcPr>
          <w:p>
            <w:pPr>
              <w:spacing w:after="0"/>
              <w:rPr>
                <w:sz w:val="19"/>
                <w:szCs w:val="19"/>
                <w:color w:val="auto"/>
              </w:rPr>
            </w:pPr>
          </w:p>
        </w:tc>
        <w:tc>
          <w:tcPr>
            <w:tcW w:w="10060" w:type="dxa"/>
            <w:vAlign w:val="bottom"/>
            <w:gridSpan w:val="23"/>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080" w:hanging="107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0972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73" w:right="439" w:bottom="1440" w:gutter="0" w:footer="0" w:header="0"/>
        </w:sectPr>
      </w:pPr>
    </w:p>
    <w:bookmarkStart w:id="99" w:name="page100"/>
    <w:bookmarkEnd w:id="99"/>
    <w:p>
      <w:pPr>
        <w:ind w:left="580" w:hanging="572"/>
        <w:spacing w:after="0" w:line="342"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16"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98" w:right="5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59"/>
        </w:trPr>
        <w:tc>
          <w:tcPr>
            <w:tcW w:w="3440" w:type="dxa"/>
            <w:vAlign w:val="bottom"/>
          </w:tcPr>
          <w:p>
            <w:pPr>
              <w:spacing w:after="0"/>
              <w:rPr>
                <w:sz w:val="20"/>
                <w:szCs w:val="20"/>
                <w:color w:val="auto"/>
              </w:rPr>
            </w:pPr>
            <w:r>
              <w:rPr>
                <w:rFonts w:ascii="Arial" w:cs="Arial" w:eastAsia="Arial" w:hAnsi="Arial"/>
                <w:sz w:val="18"/>
                <w:szCs w:val="18"/>
                <w:color w:val="auto"/>
              </w:rPr>
              <w:t>Date: March 24, 2022</w:t>
            </w:r>
          </w:p>
        </w:tc>
        <w:tc>
          <w:tcPr>
            <w:tcW w:w="7800" w:type="dxa"/>
            <w:vAlign w:val="bottom"/>
            <w:gridSpan w:val="2"/>
          </w:tcPr>
          <w:p>
            <w:pPr>
              <w:ind w:left="1860"/>
              <w:spacing w:after="0"/>
              <w:rPr>
                <w:sz w:val="20"/>
                <w:szCs w:val="20"/>
                <w:color w:val="auto"/>
              </w:rPr>
            </w:pPr>
            <w:r>
              <w:rPr>
                <w:rFonts w:ascii="Arial" w:cs="Arial" w:eastAsia="Arial" w:hAnsi="Arial"/>
                <w:sz w:val="18"/>
                <w:szCs w:val="18"/>
                <w:color w:val="auto"/>
              </w:rPr>
              <w:t>By:  /s/ Ronald Coughlin, Jr.</w:t>
            </w:r>
          </w:p>
        </w:tc>
      </w:tr>
      <w:tr>
        <w:trPr>
          <w:trHeight w:val="222"/>
        </w:trPr>
        <w:tc>
          <w:tcPr>
            <w:tcW w:w="3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Ronald Coughlin, Jr.</w:t>
            </w:r>
          </w:p>
        </w:tc>
      </w:tr>
      <w:tr>
        <w:trPr>
          <w:trHeight w:val="230"/>
        </w:trPr>
        <w:tc>
          <w:tcPr>
            <w:tcW w:w="3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69" w:lineRule="exact"/>
        <w:rPr>
          <w:sz w:val="20"/>
          <w:szCs w:val="20"/>
          <w:color w:val="auto"/>
        </w:rPr>
      </w:pPr>
    </w:p>
    <w:p>
      <w:pPr>
        <w:ind w:right="1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553" w:right="3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331"/>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Ronald Coughlin, Jr.</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1"/>
              </w:rPr>
              <w:t>Ronald Coughlin, Jr.</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Brian LaRose</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1"/>
              </w:rPr>
              <w:t>Brian LaRose</w:t>
            </w: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Maximilian Biagosch</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3"/>
              </w:rPr>
              <w:t>Maximilian Biagosch</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Cameron Breitner</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1"/>
              </w:rPr>
              <w:t>Cameron Breitner</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Gary Briggs</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2"/>
              </w:rPr>
              <w:t>Gary Briggs</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 Nishad Chande</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8"/>
              </w:rPr>
              <w:t>Nishad Chande</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/s/ Christy Lake</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3"/>
              </w:rPr>
              <w:t>Christy Lake</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R. Michael Mohan</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2"/>
              </w:rPr>
              <w:t>R. Michael Mohan</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 Jennifer Pereira</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9"/>
              </w:rPr>
              <w:t>Jennifer Pereira</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Sabrina Simmons</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0"/>
              </w:rPr>
              <w:t>Sabrina Simmons</w:t>
            </w: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89"/>
              </w:rPr>
              <w:t>/s/ Christopher J. Stadler</w:t>
            </w:r>
          </w:p>
        </w:tc>
        <w:tc>
          <w:tcPr>
            <w:tcW w:w="120" w:type="dxa"/>
            <w:vAlign w:val="bottom"/>
          </w:tcPr>
          <w:p>
            <w:pPr>
              <w:spacing w:after="0"/>
              <w:rPr>
                <w:sz w:val="24"/>
                <w:szCs w:val="24"/>
                <w:color w:val="auto"/>
              </w:rPr>
            </w:pPr>
          </w:p>
        </w:tc>
        <w:tc>
          <w:tcPr>
            <w:tcW w:w="5160" w:type="dxa"/>
            <w:vAlign w:val="bottom"/>
            <w:vMerge w:val="restart"/>
          </w:tcPr>
          <w:p>
            <w:pPr>
              <w:ind w:left="2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Christopher J. Stadler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940" w:type="dxa"/>
            <w:vAlign w:val="bottom"/>
            <w:gridSpan w:val="2"/>
          </w:tcPr>
          <w:p>
            <w:pPr>
              <w:jc w:val="center"/>
              <w:spacing w:after="0"/>
              <w:rPr>
                <w:sz w:val="20"/>
                <w:szCs w:val="20"/>
                <w:color w:val="auto"/>
              </w:rPr>
            </w:pPr>
            <w:r>
              <w:rPr>
                <w:rFonts w:ascii="Arial" w:cs="Arial" w:eastAsia="Arial" w:hAnsi="Arial"/>
                <w:sz w:val="18"/>
                <w:szCs w:val="18"/>
                <w:color w:val="auto"/>
                <w:w w:val="95"/>
              </w:rPr>
              <w:t>/s/ Mary Sullivan</w:t>
            </w:r>
          </w:p>
        </w:tc>
        <w:tc>
          <w:tcPr>
            <w:tcW w:w="120" w:type="dxa"/>
            <w:vAlign w:val="bottom"/>
          </w:tcPr>
          <w:p>
            <w:pPr>
              <w:spacing w:after="0"/>
              <w:rPr>
                <w:sz w:val="24"/>
                <w:szCs w:val="24"/>
                <w:color w:val="auto"/>
              </w:rPr>
            </w:pPr>
          </w:p>
        </w:tc>
        <w:tc>
          <w:tcPr>
            <w:tcW w:w="5160" w:type="dxa"/>
            <w:vAlign w:val="bottom"/>
            <w:vMerge w:val="restart"/>
          </w:tcPr>
          <w:p>
            <w:pPr>
              <w:ind w:left="23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Mary Sullivan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8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6350</wp:posOffset>
            </wp:positionV>
            <wp:extent cx="18516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24, 2022</w:t>
      </w: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24, 2022</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24, 2022</w:t>
      </w:r>
    </w:p>
    <w:p>
      <w:pPr>
        <w:spacing w:after="0" w:line="490" w:lineRule="exact"/>
        <w:rPr>
          <w:sz w:val="20"/>
          <w:szCs w:val="20"/>
          <w:color w:val="auto"/>
        </w:rPr>
      </w:pPr>
    </w:p>
    <w:p>
      <w:pPr>
        <w:sectPr>
          <w:pgSz w:w="11900" w:h="16838" w:orient="portrait"/>
          <w:cols w:equalWidth="0" w:num="2">
            <w:col w:w="8500" w:space="720"/>
            <w:col w:w="2020"/>
          </w:cols>
          <w:pgMar w:left="320" w:top="553"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240"/>
          </w:cols>
          <w:pgMar w:left="320" w:top="553"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333-252221) of Petco Health and Wellness Company, Inc. of our report dated March 24, 2022 with respect to the consolidated financial statements of Petco Health and Wellness Company, Inc. and the effectiveness of internal control over financial reporting of Petco Health and Wellness Company, Inc., which appears in this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2022</w:t>
      </w:r>
    </w:p>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tabs>
          <w:tab w:leader="none" w:pos="5680" w:val="left"/>
          <w:tab w:leader="none" w:pos="776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0139"/>
          </w:cols>
          <w:pgMar w:left="320" w:top="368"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LaRose, certify that:</w:t>
      </w:r>
    </w:p>
    <w:p>
      <w:pPr>
        <w:spacing w:after="0" w:line="225" w:lineRule="exact"/>
        <w:rPr>
          <w:sz w:val="20"/>
          <w:szCs w:val="20"/>
          <w:color w:val="auto"/>
        </w:rPr>
      </w:pPr>
    </w:p>
    <w:p>
      <w:pPr>
        <w:ind w:left="580" w:hanging="572"/>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tabs>
          <w:tab w:leader="none" w:pos="5680" w:val="left"/>
          <w:tab w:leader="none" w:pos="800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Brian LaRose</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(Principal Financial Officer and Principal Accounting Officer)</w:t>
      </w:r>
    </w:p>
    <w:p>
      <w:pPr>
        <w:sectPr>
          <w:pgSz w:w="11900" w:h="16838" w:orient="portrait"/>
          <w:cols w:equalWidth="0" w:num="1">
            <w:col w:w="11020"/>
          </w:cols>
          <w:pgMar w:left="320" w:top="368" w:right="5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In connection with the accompanying Annual Report on Form 10-K of Petco Health and Wellness Company, Inc. (the “Company”) for the year ended January 29, 2022,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In connection with the accompanying Annual Report on Form 10-K of Petco Health and Wellness Company, Inc. (the “Company”) for the year ended January 29, 2022,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65"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March 24,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Brian LaRose</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Accounting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2"/>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2"/>
    </w:lvl>
  </w:abstractNum>
  <w:abstractNum w:abstractNumId="37">
    <w:nsid w:val="153EA438"/>
    <w:multiLevelType w:val="hybridMultilevel"/>
    <w:lvl w:ilvl="0">
      <w:lvlJc w:val="left"/>
      <w:lvlText w:val="%1"/>
      <w:numFmt w:val="decimal"/>
      <w:start w:val="104"/>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48" Type="http://schemas.openxmlformats.org/officeDocument/2006/relationships/image" Target="media/image119.png"/><Relationship Id="rId157" Type="http://schemas.openxmlformats.org/officeDocument/2006/relationships/image" Target="media/image120.png"/><Relationship Id="rId158" Type="http://schemas.openxmlformats.org/officeDocument/2006/relationships/image" Target="media/image121.png"/><Relationship Id="rId159" Type="http://schemas.openxmlformats.org/officeDocument/2006/relationships/image" Target="media/image122.png"/><Relationship Id="rId160" Type="http://schemas.openxmlformats.org/officeDocument/2006/relationships/image" Target="media/image123.png"/><Relationship Id="rId161"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24" Type="http://schemas.openxmlformats.org/officeDocument/2006/relationships/hyperlink" Target="http://www.sec.gov/Archives/edgar/data/1826470/000119312521011439/d72007dex31.htm" TargetMode="External"/><Relationship Id="rId125" Type="http://schemas.openxmlformats.org/officeDocument/2006/relationships/hyperlink" Target="http://www.sec.gov/Archives/edgar/data/1826470/000119312521011439/d72007dex32.htm" TargetMode="External"/><Relationship Id="rId126" Type="http://schemas.openxmlformats.org/officeDocument/2006/relationships/hyperlink" Target="http://www.sec.gov/Archives/edgar/data/1826470/000119312521011439/d72007dex41.htm" TargetMode="External"/><Relationship Id="rId127" Type="http://schemas.openxmlformats.org/officeDocument/2006/relationships/hyperlink" Target="http://www.sec.gov/Archives/edgar/data/1826470/000119312521011439/d72007dex42.htm" TargetMode="External"/><Relationship Id="rId128" Type="http://schemas.openxmlformats.org/officeDocument/2006/relationships/hyperlink" Target="http://www.sec.gov/Archives/edgar/data/1826470/000156459021017616/woof-ex43_382.htm" TargetMode="External"/><Relationship Id="rId129" Type="http://schemas.openxmlformats.org/officeDocument/2006/relationships/hyperlink" Target="http://www.sec.gov/Archives/edgar/data/1826470/000119312521011439/d72007dex101.htm" TargetMode="External"/><Relationship Id="rId130" Type="http://schemas.openxmlformats.org/officeDocument/2006/relationships/hyperlink" Target="http://www.sec.gov/Archives/edgar/data/1826470/000119312521011439/d72007dex102.htm" TargetMode="External"/><Relationship Id="rId131" Type="http://schemas.openxmlformats.org/officeDocument/2006/relationships/hyperlink" Target="http://www.sec.gov/Archives/edgar/data/1826470/000119312520309678/d62974dex102.htm" TargetMode="External"/><Relationship Id="rId132" Type="http://schemas.openxmlformats.org/officeDocument/2006/relationships/hyperlink" Target="http://www.sec.gov/Archives/edgar/data/1826470/000119312520309678/d62974dex1023.htm" TargetMode="External"/><Relationship Id="rId133" Type="http://schemas.openxmlformats.org/officeDocument/2006/relationships/hyperlink" Target="http://www.sec.gov/Archives/edgar/data/1826470/000119312520309678/d62974dex104.htm" TargetMode="External"/><Relationship Id="rId136" Type="http://schemas.openxmlformats.org/officeDocument/2006/relationships/hyperlink" Target="http://www.sec.gov/Archives/edgar/data/1826470/000119312520309678/d62974dex105.htm" TargetMode="External"/><Relationship Id="rId137" Type="http://schemas.openxmlformats.org/officeDocument/2006/relationships/hyperlink" Target="http://www.sec.gov/Archives/edgar/data/1826470/000119312520309678/d62974dex106.htm" TargetMode="External"/><Relationship Id="rId138" Type="http://schemas.openxmlformats.org/officeDocument/2006/relationships/hyperlink" Target="http://www.sec.gov/Archives/edgar/data/1826470/000119312520309678/d62974dex107.htm" TargetMode="External"/><Relationship Id="rId139" Type="http://schemas.openxmlformats.org/officeDocument/2006/relationships/hyperlink" Target="http://www.sec.gov/Archives/edgar/data/1826470/000156459021017616/woof-ex1011_383.htm" TargetMode="External"/><Relationship Id="rId140" Type="http://schemas.openxmlformats.org/officeDocument/2006/relationships/hyperlink" Target="http://www.sec.gov/Archives/edgar/data/1826470/000119312520309678/d62974dex1011.htm" TargetMode="External"/><Relationship Id="rId141" Type="http://schemas.openxmlformats.org/officeDocument/2006/relationships/hyperlink" Target="http://www.sec.gov/Archives/edgar/data/1826470/000119312520309678/d62974dex1013.htm" TargetMode="External"/><Relationship Id="rId142" Type="http://schemas.openxmlformats.org/officeDocument/2006/relationships/hyperlink" Target="http://www.sec.gov/Archives/edgar/data/1826470/000119312521011537/d63587dex992.htm" TargetMode="External"/><Relationship Id="rId143" Type="http://schemas.openxmlformats.org/officeDocument/2006/relationships/hyperlink" Target="http://www.sec.gov/Archives/edgar/data/1826470/000119312521011537/d63587dex993.htm" TargetMode="External"/><Relationship Id="rId144" Type="http://schemas.openxmlformats.org/officeDocument/2006/relationships/hyperlink" Target="http://www.sec.gov/Archives/edgar/data/1826470/000119312521011537/d63587dex994.htm" TargetMode="External"/><Relationship Id="rId145" Type="http://schemas.openxmlformats.org/officeDocument/2006/relationships/hyperlink" Target="http://www.sec.gov/Archives/edgar/data/1826470/000119312521011537/d63587dex995.htm" TargetMode="External"/><Relationship Id="rId146" Type="http://schemas.openxmlformats.org/officeDocument/2006/relationships/hyperlink" Target="http://www.sec.gov/Archives/edgar/data/1826470/000119312521011537/d63587dex996.htm" TargetMode="External"/><Relationship Id="rId147" Type="http://schemas.openxmlformats.org/officeDocument/2006/relationships/hyperlink" Target="http://www.sec.gov/Archives/edgar/data/1826470/000119312521011537/d63587dex997.htm" TargetMode="External"/><Relationship Id="rId149" Type="http://schemas.openxmlformats.org/officeDocument/2006/relationships/hyperlink" Target="http://www.sec.gov/Archives/edgar/data/1826470/000119312521070483/d136557dex101.htm" TargetMode="External"/><Relationship Id="rId150" Type="http://schemas.openxmlformats.org/officeDocument/2006/relationships/hyperlink" Target="http://www.sec.gov/Archives/edgar/data/1826470/000119312521070483/d136557dex102.htm" TargetMode="External"/><Relationship Id="rId151" Type="http://schemas.openxmlformats.org/officeDocument/2006/relationships/hyperlink" Target="http://www.sec.gov/Archives/edgar/data/1826470/000156459021017616/woof-ex1031_384.htm" TargetMode="External"/><Relationship Id="rId152" Type="http://schemas.openxmlformats.org/officeDocument/2006/relationships/hyperlink" Target="http://www.sec.gov/Archives/edgar/data/1826470/000156459021017616/woof-ex1032_385.htm" TargetMode="External"/><Relationship Id="rId153" Type="http://schemas.openxmlformats.org/officeDocument/2006/relationships/hyperlink" Target="http://www.sec.gov/Archives/edgar/data/1826470/000156459021017616/woof-ex1033_386.htm" TargetMode="External"/><Relationship Id="rId154" Type="http://schemas.openxmlformats.org/officeDocument/2006/relationships/hyperlink" Target="http://www.sec.gov/Archives/edgar/data/1826470/000156459021017616/woof-ex1034_387.htm" TargetMode="External"/><Relationship Id="rId155" Type="http://schemas.openxmlformats.org/officeDocument/2006/relationships/hyperlink" Target="http://www.sec.gov/Archives/edgar/data/1826470/000156459021017616/woof-ex1035_388.htm" TargetMode="External"/><Relationship Id="rId156" Type="http://schemas.openxmlformats.org/officeDocument/2006/relationships/hyperlink" Target="http://www.sec.gov/Archives/edgar/data/1826470/000119312521002588/d629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2022-03-24T15:42:14Z</dcterms:created>
  <dcterms:modified xsi:type="dcterms:W3CDTF">2022-03-24T15:42:14Z</dcterms:modified>
</cp:coreProperties>
</file>