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oof-20260502.htm"/>
      <w:bookmarkStart w:id="1" w:name="kswoof2026050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May 2,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001-39878</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Petco Health and Wellness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81-1005932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10850 Via Frontera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453-7845</w:t>
      </w:r>
    </w:p>
    <w:p>
      <w:pPr>
        <w:pStyle w:val="TextBody"/>
        <w:bidi w:val="0"/>
        <w:spacing w:before="60" w:after="283"/>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WOOF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A Common Stock outstanding as of June 3, 2026 was 247,774,472.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B-1 Common Stock outstanding as of June 3, 2026 was 37,790,781.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the registrant’s Class B-2 Common Stock outstanding as of June 3, 2026 was 37,790,781.</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members_equity">
              <w:r>
                <w:rPr>
                  <w:rStyle w:val="InternetLink"/>
                  <w:rFonts w:ascii="Times New Roman" w:hAnsi="Times New Roman"/>
                  <w:color w:val="0000FF"/>
                  <w:sz w:val="20"/>
                  <w:u w:val="single"/>
                </w:rPr>
                <w:t>Consolidated Statements of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jc w:val="left"/>
        <w:rPr/>
      </w:pPr>
      <w:r>
        <w:rPr/>
        <w:t> </w:t>
      </w:r>
    </w:p>
    <w:p>
      <w:pPr>
        <w:pStyle w:val="TextBody"/>
        <w:bidi w:val="0"/>
        <w:spacing w:before="56" w:after="120"/>
        <w:jc w:val="left"/>
        <w:rPr>
          <w:rFonts w:ascii="Times New Roman" w:hAnsi="Times New Roman"/>
          <w:color w:val="000000"/>
          <w:sz w:val="20"/>
        </w:rPr>
      </w:pPr>
      <w:r>
        <w:rPr>
          <w:rFonts w:ascii="Times New Roman" w:hAnsi="Times New Roman"/>
          <w:color w:val="000000"/>
          <w:sz w:val="20"/>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referred to under “Risk Factors” and identified elsewhere in this Form 10-Q and our other filings with the SEC. The occurrence of any such factors could significantly alter the results set forth in these statements.</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statements such as “we believe” and similar statements reflect our beliefs and opinions on the relevant subject. These statements are based on information available to us as of the date of this Form 10-Q.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6" w:after="120"/>
        <w:jc w:val="left"/>
        <w:rPr>
          <w:rFonts w:ascii="Times New Roman" w:hAnsi="Times New Roman"/>
          <w:color w:val="000000"/>
          <w:sz w:val="20"/>
        </w:rPr>
      </w:pPr>
      <w:r>
        <w:rPr>
          <w:rFonts w:ascii="Times New Roman" w:hAnsi="Times New Roman"/>
          <w:color w:val="000000"/>
          <w:sz w:val="20"/>
        </w:rPr>
        <w:t>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PETCO HEALTH AND WELLNESS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5961"/>
        <w:gridCol w:w="146"/>
        <w:gridCol w:w="196"/>
        <w:gridCol w:w="886"/>
        <w:gridCol w:w="166"/>
        <w:gridCol w:w="146"/>
        <w:gridCol w:w="196"/>
        <w:gridCol w:w="886"/>
        <w:gridCol w:w="61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31,</w:t>
              <w:b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Receivables, less allowance for credit losses ($858</w:t>
            </w:r>
            <w:r>
              <w:rPr>
                <w:rFonts w:ascii="Times New Roman" w:hAnsi="Times New Roman"/>
                <w:color w:val="000000"/>
                <w:sz w:val="20"/>
              </w:rPr>
              <w:t> </w:t>
            </w:r>
            <w:r>
              <w:rPr>
                <w:rFonts w:ascii="Times New Roman" w:hAnsi="Times New Roman"/>
                <w:color w:val="000000"/>
                <w:sz w:val="16"/>
              </w:rPr>
              <w:t>and $779,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Merchandise 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1,019,786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2,404,132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2,378,208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(1,722,060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656,148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1,288,593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980,064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5,173,425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book overdrafts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450,552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and other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credit facilities, net, excluding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1,488,527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excluding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1,047,185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4,009,171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common stock, $0.001</w:t>
            </w:r>
            <w:r>
              <w:rPr>
                <w:rFonts w:ascii="Times New Roman" w:hAnsi="Times New Roman"/>
                <w:color w:val="000000"/>
                <w:sz w:val="20"/>
              </w:rPr>
              <w:t> </w:t>
            </w:r>
            <w:r>
              <w:rPr>
                <w:rFonts w:ascii="Times New Roman" w:hAnsi="Times New Roman"/>
                <w:color w:val="000000"/>
                <w:sz w:val="16"/>
              </w:rPr>
              <w:t>par value: Authorized - 1.0</w:t>
            </w:r>
            <w:r>
              <w:rPr>
                <w:rFonts w:ascii="Times New Roman" w:hAnsi="Times New Roman"/>
                <w:color w:val="000000"/>
                <w:sz w:val="20"/>
              </w:rPr>
              <w:t> </w:t>
            </w:r>
            <w:r>
              <w:rPr>
                <w:rFonts w:ascii="Times New Roman" w:hAnsi="Times New Roman"/>
                <w:color w:val="000000"/>
                <w:sz w:val="16"/>
              </w:rPr>
              <w:t>billion shares;</w:t>
              <w:br/>
              <w:t>    Issued and outstanding - 247.4</w:t>
            </w:r>
            <w:r>
              <w:rPr>
                <w:rFonts w:ascii="Times New Roman" w:hAnsi="Times New Roman"/>
                <w:color w:val="000000"/>
                <w:sz w:val="20"/>
              </w:rPr>
              <w:t>  </w:t>
            </w:r>
            <w:r>
              <w:rPr>
                <w:rFonts w:ascii="Times New Roman" w:hAnsi="Times New Roman"/>
                <w:color w:val="000000"/>
                <w:sz w:val="16"/>
              </w:rPr>
              <w:t>million and 243.7</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B-1 common stock, $0.001</w:t>
            </w:r>
            <w:r>
              <w:rPr>
                <w:rFonts w:ascii="Times New Roman" w:hAnsi="Times New Roman"/>
                <w:color w:val="000000"/>
                <w:sz w:val="20"/>
              </w:rPr>
              <w:t> </w:t>
            </w:r>
            <w:r>
              <w:rPr>
                <w:rFonts w:ascii="Times New Roman" w:hAnsi="Times New Roman"/>
                <w:color w:val="000000"/>
                <w:sz w:val="16"/>
              </w:rPr>
              <w:t>par value: Authorized - 75.0</w:t>
            </w:r>
            <w:r>
              <w:rPr>
                <w:rFonts w:ascii="Times New Roman" w:hAnsi="Times New Roman"/>
                <w:color w:val="000000"/>
                <w:sz w:val="20"/>
              </w:rPr>
              <w:t> </w:t>
            </w:r>
            <w:r>
              <w:rPr>
                <w:rFonts w:ascii="Times New Roman" w:hAnsi="Times New Roman"/>
                <w:color w:val="000000"/>
                <w:sz w:val="16"/>
              </w:rPr>
              <w:t>million shares;</w:t>
              <w:br/>
              <w:t>    Issued and outstanding - 37.8</w:t>
            </w:r>
            <w:r>
              <w:rPr>
                <w:rFonts w:ascii="Times New Roman" w:hAnsi="Times New Roman"/>
                <w:color w:val="000000"/>
                <w:sz w:val="20"/>
              </w:rPr>
              <w:t> </w:t>
            </w:r>
            <w:r>
              <w:rPr>
                <w:rFonts w:ascii="Times New Roman" w:hAnsi="Times New Roman"/>
                <w:color w:val="000000"/>
                <w:sz w:val="16"/>
              </w:rPr>
              <w:t>million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B-2 common stock, $0.000001</w:t>
            </w:r>
            <w:r>
              <w:rPr>
                <w:rFonts w:ascii="Times New Roman" w:hAnsi="Times New Roman"/>
                <w:color w:val="000000"/>
                <w:sz w:val="20"/>
              </w:rPr>
              <w:t> </w:t>
            </w:r>
            <w:r>
              <w:rPr>
                <w:rFonts w:ascii="Times New Roman" w:hAnsi="Times New Roman"/>
                <w:color w:val="000000"/>
                <w:sz w:val="16"/>
              </w:rPr>
              <w:t>par value: Authorized - 75.0</w:t>
            </w:r>
            <w:r>
              <w:rPr>
                <w:rFonts w:ascii="Times New Roman" w:hAnsi="Times New Roman"/>
                <w:color w:val="000000"/>
                <w:sz w:val="20"/>
              </w:rPr>
              <w:t> </w:t>
            </w:r>
            <w:r>
              <w:rPr>
                <w:rFonts w:ascii="Times New Roman" w:hAnsi="Times New Roman"/>
                <w:color w:val="000000"/>
                <w:sz w:val="16"/>
              </w:rPr>
              <w:t>million shares;</w:t>
              <w:br/>
              <w:t>    Issued and outstanding - 37.8</w:t>
            </w:r>
            <w:r>
              <w:rPr>
                <w:rFonts w:ascii="Times New Roman" w:hAnsi="Times New Roman"/>
                <w:color w:val="000000"/>
                <w:sz w:val="20"/>
              </w:rPr>
              <w:t> </w:t>
            </w:r>
            <w:r>
              <w:rPr>
                <w:rFonts w:ascii="Times New Roman" w:hAnsi="Times New Roman"/>
                <w:color w:val="000000"/>
                <w:sz w:val="16"/>
              </w:rPr>
              <w:t>million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$0.001</w:t>
            </w:r>
            <w:r>
              <w:rPr>
                <w:rFonts w:ascii="Times New Roman" w:hAnsi="Times New Roman"/>
                <w:color w:val="000000"/>
                <w:sz w:val="20"/>
              </w:rPr>
              <w:t> </w:t>
            </w:r>
            <w:r>
              <w:rPr>
                <w:rFonts w:ascii="Times New Roman" w:hAnsi="Times New Roman"/>
                <w:color w:val="000000"/>
                <w:sz w:val="16"/>
              </w:rPr>
              <w:t>par value: Authorized - 25.0</w:t>
            </w:r>
            <w:r>
              <w:rPr>
                <w:rFonts w:ascii="Times New Roman" w:hAnsi="Times New Roman"/>
                <w:color w:val="000000"/>
                <w:sz w:val="20"/>
              </w:rPr>
              <w:t> </w:t>
            </w:r>
            <w:r>
              <w:rPr>
                <w:rFonts w:ascii="Times New Roman" w:hAnsi="Times New Roman"/>
                <w:color w:val="000000"/>
                <w:sz w:val="16"/>
              </w:rPr>
              <w:t>million shares;</w:t>
              <w:br/>
              <w:t>    Issued and outstanding - 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2,312,354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(1,139,993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1,164,254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5,173,425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 (Unaudited)</w:t>
      </w:r>
    </w:p>
    <w:p>
      <w:pPr>
        <w:pStyle w:val="TextBody"/>
        <w:bidi w:val="0"/>
        <w:jc w:val="left"/>
        <w:rPr/>
      </w:pPr>
      <w:r>
        <w:rPr/>
        <w:t> </w:t>
      </w:r>
    </w:p>
    <w:p>
      <w:pPr>
        <w:pStyle w:val="TextBody"/>
        <w:bidi w:val="0"/>
        <w:jc w:val="center"/>
        <w:rPr/>
      </w:pPr>
      <w:r>
        <w:rPr/>
        <w:t> </w:t>
      </w:r>
    </w:p>
    <w:tbl>
      <w:tblPr>
        <w:tblW w:w="7625" w:type="dxa"/>
        <w:jc w:val="left"/>
        <w:tblInd w:w="0" w:type="dxa"/>
        <w:tblLayout w:type="fixed"/>
        <w:tblCellMar>
          <w:top w:w="28" w:type="dxa"/>
          <w:left w:w="28" w:type="dxa"/>
          <w:bottom w:w="28" w:type="dxa"/>
          <w:right w:w="28" w:type="dxa"/>
        </w:tblCellMar>
      </w:tblPr>
      <w:tblGrid>
        <w:gridCol w:w="4126"/>
        <w:gridCol w:w="146"/>
        <w:gridCol w:w="211"/>
        <w:gridCol w:w="931"/>
        <w:gridCol w:w="166"/>
        <w:gridCol w:w="146"/>
        <w:gridCol w:w="211"/>
        <w:gridCol w:w="931"/>
        <w:gridCol w:w="166"/>
        <w:gridCol w:w="5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Net loss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w:t>
              <w:br/>
              <w:t>    loss per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6" w:name="consolidated_statements_comprehensive_lo"/>
      <w:bookmarkEnd w:id="6"/>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7385" w:type="dxa"/>
        <w:jc w:val="left"/>
        <w:tblInd w:w="0" w:type="dxa"/>
        <w:tblLayout w:type="fixed"/>
        <w:tblCellMar>
          <w:top w:w="28" w:type="dxa"/>
          <w:left w:w="28" w:type="dxa"/>
          <w:bottom w:w="28" w:type="dxa"/>
          <w:right w:w="28" w:type="dxa"/>
        </w:tblCellMar>
      </w:tblPr>
      <w:tblGrid>
        <w:gridCol w:w="4476"/>
        <w:gridCol w:w="146"/>
        <w:gridCol w:w="211"/>
        <w:gridCol w:w="736"/>
        <w:gridCol w:w="166"/>
        <w:gridCol w:w="146"/>
        <w:gridCol w:w="211"/>
        <w:gridCol w:w="736"/>
        <w:gridCol w:w="166"/>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Class A and B-1</w:t>
              <w:br/>
              <w:t>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(gains) on derivatives reclassified 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loss attributable to Class A and </w:t>
              <w:br/>
              <w:t>   B-1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7" w:name="consolidated_statements_members_equity"/>
      <w:bookmarkEnd w:id="7"/>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7"/>
        <w:gridCol w:w="146"/>
        <w:gridCol w:w="146"/>
        <w:gridCol w:w="496"/>
        <w:gridCol w:w="146"/>
        <w:gridCol w:w="146"/>
        <w:gridCol w:w="146"/>
        <w:gridCol w:w="436"/>
        <w:gridCol w:w="146"/>
        <w:gridCol w:w="146"/>
        <w:gridCol w:w="146"/>
        <w:gridCol w:w="436"/>
        <w:gridCol w:w="146"/>
        <w:gridCol w:w="146"/>
        <w:gridCol w:w="166"/>
        <w:gridCol w:w="346"/>
        <w:gridCol w:w="146"/>
        <w:gridCol w:w="146"/>
        <w:gridCol w:w="286"/>
        <w:gridCol w:w="1011"/>
        <w:gridCol w:w="146"/>
        <w:gridCol w:w="146"/>
        <w:gridCol w:w="166"/>
        <w:gridCol w:w="616"/>
        <w:gridCol w:w="146"/>
        <w:gridCol w:w="146"/>
        <w:gridCol w:w="231"/>
        <w:gridCol w:w="565"/>
        <w:gridCol w:w="146"/>
        <w:gridCol w:w="146"/>
        <w:gridCol w:w="166"/>
        <w:gridCol w:w="586"/>
        <w:gridCol w:w="193"/>
      </w:tblGrid>
      <w:tr>
        <w:trPr/>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A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B-1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B-2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2,312,354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(1,139,993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1,164,254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(15,146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gain on derivatives (Note 5),</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Losses on derivatives reclassified to</w:t>
              <w:br/>
              <w:t>   income (Note 5),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(2,925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247,353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2,318,877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(1,155,139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1,155,305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2"/>
        <w:gridCol w:w="146"/>
        <w:gridCol w:w="146"/>
        <w:gridCol w:w="496"/>
        <w:gridCol w:w="146"/>
        <w:gridCol w:w="146"/>
        <w:gridCol w:w="146"/>
        <w:gridCol w:w="436"/>
        <w:gridCol w:w="146"/>
        <w:gridCol w:w="146"/>
        <w:gridCol w:w="146"/>
        <w:gridCol w:w="436"/>
        <w:gridCol w:w="146"/>
        <w:gridCol w:w="146"/>
        <w:gridCol w:w="166"/>
        <w:gridCol w:w="346"/>
        <w:gridCol w:w="146"/>
        <w:gridCol w:w="146"/>
        <w:gridCol w:w="287"/>
        <w:gridCol w:w="1015"/>
        <w:gridCol w:w="146"/>
        <w:gridCol w:w="146"/>
        <w:gridCol w:w="166"/>
        <w:gridCol w:w="616"/>
        <w:gridCol w:w="146"/>
        <w:gridCol w:w="146"/>
        <w:gridCol w:w="209"/>
        <w:gridCol w:w="587"/>
        <w:gridCol w:w="146"/>
        <w:gridCol w:w="146"/>
        <w:gridCol w:w="166"/>
        <w:gridCol w:w="586"/>
        <w:gridCol w:w="193"/>
      </w:tblGrid>
      <w:tr>
        <w:trPr/>
        <w:tc>
          <w:tcPr>
            <w:tcW w:w="1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A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B-1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Class </w:t>
              <w:br/>
              <w:t xml:space="preserve">B-2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br/>
              <w:t>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239,066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2,280,495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(1,149,059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1,113,630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Equity-based compensation expense </w:t>
              <w:br/>
              <w: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9,445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Foreign currency translation </w:t>
              <w:br/>
              <w:t>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Unrealized loss on derivatives (Note 5),</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Gains on derivatives reclassified to</w:t>
              <w:br/>
              <w:t>   income (Note 5),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w:t>
              <w:br/>
              <w:t>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(1,690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at May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240,831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2,288,248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(1,160,720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1,107,330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8" w:name="consolidated_statements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4626"/>
        <w:gridCol w:w="146"/>
        <w:gridCol w:w="181"/>
        <w:gridCol w:w="766"/>
        <w:gridCol w:w="151"/>
        <w:gridCol w:w="146"/>
        <w:gridCol w:w="181"/>
        <w:gridCol w:w="646"/>
        <w:gridCol w:w="996"/>
      </w:tblGrid>
      <w:tr>
        <w:trPr/>
        <w:tc>
          <w:tcPr>
            <w:tcW w:w="4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Thirteen weeks ended</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May 2,</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May 3,</w:t>
              <w:b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(11,661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49,811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debt discounts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Provision for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Amounts reclassified out of 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102,132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Merchandise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Accounts payable and book overdrafts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(19,028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salaries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(51,130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(103,780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(15,454</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(28,412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Insurance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received from partial surrender of officers'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Borrowings under long-term debt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refinancing costs and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employee stock purchase plan and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Tax withholdings on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(32,638</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181,665</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167,956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138,744</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cash flow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paid,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31,112</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non-cash investing and financing activities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accrued expenses for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13,010</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Petco Health and Wellness Company, Inc. (together with its consolidated subsidiaries, the “Company”) is a leading pet specialty retailer focused on improving the lives of pets, pet parents, and its own partners. The Company manages its business as one reportable operating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significant changes from the significant accounting policies disclosed in Note 1 of the Notes to Consolidated Financial Statements included in the Company’s Annual Report on Form 10-K for the fiscal year ended January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31, 2026, from which the prior year balance sheet information herein was derived.</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interest rate collar and interest rate swap agreements to limit the maximum interest on a portion of the Company’s variable-rate debt and decrease its exposure to interest rate variability relating to three-month Term SOFR. The interest rate collars and swap are accounted for as cash flow hedges, and changes in the fair value are reported as a component of accumulated other comprehensive income (loss) ("AOCI").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reported in the consolidated balance sheets to the total amounts reported in the consolidated statements of cash flows (in thousands): </w:t>
      </w:r>
    </w:p>
    <w:p>
      <w:pPr>
        <w:pStyle w:val="TextBody"/>
        <w:bidi w:val="0"/>
        <w:jc w:val="left"/>
        <w:rPr/>
      </w:pPr>
      <w:r>
        <w:rPr/>
        <w:t> </w:t>
      </w:r>
    </w:p>
    <w:tbl>
      <w:tblPr>
        <w:tblW w:w="6769" w:type="dxa"/>
        <w:jc w:val="left"/>
        <w:tblInd w:w="0" w:type="dxa"/>
        <w:tblLayout w:type="fixed"/>
        <w:tblCellMar>
          <w:top w:w="28" w:type="dxa"/>
          <w:left w:w="28" w:type="dxa"/>
          <w:bottom w:w="28" w:type="dxa"/>
          <w:right w:w="28" w:type="dxa"/>
        </w:tblCellMar>
      </w:tblPr>
      <w:tblGrid>
        <w:gridCol w:w="4156"/>
        <w:gridCol w:w="146"/>
        <w:gridCol w:w="211"/>
        <w:gridCol w:w="781"/>
        <w:gridCol w:w="146"/>
        <w:gridCol w:w="146"/>
        <w:gridCol w:w="211"/>
        <w:gridCol w:w="78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in</w:t>
              <w:br/>
              <w:t>   the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 Revenue Recognition</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Net sales by product type and services were as follows (in thousands): </w:t>
      </w:r>
    </w:p>
    <w:p>
      <w:pPr>
        <w:pStyle w:val="TextBody"/>
        <w:bidi w:val="0"/>
        <w:jc w:val="left"/>
        <w:rPr/>
      </w:pPr>
      <w:r>
        <w:rPr/>
        <w:t> </w:t>
      </w:r>
    </w:p>
    <w:tbl>
      <w:tblPr>
        <w:tblW w:w="5573" w:type="dxa"/>
        <w:jc w:val="left"/>
        <w:tblInd w:w="0" w:type="dxa"/>
        <w:tblLayout w:type="fixed"/>
        <w:tblCellMar>
          <w:top w:w="28" w:type="dxa"/>
          <w:left w:w="28" w:type="dxa"/>
          <w:bottom w:w="28" w:type="dxa"/>
          <w:right w:w="28" w:type="dxa"/>
        </w:tblCellMar>
      </w:tblPr>
      <w:tblGrid>
        <w:gridCol w:w="2806"/>
        <w:gridCol w:w="211"/>
        <w:gridCol w:w="931"/>
        <w:gridCol w:w="146"/>
        <w:gridCol w:w="146"/>
        <w:gridCol w:w="211"/>
        <w:gridCol w:w="93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 and companion animals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Senior Secured 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a $1,700.0 million secured term loan facility originally maturing on March 4, 2028 (the “First Lien Term Loan”). As of January 31, 2026, the outstanding principal balance of the First Lien Term Loan was $1,500.0 million. On February 2, 2026, the Company entered into a refinancing amendment to the credit agreement governing the First Lien Term Loan and issued $600.0 million in aggregate principal amount of senior secured notes (the “Senior Secured Notes”). Among other changes, the amendment provided that certain lenders would provide new term loans to the Company in an aggregate principal amount of $900.0 million (the “Amended First Lien Term Loan”), the proceeds of which, together with cash on hand and the proceeds from the Company's issuance of the Senior Secured Notes, would be used to repay the then outstanding principal on the First Lien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under the Amended First Lien Term Loan is, at the Company’s option, either a base rate plus 3.25% or Term SOFR plus 4.25%, payable quarterly in arrears. The base rate is the greater of the bank prime rate, federal funds effective rate plus 0.5% or one month Term SOFR plus 1.0%. The Amended First Lien Term Loan matures on February 2, 2031. Principal payments are $2.25 million quarterly and commence on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 secured asset-based revolving credit facility (as amended from time to time, the “ABL Revolving Credit Facility”). The first tranche of the ABL Revolving Credit Facility, which had availability of up to $35.0 million, subject to a borrowing base, matured on March 4, 2026. The remaining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May 2, 2026, the Company was in compliance with its covenants under the Amended First Lien Term Loan and the ABL Revolving Credit Facility.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 Loan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February 2, 2026 transaction, the Company recognized a loss on debt extinguishment and modification of $11.8 million, which consisted of a $4.0 million write-off of unamortized debt discount and issuance costs on the First Term Loan Facility and $7.8 million of third-party expenses. Fees relating to the Company’s entry into the Amended First Lien Term Loan consisted of arranger fees and other third-party expenses. Of those fees, $1.4 million was capitalized as debt issuance costs, along with $9.0 million of original issue discount. The remaining portion of original issue discount and debt issuance costs of the First Term Loan Facility previously capitalized is being amortized over the contractual term of the Amended First Lien Term Loan to interest expense using the effective interest rate in effect at issuance, as these amounts represent the portion that was not substantially modified.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May 2, 2026, the outstanding principal balance of the Amended First Lien Term Loan was $900.0 million ($886.1 million, net of the unamortized discount and debt issuance costs). As of January 31, 2026, the outstanding principal balance of the First Lien Term Loan was $1,500.0 million ($1,491.8 million, net of the unamortized discount and debt issuance costs). The weighted average interest rate on the borrowings outstanding was 8.1% and 7.3% as of May 2, 2026 and January 31, 2026, respectively. Debt issuance costs are being amortized over the contractual term to interest expense using the effective interest rate in effect at issuance. As of May 2, 2026, the estimated fair value of the Amended First Lien Term Loan was approximately $893.3 million, based upon Level 2 fair value hierarchy inputs. As of January 31, 2026, the estimated fair value of the First Lien Term Loan was $1,496.3 million, based upon Level 2 fair value hierarchy inputs. </w:t>
      </w:r>
    </w:p>
    <w:p>
      <w:pPr>
        <w:pStyle w:val="TextBody"/>
        <w:bidi w:val="0"/>
        <w:spacing w:before="360" w:after="283"/>
        <w:jc w:val="left"/>
        <w:rPr>
          <w:rFonts w:ascii="Times New Roman" w:hAnsi="Times New Roman"/>
          <w:sz w:val="20"/>
        </w:rPr>
      </w:pPr>
      <w:r>
        <w:rPr>
          <w:rFonts w:ascii="Times New Roman" w:hAnsi="Times New Roman"/>
          <w:b/>
          <w:i/>
          <w:color w:val="000000"/>
          <w:sz w:val="20"/>
        </w:rPr>
        <w:t>Revolving 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2, 2026 and January 31, 2026, no amounts were outstanding under the ABL Revolving Credit Facility. As of May 2, 2026, $487.6 million was available under the ABL Revolving Credit Facility, which is net of $58.4 million of outstanding letters of credit issued in the normal course of business. As of May 2, 2026 and January 31, 2026, unamortized debt issuance costs of $3.0 million and $3.2 million, respectively, relating to the ABL Revolving Credit Facility were outstanding and were being amortized using the straight-line method over the remaining term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on the ABL Revolving Credit Facility is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rPr>
        <w:t>Senior Secured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February 2, 2026 refinancing of the First Lien Term Loan described in Note 3, "Senior Secured Credit Facilities", the Company issued $600.0 million in aggregate principal amount of senior secured notes. The Senior Secured Notes bear interest at 8.25% per annum, payable semiannually in arrears, and mature on February 1, 2031. Approximately $10.3 million of arranger fees and other third-party expenses relating to the Company’s issuance of the Senior Secured Notes were capitalized as 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2, 2026, the outstanding principal balance of the Senior Secured Notes was $600.0 million ($590.1 million, net of the unamortized debt issuance costs). As of May 2, 2026, the weighted average interest rate on the borrowings outstanding was 8.3%. Debt issuance costs are being amortized over the contractual term to interest expense using the effective interest rate in effect at issuance. As of May 2, 2026, the estimated fair value of the Senior Secured Notes was approximately $601.5 million, based upon Level 2 fair value hierarchy inputs.</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5</w:t>
      </w:r>
      <w:r>
        <w:rPr>
          <w:rFonts w:ascii="Times New Roman" w:hAnsi="Times New Roman"/>
          <w:b/>
          <w:color w:val="000000"/>
          <w:sz w:val="20"/>
        </w:rPr>
        <w:t>. 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swap and collars are accounted for as cash flow hedges because they are expected to be highly effective in hedging variable rate interest payments. Changes in the fair value of the cash flow hedges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reported as a component of AOCI. As of May 2, 2026, AOCI included unrealized gains of $0.1 million ($0.1 million, net of tax). As of January 31, 2026, AOCI included unrealized losses of $1.0 million ($0.8 million, net of tax). Approximately $0.1 million of pre-tax losses and $0.2 million of pre-tax gains deferred in AOCI were reclassified to interest expense during the thirteen week periods ended May 2, 2026 and May 3,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flow hedges are reflected in the Company’s consolidated balance sheets as follows (in thousands):</w:t>
      </w:r>
    </w:p>
    <w:p>
      <w:pPr>
        <w:pStyle w:val="TextBody"/>
        <w:bidi w:val="0"/>
        <w:spacing w:before="240" w:after="283"/>
        <w:jc w:val="left"/>
        <w:rPr/>
      </w:pPr>
      <w:r>
        <w:rPr/>
        <w:t> </w:t>
      </w:r>
    </w:p>
    <w:tbl>
      <w:tblPr>
        <w:tblW w:w="8364" w:type="dxa"/>
        <w:jc w:val="left"/>
        <w:tblInd w:w="0" w:type="dxa"/>
        <w:tblLayout w:type="fixed"/>
        <w:tblCellMar>
          <w:top w:w="28" w:type="dxa"/>
          <w:left w:w="28" w:type="dxa"/>
          <w:bottom w:w="28" w:type="dxa"/>
          <w:right w:w="28" w:type="dxa"/>
        </w:tblCellMar>
      </w:tblPr>
      <w:tblGrid>
        <w:gridCol w:w="3511"/>
        <w:gridCol w:w="146"/>
        <w:gridCol w:w="2416"/>
        <w:gridCol w:w="146"/>
        <w:gridCol w:w="211"/>
        <w:gridCol w:w="421"/>
        <w:gridCol w:w="166"/>
        <w:gridCol w:w="146"/>
        <w:gridCol w:w="301"/>
        <w:gridCol w:w="689"/>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 portion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Non-current asset portion of cash flow </w:t>
              <w:br/>
              <w: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Current liability portion of cash flow </w:t>
              <w:br/>
              <w: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Accrued expenses and other </w:t>
              <w:b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Non-current liability portion of cash flow </w:t>
              <w:br/>
              <w: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Assets and Liabilities Measured on a 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assets and liabilities that are measured at fair value on a recurring basis and indicate the fair value hierarchy of the valuation techniques utilized to determine such fair value (in thousands): </w:t>
      </w:r>
    </w:p>
    <w:tbl>
      <w:tblPr>
        <w:tblW w:w="7466" w:type="dxa"/>
        <w:jc w:val="left"/>
        <w:tblInd w:w="0" w:type="dxa"/>
        <w:tblLayout w:type="fixed"/>
        <w:tblCellMar>
          <w:top w:w="28" w:type="dxa"/>
          <w:left w:w="28" w:type="dxa"/>
          <w:bottom w:w="28" w:type="dxa"/>
          <w:right w:w="28" w:type="dxa"/>
        </w:tblCellMar>
      </w:tblPr>
      <w:tblGrid>
        <w:gridCol w:w="3756"/>
        <w:gridCol w:w="146"/>
        <w:gridCol w:w="211"/>
        <w:gridCol w:w="781"/>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756"/>
        <w:gridCol w:w="146"/>
        <w:gridCol w:w="211"/>
        <w:gridCol w:w="781"/>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fair value of money market mutual funds is based on quoted market prices, such as quoted net asset values published by the fund as supported in an active market. Money market mutual funds included in the Company’s cash and cash equivalents were $113.5 million and $204.0 million as of May 2, 2026 and January 31, 2026, respectively. Also included in the Company’s money market mutual funds balances were $1.2 million and $12.7 million as of May 2, 2026 and January 31, 2026, respectively, which relate to the Company’s restricted cash, and are included in other current assets in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holds certain investments in equity securities without readily determinable fair values. When an upward or downward adjustment occurs, the resulting gains or losses are included in other non-operating income in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on a Non-Recurring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triggering events identified and no indications of impairment of the Company’s goodwill, indefinite-lived trade name, or equity and other investments during the thirteen week periods ended May 2, 2026 and May 3, 2025. During the thirteen week periods ended May 2, 2026 and May 3, 2025, the Company recorded fixed asset and right-of-use asset impairment charges of $0.1 million and $0.6 million, respectively.</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Equity-based compensation awards under the Company’s current equity incentive plan (as amended, the “2021 Equity Incentive Plan”) include restricted stock units (“RSUs,” which include performance-based stock units and market-based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 No additional Series C Units have been or will be awarded following the Company’s initial public offering. As of May 2, 2026, substantially all Series C Units are fully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equity-based compensation expense by award type (in thousands):</w:t>
      </w:r>
    </w:p>
    <w:p>
      <w:pPr>
        <w:pStyle w:val="TextBody"/>
        <w:bidi w:val="0"/>
        <w:jc w:val="left"/>
        <w:rPr/>
      </w:pPr>
      <w:r>
        <w:rPr/>
        <w:t> </w:t>
      </w:r>
    </w:p>
    <w:tbl>
      <w:tblPr>
        <w:tblW w:w="6154" w:type="dxa"/>
        <w:jc w:val="left"/>
        <w:tblInd w:w="0" w:type="dxa"/>
        <w:tblLayout w:type="fixed"/>
        <w:tblCellMar>
          <w:top w:w="28" w:type="dxa"/>
          <w:left w:w="28" w:type="dxa"/>
          <w:bottom w:w="28" w:type="dxa"/>
          <w:right w:w="28" w:type="dxa"/>
        </w:tblCellMar>
      </w:tblPr>
      <w:tblGrid>
        <w:gridCol w:w="3741"/>
        <w:gridCol w:w="146"/>
        <w:gridCol w:w="211"/>
        <w:gridCol w:w="571"/>
        <w:gridCol w:w="146"/>
        <w:gridCol w:w="146"/>
        <w:gridCol w:w="211"/>
        <w:gridCol w:w="571"/>
        <w:gridCol w:w="41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under the 2021 Equity Incentive Plan and the Inducement Awards was as follows (shares and dollars in thousands):</w:t>
      </w:r>
    </w:p>
    <w:p>
      <w:pPr>
        <w:pStyle w:val="TextBody"/>
        <w:bidi w:val="0"/>
        <w:jc w:val="left"/>
        <w:rPr/>
      </w:pPr>
      <w:r>
        <w:rPr/>
        <w:t> </w:t>
      </w:r>
    </w:p>
    <w:tbl>
      <w:tblPr>
        <w:tblW w:w="8037" w:type="dxa"/>
        <w:jc w:val="left"/>
        <w:tblInd w:w="0" w:type="dxa"/>
        <w:tblLayout w:type="fixed"/>
        <w:tblCellMar>
          <w:top w:w="28" w:type="dxa"/>
          <w:left w:w="28" w:type="dxa"/>
          <w:bottom w:w="28" w:type="dxa"/>
          <w:right w:w="28" w:type="dxa"/>
        </w:tblCellMar>
      </w:tblPr>
      <w:tblGrid>
        <w:gridCol w:w="5236"/>
        <w:gridCol w:w="146"/>
        <w:gridCol w:w="296"/>
        <w:gridCol w:w="949"/>
        <w:gridCol w:w="166"/>
        <w:gridCol w:w="146"/>
        <w:gridCol w:w="211"/>
        <w:gridCol w:w="676"/>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and 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Nonvested/outstanding,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compensation expense as of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expense period as of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Per Share</w:t>
      </w:r>
    </w:p>
    <w:p>
      <w:pPr>
        <w:pStyle w:val="TextBody"/>
        <w:bidi w:val="0"/>
        <w:jc w:val="left"/>
        <w:rPr>
          <w:rFonts w:ascii="Times New Roman" w:hAnsi="Times New Roman"/>
          <w:color w:val="000000"/>
          <w:sz w:val="20"/>
        </w:rPr>
      </w:pPr>
      <w:r>
        <w:rPr>
          <w:rFonts w:ascii="Times New Roman" w:hAnsi="Times New Roman"/>
          <w:color w:val="000000"/>
          <w:sz w:val="20"/>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All outstanding equity awards were excluded from the calculation of diluted loss per Class A and B-1 common share in the thirteen weeks ended May 2, 2026 and May 3, 2025, as their effect would be antidilutive in a net loss period</w:t>
      </w:r>
      <w:r>
        <w:rPr>
          <w:rFonts w:ascii="sans-serif" w:hAnsi="sans-serif"/>
          <w:color w:val="000000"/>
          <w:sz w:val="22"/>
        </w:rPr>
        <w:t>.</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Reportable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managed on a consolidated basis. The measure of segment profit or loss is consolidated net income (loss) that is reported on the consolidated statement of operations. The measure of segment assets is reported on the consolidated balance sheet as total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represents segment information for the Company’s single operating segment, for the periods presented (in thousands):</w:t>
      </w:r>
    </w:p>
    <w:p>
      <w:pPr>
        <w:pStyle w:val="TextBody"/>
        <w:bidi w:val="0"/>
        <w:jc w:val="left"/>
        <w:rPr/>
      </w:pPr>
      <w:r>
        <w:rPr/>
        <w:t> </w:t>
      </w:r>
    </w:p>
    <w:tbl>
      <w:tblPr>
        <w:tblW w:w="6264" w:type="dxa"/>
        <w:jc w:val="left"/>
        <w:tblInd w:w="0" w:type="dxa"/>
        <w:tblLayout w:type="fixed"/>
        <w:tblCellMar>
          <w:top w:w="28" w:type="dxa"/>
          <w:left w:w="28" w:type="dxa"/>
          <w:bottom w:w="28" w:type="dxa"/>
          <w:right w:w="28" w:type="dxa"/>
        </w:tblCellMar>
      </w:tblPr>
      <w:tblGrid>
        <w:gridCol w:w="3111"/>
        <w:gridCol w:w="146"/>
        <w:gridCol w:w="211"/>
        <w:gridCol w:w="931"/>
        <w:gridCol w:w="166"/>
        <w:gridCol w:w="146"/>
        <w:gridCol w:w="211"/>
        <w:gridCol w:w="931"/>
        <w:gridCol w:w="41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Advertising and marketing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Stock compensation - general and </w:t>
              <w:br/>
              <w:t>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general and </w:t>
              <w:br/>
              <w:t>   administrative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w:t>
              <w:br/>
              <w:t>   modification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Income from equity method </w:t>
              <w:br/>
              <w:t>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general &amp; administrative expenses include pet care center expenses, support center labor and occupancy costs, legal, accounting, information technology, consulting costs, and depreciation and amortization.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31, 2026 (the “2025 Form 10-K”). The discussion and analysis below contains certain forward-looking statements about our business and operations that are subject to the risks, uncertainties, and other factors referred to in Part II, Item 1A, “</w:t>
      </w:r>
      <w:r>
        <w:rPr>
          <w:rFonts w:ascii="Times New Roman" w:hAnsi="Times New Roman"/>
          <w:i/>
          <w:color w:val="000000"/>
          <w:sz w:val="20"/>
        </w:rPr>
        <w:t>Risk Factors</w:t>
      </w:r>
      <w:r>
        <w:rPr>
          <w:rFonts w:ascii="Times New Roman" w:hAnsi="Times New Roman"/>
          <w:color w:val="000000"/>
          <w:sz w:val="20"/>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Petco Health and Wellness Company, Inc. (“Petco”, the “Company”, “we”, “our” and “us”) is a leading pet specialty retailer focused on improving the lives of pets, pet parents, and our own partners. We nurture the pet-human bond in the aisles of more than 1,500 Petco stores across the U.S., Mexico, and Chile.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 We are focused on continually improving both our digital capabilities as well as our membership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strive to be a company that is improving millions of pet lives as well as the lives of pet parents and the partners who work for us. In tandem with Petco Love, an independent 501(c)(3) nonprofit organization, we work with and support thousands of local animal welfare groups nationwide and, through these partnerships and in-store adoption events, we have helped find homes for over 7 million animals.</w:t>
      </w:r>
    </w:p>
    <w:p>
      <w:pPr>
        <w:pStyle w:val="TextBody"/>
        <w:bidi w:val="0"/>
        <w:spacing w:before="120" w:after="283"/>
        <w:jc w:val="left"/>
        <w:rPr>
          <w:rFonts w:ascii="Times New Roman" w:hAnsi="Times New Roman"/>
          <w:sz w:val="20"/>
        </w:rPr>
      </w:pPr>
      <w:r>
        <w:rPr>
          <w:rFonts w:ascii="Times New Roman" w:hAnsi="Times New Roman"/>
          <w:color w:val="000000"/>
          <w:sz w:val="20"/>
        </w:rPr>
        <w:t>Macroeconomic factors, including interest rates, potential inflationary pressures, supply chain constraints, tariffs, and global economic and geopolitical developments, including geopolitical conflicts and tensions, have had varying impacts on our results of operations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hAnsi="Times New Roman"/>
          <w:i/>
          <w:color w:val="000000"/>
          <w:sz w:val="20"/>
        </w:rPr>
        <w:t>Risk Factors</w:t>
      </w:r>
      <w:r>
        <w:rPr>
          <w:rFonts w:ascii="Times New Roman" w:hAnsi="Times New Roman"/>
          <w:color w:val="000000"/>
          <w:sz w:val="20"/>
        </w:rPr>
        <w:t>”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2026, the U.S. Supreme Court issued a decision invalidating certain tariffs previously imposed under the International Emergency Economic Power Act ("IEEPA"). We have applied for a refund of tariffs paid, following the processes established by U.S. Customs and Border Protection. We will continue to evaluate new information and will recognize any IEEPA tariff refunds or related receivables when they are realized or realizable.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How We Assess the Performance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our performance, we consider a variety of performance and financial measures, including the following:</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Comparable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Comparing the thirteen weeks ended May 2, 2026 with the thirteen weeks ended May 3, 2025 (unless otherwise noted), our results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net sales from $1.49 billion to $1.50 billion, representing period-over-period growth of 0.2% and a comparable sales increase of 0.7%;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of $24.6 million, compared to operating income of $16.4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attributable to Class A and B-1 common stockholders of $15.1 million, compared to net loss attributable to Class A and B-1 common stockholders of $11.7 million in the prior year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Adjusted EBITDA from $89.4 million to $97.3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results of operations and the percent of net sales of line items included in our consolidated statements of operations (dollars in thousands):</w:t>
      </w:r>
    </w:p>
    <w:p>
      <w:pPr>
        <w:pStyle w:val="TextBody"/>
        <w:bidi w:val="0"/>
        <w:jc w:val="left"/>
        <w:rPr/>
      </w:pPr>
      <w:r>
        <w:rPr/>
        <w:t> </w:t>
      </w:r>
    </w:p>
    <w:tbl>
      <w:tblPr>
        <w:tblW w:w="7625" w:type="dxa"/>
        <w:jc w:val="left"/>
        <w:tblInd w:w="0" w:type="dxa"/>
        <w:tblLayout w:type="fixed"/>
        <w:tblCellMar>
          <w:top w:w="28" w:type="dxa"/>
          <w:left w:w="28" w:type="dxa"/>
          <w:bottom w:w="28" w:type="dxa"/>
          <w:right w:w="28" w:type="dxa"/>
        </w:tblCellMar>
      </w:tblPr>
      <w:tblGrid>
        <w:gridCol w:w="4126"/>
        <w:gridCol w:w="146"/>
        <w:gridCol w:w="211"/>
        <w:gridCol w:w="931"/>
        <w:gridCol w:w="166"/>
        <w:gridCol w:w="146"/>
        <w:gridCol w:w="211"/>
        <w:gridCol w:w="931"/>
        <w:gridCol w:w="166"/>
        <w:gridCol w:w="5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Net loss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005" w:type="dxa"/>
        <w:jc w:val="left"/>
        <w:tblInd w:w="0" w:type="dxa"/>
        <w:tblLayout w:type="fixed"/>
        <w:tblCellMar>
          <w:top w:w="28" w:type="dxa"/>
          <w:left w:w="28" w:type="dxa"/>
          <w:bottom w:w="28" w:type="dxa"/>
          <w:right w:w="28" w:type="dxa"/>
        </w:tblCellMar>
      </w:tblPr>
      <w:tblGrid>
        <w:gridCol w:w="4126"/>
        <w:gridCol w:w="146"/>
        <w:gridCol w:w="146"/>
        <w:gridCol w:w="571"/>
        <w:gridCol w:w="331"/>
        <w:gridCol w:w="146"/>
        <w:gridCol w:w="146"/>
        <w:gridCol w:w="571"/>
        <w:gridCol w:w="331"/>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Loss before income taxes and income </w:t>
              <w:br/>
              <w:t>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Net loss attributable to Class A and B-1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3661"/>
        <w:gridCol w:w="146"/>
        <w:gridCol w:w="211"/>
        <w:gridCol w:w="676"/>
        <w:gridCol w:w="271"/>
        <w:gridCol w:w="146"/>
        <w:gridCol w:w="211"/>
        <w:gridCol w:w="676"/>
        <w:gridCol w:w="331"/>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Operational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sales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pet care centers (U.S.)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Thirteen Weeks Ended May 2, 2026 Compared with Thirteen Weeks Ended May 3,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 and Comparable Sales</w:t>
      </w:r>
    </w:p>
    <w:p>
      <w:pPr>
        <w:pStyle w:val="TextBody"/>
        <w:bidi w:val="0"/>
        <w:spacing w:before="120" w:after="283"/>
        <w:jc w:val="left"/>
        <w:rPr/>
      </w:pPr>
      <w:r>
        <w:rPr/>
        <w:t> </w:t>
      </w:r>
    </w:p>
    <w:tbl>
      <w:tblPr>
        <w:tblW w:w="8116" w:type="dxa"/>
        <w:jc w:val="left"/>
        <w:tblInd w:w="0" w:type="dxa"/>
        <w:tblLayout w:type="fixed"/>
        <w:tblCellMar>
          <w:top w:w="28" w:type="dxa"/>
          <w:left w:w="28" w:type="dxa"/>
          <w:bottom w:w="28" w:type="dxa"/>
          <w:right w:w="28" w:type="dxa"/>
        </w:tblCellMar>
      </w:tblPr>
      <w:tblGrid>
        <w:gridCol w:w="2806"/>
        <w:gridCol w:w="211"/>
        <w:gridCol w:w="931"/>
        <w:gridCol w:w="146"/>
        <w:gridCol w:w="146"/>
        <w:gridCol w:w="211"/>
        <w:gridCol w:w="931"/>
        <w:gridCol w:w="146"/>
        <w:gridCol w:w="146"/>
        <w:gridCol w:w="211"/>
        <w:gridCol w:w="736"/>
        <w:gridCol w:w="166"/>
        <w:gridCol w:w="146"/>
        <w:gridCol w:w="170"/>
        <w:gridCol w:w="491"/>
        <w:gridCol w:w="33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 and companion animals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increased $3.3 million, or 0.2%, to $1.50 billion in the thirteen weeks ended May 2, 2026 compared to net sales of $1.49 billion in the thirteen weeks ended May 3, 2025. The sales increase primarily reflects growth in our services business, driven by our investments in customer acquisition and retention, as well as optimization of our veterinary footprint. We also experienced positive comparable sales trends in our consumables category, offset by a lower pet care center count. We continue to focus on profitability and margin through a disciplined approach to managing unit costs, pricing, and promotional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quantify certain factors impacting sales described above due to the fact that such factors are based on input measures or qualitative information that do not lend themselves to quantification.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net sales, our gross profit rate was 38.4% for the thirteen weeks ended May 2, 2026 compared with 38.2% for the thirteen weeks ended May 3, 2025. We continue to focus on effectively utilizing our services footprint and managing our inventory, unit costs, pricing, and promotional strategies. We are unable to quantify the factors impacting gross profit rate described above due to the fact that such factors are based on input measures or qualitative information that do not lend themselves to quantification.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(“SG&amp;A”)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net sales, SG&amp;A expenses were 36.7% for the thirteen weeks ended May 2, 2026 compared with 37.1% for the thirteen weeks ended May 3, 2025. The decrease in SG&amp;A expenses between the periods was primarily due to lower payroll and consulting costs, partially offset by an increase in advertising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sz w:val="20"/>
        </w:rPr>
      </w:pPr>
      <w:r>
        <w:rPr>
          <w:rFonts w:ascii="Times New Roman" w:hAnsi="Times New Roman"/>
          <w:color w:val="000000"/>
          <w:sz w:val="20"/>
        </w:rPr>
        <w:t>Interest expense decreased $0.7 million, or 2.1%, to $32.8 million in the thirteen weeks ended May 2, 2026 compared with $33.5 million in the thirteen weeks ended May 3, 2025. The decrease was primarily driven by a lower aggregate outstanding principal balance of indebtedness, partially offset by higher interest rates during the thirteen weeks ended May 2, 2026. For more information, refer to Note 3, “</w:t>
      </w:r>
      <w:r>
        <w:rPr>
          <w:rFonts w:ascii="Times New Roman" w:hAnsi="Times New Roman"/>
          <w:i/>
          <w:color w:val="000000"/>
          <w:sz w:val="20"/>
        </w:rPr>
        <w:t>Senior Secured Credit Facilities,</w:t>
      </w:r>
      <w:r>
        <w:rPr>
          <w:rFonts w:ascii="Times New Roman" w:hAnsi="Times New Roman"/>
          <w:color w:val="000000"/>
          <w:sz w:val="20"/>
        </w:rPr>
        <w:t>” and Note 4, "</w:t>
      </w:r>
      <w:r>
        <w:rPr>
          <w:rFonts w:ascii="Times New Roman" w:hAnsi="Times New Roman"/>
          <w:i/>
          <w:color w:val="000000"/>
          <w:sz w:val="20"/>
        </w:rPr>
        <w:t>Senior Secured Notes</w:t>
      </w:r>
      <w:r>
        <w:rPr>
          <w:rFonts w:ascii="Times New Roman" w:hAnsi="Times New Roman"/>
          <w:color w:val="000000"/>
          <w:sz w:val="20"/>
        </w:rPr>
        <w:t>" in the Notes to Consolidated Financial Statements included in Part I, Item 1 of this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Extinguishment and Modification of Debt</w:t>
      </w:r>
    </w:p>
    <w:p>
      <w:pPr>
        <w:pStyle w:val="TextBody"/>
        <w:bidi w:val="0"/>
        <w:spacing w:before="120" w:after="283"/>
        <w:jc w:val="left"/>
        <w:rPr>
          <w:rFonts w:ascii="Times New Roman" w:hAnsi="Times New Roman"/>
          <w:sz w:val="20"/>
        </w:rPr>
      </w:pPr>
      <w:r>
        <w:rPr>
          <w:rFonts w:ascii="Times New Roman" w:hAnsi="Times New Roman"/>
          <w:color w:val="000000"/>
          <w:sz w:val="20"/>
        </w:rPr>
        <w:t>Loss on extinguishment and modification of debt was $11.8 million for the thirteen weeks ended May 2, 2026. This loss was recognized in conjunction with the February 2, 2026 debt refinancing transaction described under "Sources of Liquidity—Senior Secured Credit Facilities and Senior Secured Notes" below. There was no loss on debt extinguishment and modification for the thirteen weeks ended May 3, 2025. For more information, refer to Note 3, “</w:t>
      </w:r>
      <w:r>
        <w:rPr>
          <w:rFonts w:ascii="Times New Roman" w:hAnsi="Times New Roman"/>
          <w:i/>
          <w:color w:val="000000"/>
          <w:sz w:val="20"/>
        </w:rPr>
        <w:t>Senior Secured Credit Facilities</w:t>
      </w:r>
      <w:r>
        <w:rPr>
          <w:rFonts w:ascii="Times New Roman" w:hAnsi="Times New Roman"/>
          <w:color w:val="000000"/>
          <w:sz w:val="20"/>
        </w:rPr>
        <w:t>,” and Note 4, "</w:t>
      </w:r>
      <w:r>
        <w:rPr>
          <w:rFonts w:ascii="Times New Roman" w:hAnsi="Times New Roman"/>
          <w:i/>
          <w:color w:val="000000"/>
          <w:sz w:val="20"/>
        </w:rPr>
        <w:t>Senior Secured Notes</w:t>
      </w:r>
      <w:r>
        <w:rPr>
          <w:rFonts w:ascii="Times New Roman" w:hAnsi="Times New Roman"/>
          <w:color w:val="000000"/>
          <w:sz w:val="20"/>
        </w:rPr>
        <w:t>," to the Notes to Consolidated Financial Statements included in Part I, Item 1 of this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compute our tax provision (benefit) for interim periods by applying the estimated annual effective tax rate to our year-to-date income (loss) before income taxes, adjusted for discrete items recognized during the quarter. However, due to the sensitivity of the estimated annual effective tax rate to changes in estimated annual pre-tax results, we determined that the actual effective tax rate method is the appropriate approach in the computation of the interim tax provision for the thirteen weeks ended May 2, 2026, as the use of the estimated annual effective tax rate would provide a distortive result.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actual effective tax rate was (17.0)%, resulting in income tax expense of $2.2 million for the thirteen weeks ended May 2, 2026, compared to an estimated annual effective tax rate of (4.5%), resulting in income tax expense of $0.5 million for the thirteen weeks ended May 3, 2025. The change in tax rate for the thirteen weeks ended May 2, 2026, was primarily driven by a reduction of equity-based compensation not expected to be deductible for tax purposes, along with a change in pre-tax earnings and the application of our actual effective tax rate in the current period compared to the use of our estimated annual effective tax rate in the prior year.</w:t>
      </w:r>
    </w:p>
    <w:p>
      <w:pPr>
        <w:pStyle w:val="TextBody"/>
        <w:bidi w:val="0"/>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0"/>
        </w:rPr>
        <w:t>Reconciliation of</w:t>
      </w:r>
      <w:r>
        <w:rPr>
          <w:rFonts w:ascii="Times New Roman" w:hAnsi="Times New Roman"/>
          <w:color w:val="000000"/>
          <w:sz w:val="20"/>
        </w:rPr>
        <w:t xml:space="preserve"> </w:t>
      </w:r>
      <w:r>
        <w:rPr>
          <w:rFonts w:ascii="Times New Roman" w:hAnsi="Times New Roman"/>
          <w:b/>
          <w:color w:val="000000"/>
          <w:sz w:val="20"/>
        </w:rPr>
        <w:t>Non-GAAP Financial Measures</w:t>
      </w:r>
      <w:r>
        <w:rPr>
          <w:rFonts w:ascii="Times New Roman" w:hAnsi="Times New Roman"/>
          <w:color w:val="000000"/>
          <w:sz w:val="20"/>
        </w:rPr>
        <w:t xml:space="preserve"> </w:t>
      </w:r>
      <w:r>
        <w:rPr>
          <w:rFonts w:ascii="Times New Roman" w:hAnsi="Times New Roman"/>
          <w:b/>
          <w:color w:val="000000"/>
          <w:sz w:val="20"/>
        </w:rPr>
        <w:t>to 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2025 Form 10-K for more information regarding how we define Adjusted EBITDA.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Adjusted EBITDA and Adjusted EBITDA Margin for the periods presented:</w:t>
      </w:r>
    </w:p>
    <w:p>
      <w:pPr>
        <w:pStyle w:val="TextBody"/>
        <w:bidi w:val="0"/>
        <w:spacing w:before="120" w:after="283"/>
        <w:jc w:val="left"/>
        <w:rPr/>
      </w:pPr>
      <w:r>
        <w:rPr/>
        <w:t> </w:t>
      </w:r>
    </w:p>
    <w:tbl>
      <w:tblPr>
        <w:tblW w:w="8155" w:type="dxa"/>
        <w:jc w:val="left"/>
        <w:tblInd w:w="0" w:type="dxa"/>
        <w:tblLayout w:type="fixed"/>
        <w:tblCellMar>
          <w:top w:w="28" w:type="dxa"/>
          <w:left w:w="28" w:type="dxa"/>
          <w:bottom w:w="28" w:type="dxa"/>
          <w:right w:w="28" w:type="dxa"/>
        </w:tblCellMar>
      </w:tblPr>
      <w:tblGrid>
        <w:gridCol w:w="4326"/>
        <w:gridCol w:w="146"/>
        <w:gridCol w:w="211"/>
        <w:gridCol w:w="931"/>
        <w:gridCol w:w="331"/>
        <w:gridCol w:w="146"/>
        <w:gridCol w:w="211"/>
        <w:gridCol w:w="931"/>
        <w:gridCol w:w="331"/>
        <w:gridCol w:w="5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loss attributable to Class A and B-1 </w:t>
              <w:br/>
              <w:t>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 joint venture EBITDA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1,493,399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margin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pStyle w:val="TextBody"/>
        <w:bidi w:val="0"/>
        <w:jc w:val="left"/>
        <w:rPr/>
      </w:pPr>
      <w:r>
        <w:rPr/>
        <w:t> </w:t>
      </w:r>
    </w:p>
    <w:tbl>
      <w:tblPr>
        <w:tblW w:w="5355" w:type="dxa"/>
        <w:jc w:val="left"/>
        <w:tblInd w:w="0" w:type="dxa"/>
        <w:tblLayout w:type="fixed"/>
        <w:tblCellMar>
          <w:top w:w="28" w:type="dxa"/>
          <w:left w:w="28" w:type="dxa"/>
          <w:bottom w:w="28" w:type="dxa"/>
          <w:right w:w="28" w:type="dxa"/>
        </w:tblCellMar>
      </w:tblPr>
      <w:tblGrid>
        <w:gridCol w:w="2586"/>
        <w:gridCol w:w="146"/>
        <w:gridCol w:w="211"/>
        <w:gridCol w:w="676"/>
        <w:gridCol w:w="146"/>
        <w:gridCol w:w="146"/>
        <w:gridCol w:w="211"/>
        <w:gridCol w:w="676"/>
        <w:gridCol w:w="166"/>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of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Other costs include, as incurred: restructuring costs and restructuring-related severance costs; legal reserves associated with significant, non-ordinary course legal or regulatory matters; and costs related to certain significant strategic transactions.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define net margin as net loss attributable to Class A and B-1 common stockholders divided by net sales and Adjusted EBITDA margin as Adjusted EBITDA divided by net sales.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Free Cash Flow for the periods presented:</w:t>
      </w:r>
    </w:p>
    <w:p>
      <w:pPr>
        <w:pStyle w:val="TextBody"/>
        <w:bidi w:val="0"/>
        <w:jc w:val="left"/>
        <w:rPr/>
      </w:pPr>
      <w:r>
        <w:rPr/>
        <w:t> </w:t>
      </w:r>
    </w:p>
    <w:tbl>
      <w:tblPr>
        <w:tblW w:w="5824" w:type="dxa"/>
        <w:jc w:val="left"/>
        <w:tblInd w:w="0" w:type="dxa"/>
        <w:tblLayout w:type="fixed"/>
        <w:tblCellMar>
          <w:top w:w="28" w:type="dxa"/>
          <w:left w:w="28" w:type="dxa"/>
          <w:bottom w:w="28" w:type="dxa"/>
          <w:right w:w="28" w:type="dxa"/>
        </w:tblCellMar>
      </w:tblPr>
      <w:tblGrid>
        <w:gridCol w:w="3061"/>
        <w:gridCol w:w="146"/>
        <w:gridCol w:w="211"/>
        <w:gridCol w:w="736"/>
        <w:gridCol w:w="166"/>
        <w:gridCol w:w="146"/>
        <w:gridCol w:w="211"/>
        <w:gridCol w:w="736"/>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are funds generated by operating activities and available capacity for borrowings on our $546.0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May 2, 2026 was $654.4 million, inclusive of cash and cash equivalents of $166.8 million and $487.6 million of availability on the ABL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consolidated cash flows:</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3241"/>
        <w:gridCol w:w="146"/>
        <w:gridCol w:w="211"/>
        <w:gridCol w:w="841"/>
        <w:gridCol w:w="166"/>
        <w:gridCol w:w="146"/>
        <w:gridCol w:w="211"/>
        <w:gridCol w:w="73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decrease in cash, cash equivalents </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used in operating activities is impacted by our net loss adjusted for certain non-cash items, including: depreciation and amortization; amortization of debt discounts and issuance costs; deferred income taxes; equity-based compensation; impairments of goodwill and intangible assets; other non-operating income; and the effect of changes in operating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$31.0 million in the thirteen weeks ended May 2, 2026 compared with net cash used in operating activities of $15.5 million in the thirteen weeks ended May 3, 2025. The decrease in operating cash flows were primarily driven by a increase in inventory purchases as well as timing of invoice payments. This was partially offset by a decrease in cash paid for interest and lower payouts of prior year accrued incentive bonuses.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investing activities was $37.8 million and $27.1 million for the thirteen weeks ended May 2, 2026 and May 3, 2025, respectively, and consisted primarily of capital expenditures to support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financing activities was $32.6 million for the thirteen weeks ended May 2, 2026, compared with $0.3 million used in financing activities for the thirteen weeks ended May 3, 2025. Financing cash flows in the thirteen weeks ended May 2, 2026 primarily consisted of payments of debt issuance costs and borrowings and repayments of debt in connection with the February 2, 2026 refinancing transaction discussed under "Sources of Liquidity" below. Financing cash flows in the thirteen weeks ended May 3, 2025 were not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Facilities and Senior Secured Notes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had a secured term loan facility originally maturing on March 4, 2028 (the “First Lien Term Loan”), with an outstanding principal balance of $1,500.0 million as of January 31, 2026. On February 2, 2026, the Company entered into a refinancing amendment to the credit agreement governing the First Lien Term Loan (“Amended First Lien Term Loan”) and issued $600.0 million in aggregate principal amount of senior secured notes (the “Senior Secured Notes”). Following the amendment, $900.0 million of principal remained on the Amended First Lien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secured asset-based revolving credit facility (as amended from time to time, the “ABL Revolving Credit Facility”). The first tranche of the ABL Revolving Credit Facility, which had availability of up to $35.0 million, subject to a borrowing base, matured on March 4, 2026. The remaining tranche has availability of up to $546.0 million, subject to a borrowing base, maturing on March 29, 2029.</w:t>
      </w:r>
    </w:p>
    <w:p>
      <w:pPr>
        <w:pStyle w:val="TextBody"/>
        <w:bidi w:val="0"/>
        <w:spacing w:before="240" w:after="283"/>
        <w:jc w:val="left"/>
        <w:rPr>
          <w:rFonts w:ascii="Times New Roman" w:hAnsi="Times New Roman"/>
          <w:sz w:val="20"/>
        </w:rPr>
      </w:pPr>
      <w:r>
        <w:rPr>
          <w:rFonts w:ascii="Times New Roman" w:hAnsi="Times New Roman"/>
          <w:color w:val="000000"/>
          <w:sz w:val="20"/>
        </w:rPr>
        <w:t>For more information regarding this indebtedness, refer to Note 3, “</w:t>
      </w:r>
      <w:r>
        <w:rPr>
          <w:rFonts w:ascii="Times New Roman" w:hAnsi="Times New Roman"/>
          <w:i/>
          <w:color w:val="000000"/>
          <w:sz w:val="20"/>
        </w:rPr>
        <w:t>Senior Secured Credit Facilities</w:t>
      </w:r>
      <w:r>
        <w:rPr>
          <w:rFonts w:ascii="Times New Roman" w:hAnsi="Times New Roman"/>
          <w:color w:val="000000"/>
          <w:sz w:val="20"/>
        </w:rPr>
        <w:t>,” and Note 4, "</w:t>
      </w:r>
      <w:r>
        <w:rPr>
          <w:rFonts w:ascii="Times New Roman" w:hAnsi="Times New Roman"/>
          <w:i/>
          <w:color w:val="000000"/>
          <w:sz w:val="20"/>
        </w:rPr>
        <w:t>Senior Secured Notes</w:t>
      </w:r>
      <w:r>
        <w:rPr>
          <w:rFonts w:ascii="Times New Roman" w:hAnsi="Times New Roman"/>
          <w:color w:val="000000"/>
          <w:sz w:val="20"/>
        </w:rPr>
        <w:t>," to the Notes to Consolidated Financial Statements included in Part I, Item 1 of this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160" w:after="283"/>
        <w:jc w:val="left"/>
        <w:rPr>
          <w:rFonts w:ascii="Times New Roman" w:hAnsi="Times New Roman"/>
          <w:sz w:val="20"/>
        </w:rPr>
      </w:pPr>
      <w:r>
        <w:rPr>
          <w:rFonts w:ascii="Times New Roman" w:hAnsi="Times New Roman"/>
          <w:color w:val="000000"/>
          <w:sz w:val="20"/>
        </w:rPr>
        <w:t>The Company has entered into interest rate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hAnsi="Times New Roman"/>
          <w:i/>
          <w:color w:val="000000"/>
          <w:sz w:val="20"/>
        </w:rPr>
        <w:t xml:space="preserve">Derivative Instruments,” </w:t>
      </w:r>
      <w:r>
        <w:rPr>
          <w:rFonts w:ascii="Times New Roman" w:hAnsi="Times New Roman"/>
          <w:color w:val="000000"/>
          <w:sz w:val="20"/>
        </w:rPr>
        <w:t>to the Notes to Consolidated Financial Statements included in Part I, Item 1 of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as compared to the critical accounting policies and estimates described in the 2025 Form 10-K.</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Refer to Note 1, “</w:t>
      </w:r>
      <w:r>
        <w:rPr>
          <w:rFonts w:ascii="Times New Roman" w:hAnsi="Times New Roman"/>
          <w:i/>
          <w:color w:val="000000"/>
          <w:sz w:val="20"/>
        </w:rPr>
        <w:t>Summary of Significant Accounting Policies</w:t>
      </w:r>
      <w:r>
        <w:rPr>
          <w:rFonts w:ascii="Times New Roman" w:hAnsi="Times New Roman"/>
          <w:color w:val="000000"/>
          <w:sz w:val="20"/>
        </w:rPr>
        <w:t xml:space="preserve">,” to the Notes to Consolidated Financial Statements included in Part I, Item 1 of this Form 10-Q for information regarding recently issued accounting pronouncements.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sz w:val="20"/>
        </w:rPr>
      </w:pPr>
      <w:r>
        <w:rPr>
          <w:rFonts w:ascii="Times New Roman" w:hAnsi="Times New Roman"/>
          <w:color w:val="000000"/>
          <w:sz w:val="20"/>
        </w:rPr>
        <w:t>We are subject to interest rate risk in connection with the Amended First Lien Term Loan and the ABL Revolving Credit Facility. As of May 2, 2026, we had $900.0 million outstanding under the Amended First Lien Term Loan and no amounts outstanding under the ABL Revolving Credit Facility. The Amended First Lien Term Loan and the ABL Revolving Credit Facility each bear interest at variable rates. An increase of 100 basis points in the variable rates on the Amended First Lien Term Loan and the ABL Revolving Credit Facility as of May 2, 2026 would have increased annual cash interest in the aggregate by approximately $9.1 million. Additionally, we entered into cash flow hedges to limit the maximum interest rate on a portion of our variable-rate debt and limit our exposure to interest rate variability, refer to Note 5, “</w:t>
      </w:r>
      <w:r>
        <w:rPr>
          <w:rFonts w:ascii="Times New Roman" w:hAnsi="Times New Roman"/>
          <w:i/>
          <w:color w:val="000000"/>
          <w:sz w:val="20"/>
        </w:rPr>
        <w:t>Derivative Instruments</w:t>
      </w:r>
      <w:r>
        <w:rPr>
          <w:rFonts w:ascii="Times New Roman" w:hAnsi="Times New Roman"/>
          <w:color w:val="000000"/>
          <w:sz w:val="20"/>
        </w:rPr>
        <w:t>,” to the Notes to Consolidated Financial Statements included in Part I, Item 1 of this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2, 2026, substantially all of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May 2,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that occurred during the quarter ended May 2, 2026, which has materially affected, or is reasonably likely to materially affect, our internal control over financial reporting.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See Note 8, “</w:t>
      </w:r>
      <w:r>
        <w:rPr>
          <w:rFonts w:ascii="Times New Roman" w:hAnsi="Times New Roman"/>
          <w:i/>
          <w:color w:val="000000"/>
          <w:sz w:val="20"/>
        </w:rPr>
        <w:t>Commitments and Contingencies</w:t>
      </w:r>
      <w:r>
        <w:rPr>
          <w:rFonts w:ascii="Times New Roman" w:hAnsi="Times New Roman"/>
          <w:color w:val="000000"/>
          <w:sz w:val="20"/>
        </w:rPr>
        <w:t>,” to the Notes to Consolidated Financial Statements included in Part I, Item 1 of this Form 10-Q for a description of legal proceedings, which is incorporated herein by reference.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color w:val="000000"/>
          <w:sz w:val="20"/>
        </w:rPr>
        <w:t>Reference is made to Part I, Item 1A, “</w:t>
      </w:r>
      <w:r>
        <w:rPr>
          <w:rFonts w:ascii="Times New Roman" w:hAnsi="Times New Roman"/>
          <w:i/>
          <w:color w:val="000000"/>
          <w:sz w:val="20"/>
        </w:rPr>
        <w:t>Risk Factors</w:t>
      </w:r>
      <w:r>
        <w:rPr>
          <w:rFonts w:ascii="Times New Roman" w:hAnsi="Times New Roman"/>
          <w:color w:val="000000"/>
          <w:sz w:val="20"/>
        </w:rPr>
        <w:t>” included in the 2025 Form 10-K for information concerning risk factors. There have been no material changes with respect to the risk factors disclosed in the 2025 Form 10-K. You should carefully consider such factors, which could materially and adversely affect our business, financial condition and/or results of operations. The risks described in the 2025 Form 10-K are not the only risks we face. Additional risks and uncertainties not currently known to us or that we currently deem to be immaterial also may materially and adversely affect our business, financial condition and/or results of operations.</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exhibits filed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9314"/>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74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Indenture, dated February 2, 2026, among the Company, the guarantors party thereto, and U.S. Bank Trust Company, National Association (incorporated by reference to Exhibit 4.1 of the Company's Current Report on Form 8-K, filed on February 2, 2026)</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First Lien Credit Agreement, dated March 4, 2021, by and among the Company, the Lenders party thereto, and Citibank, N.A., as Administrative Agent and Collateral Agent, as amended by the First Amendment to Credit Agreement, dated December 12, 2022, by and between the Company, and Citibank, N.A., as administrative agent, and as further amended by the Second Amendment to Credit Agreement, dated as of February 2, 2026, among the Company, the guarantors party thereto, certain lenders party thereto and Citibank, N.A., as administrative agent (incorporated by reference to Exhibit 10.1 of the Company's Current Report on Form 8-K, filed on February 2, 2026)</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Performance Stock Unit Award Grant Notice and Standard terms and Conditions under the Petco Health and Wellness Company, Inc. 2021 Equity Incentive Plan (2026 CEO Form) (incorporated by reference to Exhibit 10.30 of the Company's Annual Report on Form 10-K for the fiscal year ended January 31, 2026)</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10.3</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Performance Stock Unit Award Grant Notice and Standard terms and Conditions under the Petco Health and Wellness Company, Inc. 2021 Equity Incentive Plan (2026 Executive Form) (incorporated by reference to Exhibit 10.43 of the Company's Annual Report on Form 10-K for the fiscal year ended January 31, 2026)</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Restricted Stock Unit Award Grant Notice and Standard Terms and Conditions under the Petco Health and Wellness Company, Inc. 2021 Equity Incentive Plan (2026 Executive Form) (incorporated by reference to Exhibit 10.41 of the Company's Annual Report on Form 10-K for the fiscal year ended January 31, 2026)</w:t>
              </w:r>
            </w:hyperlink>
            <w:r>
              <w:rPr>
                <w:rFonts w:ascii="Times New Roman" w:hAnsi="Times New Roman"/>
                <w:color w:val="000000"/>
                <w:sz w:val="20"/>
              </w:rPr>
              <w:t xml:space="preserve">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Restricted Stock Unit Award Grant Notice and Standard Terms and Conditions under the Petco Health and Wellness Company, Inc. 2021 Equity Incentive Plan (2026 CEO Form) (incorporated by reference to Exhibit 10.42 of the Company's Annual Report on Form 10-K for the fiscal year ended January 31, 2026)</w:t>
              </w:r>
            </w:hyperlink>
            <w:r>
              <w:rPr>
                <w:rFonts w:ascii="Times New Roman" w:hAnsi="Times New Roman"/>
                <w:color w:val="000000"/>
                <w:sz w:val="20"/>
              </w:rPr>
              <w:t xml:space="preserve">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10_6.htm">
              <w:r>
                <w:rPr>
                  <w:rStyle w:val="InternetLink"/>
                  <w:rFonts w:ascii="Times New Roman" w:hAnsi="Times New Roman"/>
                  <w:color w:val="0000FF"/>
                  <w:sz w:val="20"/>
                  <w:u w:val="single"/>
                </w:rPr>
                <w:t>Offer Letter, dated February 17, 2025, between Michael Romanko and Petco Animal Supplies Stores, Inc.</w:t>
              </w:r>
            </w:hyperlink>
            <w:hyperlink w:anchor="woof-ex10_6.htm">
              <w:r>
                <w:rPr>
                  <w:rStyle w:val="InternetLink"/>
                  <w:rFonts w:ascii="Times New Roman" w:hAnsi="Times New Roman"/>
                  <w:color w:val="0000FF"/>
                  <w:sz w:val="20"/>
                </w:rPr>
                <w:t xml:space="preserve"> </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10_7.htm">
              <w:r>
                <w:rPr>
                  <w:rStyle w:val="InternetLink"/>
                  <w:rFonts w:ascii="Times New Roman" w:hAnsi="Times New Roman"/>
                  <w:color w:val="0000FF"/>
                  <w:sz w:val="20"/>
                  <w:u w:val="single"/>
                </w:rPr>
                <w:t>Separation Agreement and General Release of Claims, dated December 16, 2025, between Jack Stout and Petco Animal Supplies Stores, Inc.</w:t>
              </w:r>
            </w:hyperlink>
            <w:r>
              <w:rPr>
                <w:rFonts w:ascii="Times New Roman" w:hAnsi="Times New Roman"/>
                <w:color w:val="000000"/>
                <w:sz w:val="20"/>
              </w:rPr>
              <w:t xml:space="preserve">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oof-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With Embedded Linkbase Documents</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556"/>
        <w:gridCol w:w="146"/>
        <w:gridCol w:w="7456"/>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tbl>
      <w:tblPr>
        <w:tblW w:w="5150" w:type="dxa"/>
        <w:jc w:val="left"/>
        <w:tblInd w:w="0" w:type="dxa"/>
        <w:tblLayout w:type="fixed"/>
        <w:tblCellMar>
          <w:top w:w="28" w:type="dxa"/>
          <w:left w:w="28" w:type="dxa"/>
          <w:bottom w:w="28" w:type="dxa"/>
          <w:right w:w="28" w:type="dxa"/>
        </w:tblCellMar>
      </w:tblPr>
      <w:tblGrid>
        <w:gridCol w:w="124"/>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50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Management contract or compensatory plan or arrangement.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54" w:type="dxa"/>
        <w:jc w:val="left"/>
        <w:tblInd w:w="0" w:type="dxa"/>
        <w:tblLayout w:type="fixed"/>
        <w:tblCellMar>
          <w:top w:w="28" w:type="dxa"/>
          <w:left w:w="28" w:type="dxa"/>
          <w:bottom w:w="28" w:type="dxa"/>
          <w:right w:w="28" w:type="dxa"/>
        </w:tblCellMar>
      </w:tblPr>
      <w:tblGrid>
        <w:gridCol w:w="1636"/>
        <w:gridCol w:w="406"/>
        <w:gridCol w:w="14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tbl>
      <w:tblPr>
        <w:tblW w:w="790" w:type="dxa"/>
        <w:jc w:val="left"/>
        <w:tblInd w:w="0" w:type="dxa"/>
        <w:tblLayout w:type="fixed"/>
        <w:tblCellMar>
          <w:top w:w="28" w:type="dxa"/>
          <w:left w:w="28" w:type="dxa"/>
          <w:bottom w:w="28" w:type="dxa"/>
          <w:right w:w="28" w:type="dxa"/>
        </w:tblCellMar>
      </w:tblPr>
      <w:tblGrid>
        <w:gridCol w:w="161"/>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22" w:name="woof-ex10_6.htm"/>
      <w:bookmarkStart w:id="23" w:name="kswoofex10_6"/>
      <w:bookmarkEnd w:id="22"/>
      <w:bookmarkEnd w:id="23"/>
      <w:r>
        <w:rPr/>
        <w:t> </w:t>
      </w:r>
      <w:r>
        <w:br w:type="page"/>
      </w:r>
    </w:p>
    <w:p>
      <w:pPr>
        <w:pStyle w:val="TextBody"/>
        <w:bidi w:val="0"/>
        <w:jc w:val="right"/>
        <w:rPr>
          <w:rFonts w:ascii="Arial" w:hAnsi="Arial"/>
          <w:b/>
          <w:color w:val="000000"/>
          <w:sz w:val="20"/>
        </w:rPr>
      </w:pPr>
      <w:r>
        <w:rPr>
          <w:rFonts w:ascii="Arial" w:hAnsi="Arial"/>
          <w:b/>
          <w:color w:val="000000"/>
          <w:sz w:val="20"/>
        </w:rPr>
        <w:t>Exhibit 10.6</w:t>
      </w:r>
    </w:p>
    <w:p>
      <w:pPr>
        <w:pStyle w:val="TextBody"/>
        <w:bidi w:val="0"/>
        <w:spacing w:before="200" w:after="283"/>
        <w:jc w:val="left"/>
        <w:rPr>
          <w:rFonts w:ascii="Arial" w:hAnsi="Arial"/>
          <w:color w:val="001F5F"/>
          <w:sz w:val="20"/>
        </w:rPr>
      </w:pPr>
      <w:r>
        <w:rPr>
          <w:rFonts w:ascii="Arial" w:hAnsi="Arial"/>
          <w:color w:val="001F5F"/>
          <w:sz w:val="20"/>
        </w:rPr>
        <w:t>2/17/2025</w:t>
      </w:r>
    </w:p>
    <w:p>
      <w:pPr>
        <w:pStyle w:val="TextBody"/>
        <w:bidi w:val="0"/>
        <w:spacing w:before="200" w:after="283"/>
        <w:jc w:val="left"/>
        <w:rPr>
          <w:rFonts w:ascii="Arial" w:hAnsi="Arial"/>
          <w:color w:val="001F5F"/>
          <w:sz w:val="20"/>
        </w:rPr>
      </w:pPr>
      <w:r>
        <w:rPr>
          <w:rFonts w:ascii="Arial" w:hAnsi="Arial"/>
          <w:color w:val="001F5F"/>
          <w:sz w:val="20"/>
        </w:rPr>
        <w:t>Michael Romanko</w:t>
      </w:r>
    </w:p>
    <w:p>
      <w:pPr>
        <w:pStyle w:val="TextBody"/>
        <w:bidi w:val="0"/>
        <w:spacing w:before="400" w:after="283"/>
        <w:jc w:val="left"/>
        <w:rPr>
          <w:rFonts w:ascii="Arial" w:hAnsi="Arial"/>
          <w:color w:val="001F5F"/>
          <w:sz w:val="20"/>
        </w:rPr>
      </w:pPr>
      <w:r>
        <w:rPr>
          <w:rFonts w:ascii="Arial" w:hAnsi="Arial"/>
          <w:color w:val="001F5F"/>
          <w:sz w:val="20"/>
        </w:rPr>
        <w:t>Dear Michael,</w:t>
      </w:r>
    </w:p>
    <w:p>
      <w:pPr>
        <w:pStyle w:val="TextBody"/>
        <w:bidi w:val="0"/>
        <w:spacing w:before="200" w:after="283"/>
        <w:jc w:val="both"/>
        <w:rPr>
          <w:rFonts w:ascii="Arial" w:hAnsi="Arial"/>
          <w:color w:val="001F5F"/>
          <w:sz w:val="20"/>
        </w:rPr>
      </w:pPr>
      <w:r>
        <w:rPr>
          <w:rFonts w:ascii="Arial" w:hAnsi="Arial"/>
          <w:color w:val="001F5F"/>
          <w:sz w:val="20"/>
        </w:rPr>
        <w:t>At Petco, we share a common vision of Healthier Pets. Happier People. Better World. and our success depends on our 27,000+ Partners across the country who are living our brand promise to nurture powerful relationships between pets and people.</w:t>
      </w:r>
    </w:p>
    <w:p>
      <w:pPr>
        <w:pStyle w:val="TextBody"/>
        <w:bidi w:val="0"/>
        <w:spacing w:before="200" w:after="283"/>
        <w:jc w:val="both"/>
        <w:rPr>
          <w:rFonts w:ascii="Arial" w:hAnsi="Arial"/>
          <w:color w:val="001F5F"/>
          <w:sz w:val="20"/>
        </w:rPr>
      </w:pPr>
      <w:r>
        <w:rPr>
          <w:rFonts w:ascii="Arial" w:hAnsi="Arial"/>
          <w:color w:val="001F5F"/>
          <w:sz w:val="20"/>
        </w:rPr>
        <w:t>On behalf of Petco Animal Supplies Stores, Inc. (“Petco” or the “Company”), I am delighted to invite you to join the Petco team and am pleased to extend a contingent offer of employment to you as Chief Customer and Product Officer. Your start date will be February 24, 2025. Please take a moment to review the details of your offer below:</w:t>
      </w:r>
    </w:p>
    <w:p>
      <w:pPr>
        <w:pStyle w:val="TextBody"/>
        <w:bidi w:val="0"/>
        <w:spacing w:before="200" w:after="283"/>
        <w:jc w:val="left"/>
        <w:rPr>
          <w:rFonts w:ascii="Arial" w:hAnsi="Arial"/>
          <w:color w:val="001F5F"/>
          <w:sz w:val="20"/>
        </w:rPr>
      </w:pPr>
      <w:r>
        <w:rPr>
          <w:rFonts w:ascii="Arial" w:hAnsi="Arial"/>
          <w:color w:val="001F5F"/>
          <w:sz w:val="20"/>
        </w:rPr>
        <w:t>Your compensation will be $840,000 per year, paid on a bi-weekly basis.</w:t>
      </w:r>
    </w:p>
    <w:p>
      <w:pPr>
        <w:pStyle w:val="TextBody"/>
        <w:bidi w:val="0"/>
        <w:spacing w:before="200" w:after="283"/>
        <w:jc w:val="left"/>
        <w:rPr>
          <w:rFonts w:ascii="Times New Roman" w:hAnsi="Times New Roman"/>
          <w:sz w:val="20"/>
        </w:rPr>
      </w:pPr>
      <w:r>
        <w:rPr>
          <w:rFonts w:ascii="Arial" w:hAnsi="Arial"/>
          <w:b/>
          <w:i/>
          <w:color w:val="001F5F"/>
          <w:sz w:val="20"/>
        </w:rPr>
        <w:t xml:space="preserve">Annual Incentive </w:t>
      </w:r>
      <w:r>
        <w:rPr>
          <w:rFonts w:ascii="Arial" w:hAnsi="Arial"/>
          <w:b/>
          <w:color w:val="001F5F"/>
          <w:sz w:val="20"/>
        </w:rPr>
        <w:t xml:space="preserve">- </w:t>
      </w:r>
      <w:r>
        <w:rPr>
          <w:rFonts w:ascii="Arial" w:hAnsi="Arial"/>
          <w:color w:val="001F5F"/>
          <w:sz w:val="20"/>
        </w:rPr>
        <w:t>Provided that the Board of Directors of the Company (the “Board”) or the Compensation Committee of the Board approves an incentive payment for the fiscal year, you may be eligible for incentive consideration based on 100% of your earned base salary. Incentive payments are awarded based on company and individual performance assessed during the annual review cycle. You must be employed at Petco at the time the incentive is paid. The Company reserves the right to modify or terminate the incentive plan at its sole discretion.</w:t>
      </w:r>
    </w:p>
    <w:p>
      <w:pPr>
        <w:pStyle w:val="TextBody"/>
        <w:bidi w:val="0"/>
        <w:spacing w:before="200" w:after="283"/>
        <w:jc w:val="both"/>
        <w:rPr>
          <w:rFonts w:ascii="Times New Roman" w:hAnsi="Times New Roman"/>
          <w:sz w:val="20"/>
        </w:rPr>
      </w:pPr>
      <w:r>
        <w:rPr>
          <w:rFonts w:ascii="Arial" w:hAnsi="Arial"/>
          <w:b/>
          <w:i/>
          <w:color w:val="001F5F"/>
          <w:sz w:val="20"/>
        </w:rPr>
        <w:t xml:space="preserve">Long-Term Incentive – </w:t>
      </w:r>
      <w:r>
        <w:rPr>
          <w:rFonts w:ascii="Arial" w:hAnsi="Arial"/>
          <w:color w:val="001F5F"/>
          <w:sz w:val="20"/>
        </w:rPr>
        <w:t>Subject to approval by the Board, you will receive an initial equity inducement award with a total target award value equal to at least $4,500,000. Your initial equity award will be (i) $3,250,000 target grant value in the form of Restricted Stock Units (“RSUs”), (ii) $625,000 target grant value in the form of Stock Options, and (iii) $625,000 target grant value in the form of Performance Stock Units (“PSUs”). Your grant will be made during our next annual grant cycle which is expected to occur on or around March 4, 2025. It is expected that your grant will vest over a three-year period following the date of grant. Equity awards are subject to approval by the Board and/or the Compensation Committee of the Board. Your initial equity awards will be subject to the terms and conditions set forth in the forms of your award agreements and will be granted in compliance with NASDAQ Listing Rule 5635(c)(4) as a material inducement to you entering into employment with Petco.</w:t>
      </w:r>
    </w:p>
    <w:p>
      <w:pPr>
        <w:pStyle w:val="TextBody"/>
        <w:bidi w:val="0"/>
        <w:spacing w:before="200" w:after="283"/>
        <w:jc w:val="both"/>
        <w:rPr>
          <w:rFonts w:ascii="Arial" w:hAnsi="Arial"/>
          <w:color w:val="001F5F"/>
          <w:sz w:val="20"/>
        </w:rPr>
      </w:pPr>
      <w:r>
        <w:rPr>
          <w:rFonts w:ascii="Arial" w:hAnsi="Arial"/>
          <w:color w:val="001F5F"/>
          <w:sz w:val="20"/>
        </w:rPr>
        <w:t>Beginning in fiscal year 2026, you will be eligible to receive an annual equity award under the Petco Health and Wellness Company, Inc. 2021 Equity Incentive Plan (as amended, the “Equity Plan”) with an approximate</w:t>
      </w:r>
    </w:p>
    <w:p>
      <w:pPr>
        <w:pStyle w:val="TextBody"/>
        <w:bidi w:val="0"/>
        <w:spacing w:before="200" w:after="283"/>
        <w:jc w:val="both"/>
        <w:rPr>
          <w:rFonts w:ascii="Arial" w:hAnsi="Arial"/>
          <w:color w:val="001F5F"/>
          <w:sz w:val="20"/>
        </w:rPr>
      </w:pPr>
      <w:r>
        <w:rPr>
          <w:rFonts w:ascii="Arial" w:hAnsi="Arial"/>
          <w:color w:val="001F5F"/>
          <w:sz w:val="20"/>
        </w:rPr>
        <w:t>award value of $2,500,000. Annual equity awards are typically granted in March or April of the fiscal year. The form of your 2026 annual equity award will be aligned with your peer group of employees within the company. It is expected that your grants will vest over a three-year period following the date of grant. Future equity award eligibility, amounts, and terms are subject to change and will require approval by the Board. Following approval of your award, you will receive communications informing you of your award and containing important details, including how to formally accept your award in our Equity Plan administration system.</w:t>
      </w:r>
    </w:p>
    <w:p>
      <w:pPr>
        <w:pStyle w:val="TextBody"/>
        <w:bidi w:val="0"/>
        <w:spacing w:before="200" w:after="283"/>
        <w:jc w:val="both"/>
        <w:rPr>
          <w:rFonts w:ascii="Times New Roman" w:hAnsi="Times New Roman"/>
          <w:sz w:val="20"/>
        </w:rPr>
      </w:pPr>
      <w:r>
        <w:rPr>
          <w:rFonts w:ascii="Arial" w:hAnsi="Arial"/>
          <w:b/>
          <w:i/>
          <w:color w:val="001F5F"/>
          <w:sz w:val="20"/>
        </w:rPr>
        <w:t xml:space="preserve">Housing – </w:t>
      </w:r>
      <w:r>
        <w:rPr>
          <w:rFonts w:ascii="Arial" w:hAnsi="Arial"/>
          <w:color w:val="001F5F"/>
          <w:sz w:val="20"/>
        </w:rPr>
        <w:t>You will receive a one-time housing allowance of $150,000 to assist you with the purchase or rental of a residence as it is expected that you will spend at least two weeks per month in San Diego, California. The payment will be taxed according to IRS guidelines and paid after 30 days of continuous employment. You agree to repay Petco up to 100% of your housing allowance if your employment is terminated either voluntarily or for cause by Petco within 2 years.</w:t>
      </w:r>
    </w:p>
    <w:p>
      <w:pPr>
        <w:pStyle w:val="TextBody"/>
        <w:bidi w:val="0"/>
        <w:spacing w:before="200" w:after="283"/>
        <w:jc w:val="both"/>
        <w:rPr>
          <w:rFonts w:ascii="Times New Roman" w:hAnsi="Times New Roman"/>
          <w:sz w:val="20"/>
        </w:rPr>
      </w:pPr>
      <w:r>
        <w:rPr>
          <w:rFonts w:ascii="Arial" w:hAnsi="Arial"/>
          <w:b/>
          <w:i/>
          <w:color w:val="001F5F"/>
          <w:sz w:val="20"/>
        </w:rPr>
        <w:t xml:space="preserve">Travel &amp; Expense Reimbursement – </w:t>
      </w:r>
      <w:r>
        <w:rPr>
          <w:rFonts w:ascii="Arial" w:hAnsi="Arial"/>
          <w:color w:val="001F5F"/>
          <w:sz w:val="20"/>
        </w:rPr>
        <w:t>All travel and related business expenses will be reimbursed in accordance with Company policies during your employment.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b/>
          <w:i/>
          <w:color w:val="001F5F"/>
          <w:sz w:val="20"/>
        </w:rPr>
        <w:t xml:space="preserve">Benefits - </w:t>
      </w:r>
      <w:r>
        <w:rPr>
          <w:rFonts w:ascii="Arial" w:hAnsi="Arial"/>
          <w:color w:val="001F5F"/>
          <w:sz w:val="20"/>
        </w:rPr>
        <w:t>Petco offers a comprehensive and competitive benefits package designed to support the overall wellbeing of you and your family. Benefits include: medical, dental, vision, life insurance, a retirement savings plan, paid time off, and Petco merchandise and services discounts.</w:t>
      </w:r>
    </w:p>
    <w:p>
      <w:pPr>
        <w:pStyle w:val="TextBody"/>
        <w:bidi w:val="0"/>
        <w:spacing w:before="200" w:after="283"/>
        <w:jc w:val="both"/>
        <w:rPr>
          <w:rFonts w:ascii="Times New Roman" w:hAnsi="Times New Roman"/>
          <w:sz w:val="20"/>
        </w:rPr>
      </w:pPr>
      <w:r>
        <w:rPr>
          <w:rFonts w:ascii="Arial" w:hAnsi="Arial"/>
          <w:color w:val="001F5F"/>
          <w:sz w:val="20"/>
          <w:u w:val="single"/>
        </w:rPr>
        <w:t xml:space="preserve">To learn about the benefits available or how to enroll visit </w:t>
      </w:r>
      <w:r>
        <w:rPr>
          <w:rFonts w:ascii="Arial" w:hAnsi="Arial"/>
          <w:sz w:val="20"/>
        </w:rPr>
        <w:t>www.mypetcobenefits.com</w:t>
      </w:r>
    </w:p>
    <w:p>
      <w:pPr>
        <w:pStyle w:val="TextBody"/>
        <w:bidi w:val="0"/>
        <w:spacing w:before="200" w:after="283"/>
        <w:jc w:val="both"/>
        <w:rPr>
          <w:rFonts w:ascii="Times New Roman" w:hAnsi="Times New Roman"/>
          <w:sz w:val="20"/>
        </w:rPr>
      </w:pPr>
      <w:r>
        <w:rPr>
          <w:rFonts w:ascii="Arial" w:hAnsi="Arial"/>
          <w:color w:val="001F5F"/>
          <w:sz w:val="20"/>
        </w:rPr>
        <w:t xml:space="preserve">If you wish to enroll in Petco's benefit plans, you must make an election within the first </w:t>
      </w:r>
      <w:r>
        <w:rPr>
          <w:rFonts w:ascii="Arial" w:hAnsi="Arial"/>
          <w:color w:val="001F5F"/>
          <w:sz w:val="20"/>
          <w:u w:val="single"/>
        </w:rPr>
        <w:t>30</w:t>
      </w:r>
      <w:r>
        <w:rPr>
          <w:rFonts w:ascii="Times New Roman" w:hAnsi="Times New Roman"/>
          <w:color w:val="001F5F"/>
          <w:sz w:val="20"/>
        </w:rPr>
        <w:t xml:space="preserve"> </w:t>
      </w:r>
      <w:r>
        <w:rPr>
          <w:rFonts w:ascii="Arial" w:hAnsi="Arial"/>
          <w:color w:val="001F5F"/>
          <w:sz w:val="20"/>
        </w:rPr>
        <w:t>days of employment. If you do not make an election within the enrollment period, your next opportunity to enroll will be during the annual open enrollment period or within 30 days of experiencing a qualifying event. You will receive a direct mailing with instructions on how to enroll in Petco's benefit programs.</w:t>
      </w:r>
    </w:p>
    <w:p>
      <w:pPr>
        <w:pStyle w:val="TextBody"/>
        <w:bidi w:val="0"/>
        <w:spacing w:before="200" w:after="283"/>
        <w:jc w:val="both"/>
        <w:rPr>
          <w:rFonts w:ascii="Arial" w:hAnsi="Arial"/>
          <w:color w:val="001F5F"/>
          <w:sz w:val="20"/>
        </w:rPr>
      </w:pPr>
      <w:r>
        <w:rPr>
          <w:rFonts w:ascii="Arial" w:hAnsi="Arial"/>
          <w:color w:val="001F5F"/>
          <w:sz w:val="20"/>
        </w:rPr>
        <w:t>Additionally, you are eligible to receive the following:</w:t>
      </w:r>
    </w:p>
    <w:p>
      <w:pPr>
        <w:pStyle w:val="TextBody"/>
        <w:bidi w:val="0"/>
        <w:spacing w:before="200" w:after="283"/>
        <w:jc w:val="both"/>
        <w:rPr>
          <w:rFonts w:ascii="Times New Roman" w:hAnsi="Times New Roman"/>
          <w:sz w:val="20"/>
        </w:rPr>
      </w:pPr>
      <w:r>
        <w:rPr>
          <w:rFonts w:ascii="Arial" w:hAnsi="Arial"/>
          <w:b/>
          <w:i/>
          <w:color w:val="001F5F"/>
          <w:sz w:val="20"/>
        </w:rPr>
        <w:t xml:space="preserve">Executive Severance Plan – </w:t>
      </w:r>
      <w:r>
        <w:rPr>
          <w:rFonts w:ascii="Arial" w:hAnsi="Arial"/>
          <w:color w:val="001F5F"/>
          <w:sz w:val="20"/>
        </w:rPr>
        <w:t>As a senior officer, you will be eligible for severance benefits under the Petco Health and Wellness Company, Inc. Executive Severance Plan (the “Severance Plan”). Refer to the Petco Health and Wellness Company, Inc. Executive Severance Plan document for the benefits as a Tier I, Section 16-level partner.</w:t>
      </w:r>
    </w:p>
    <w:p>
      <w:pPr>
        <w:pStyle w:val="TextBody"/>
        <w:bidi w:val="0"/>
        <w:spacing w:before="200" w:after="283"/>
        <w:jc w:val="both"/>
        <w:rPr>
          <w:rFonts w:ascii="Times New Roman" w:hAnsi="Times New Roman"/>
          <w:sz w:val="20"/>
        </w:rPr>
      </w:pPr>
      <w:r>
        <w:rPr>
          <w:rFonts w:ascii="Arial" w:hAnsi="Arial"/>
          <w:b/>
          <w:i/>
          <w:color w:val="001F5F"/>
          <w:sz w:val="20"/>
        </w:rPr>
        <w:t xml:space="preserve">Financial and Tax Preparation Services - </w:t>
      </w:r>
      <w:r>
        <w:rPr>
          <w:rFonts w:ascii="Arial" w:hAnsi="Arial"/>
          <w:color w:val="001F5F"/>
          <w:sz w:val="20"/>
        </w:rPr>
        <w:t>As a senior officer, you are eligible for financial planning and tax preparation services through AYCO Financial Services, a Goldman Sachs Company. This service is paid for by the Company and treated as income to you for tax purposes. Such benefits are subject to the applicable plan documents, and as may be amended or terminated by Petco.</w:t>
      </w:r>
    </w:p>
    <w:p>
      <w:pPr>
        <w:pStyle w:val="TextBody"/>
        <w:bidi w:val="0"/>
        <w:spacing w:before="200" w:after="283"/>
        <w:jc w:val="both"/>
        <w:rPr>
          <w:rFonts w:ascii="Times New Roman" w:hAnsi="Times New Roman"/>
          <w:sz w:val="20"/>
        </w:rPr>
      </w:pPr>
      <w:r>
        <w:rPr>
          <w:rFonts w:ascii="Arial" w:hAnsi="Arial"/>
          <w:b/>
          <w:i/>
          <w:color w:val="001F5F"/>
          <w:sz w:val="20"/>
        </w:rPr>
        <w:t xml:space="preserve">Executive Physical - </w:t>
      </w:r>
      <w:r>
        <w:rPr>
          <w:rFonts w:ascii="Arial" w:hAnsi="Arial"/>
          <w:color w:val="001F5F"/>
          <w:sz w:val="20"/>
        </w:rPr>
        <w:t>As a senior officer, you are eligible to receive an annual comprehensive wellness exam provided through the Scripps Center for Executive Health. This service is paid for by the Company and treated as income to you for tax purposes. Such benefits are subject to the applicable plan documents, and as may be amended or terminated by Petco.</w:t>
      </w:r>
    </w:p>
    <w:p>
      <w:pPr>
        <w:pStyle w:val="TextBody"/>
        <w:bidi w:val="0"/>
        <w:spacing w:before="200" w:after="283"/>
        <w:jc w:val="both"/>
        <w:rPr>
          <w:rFonts w:ascii="Times New Roman" w:hAnsi="Times New Roman"/>
          <w:sz w:val="20"/>
        </w:rPr>
      </w:pPr>
      <w:r>
        <w:rPr>
          <w:rFonts w:ascii="Arial" w:hAnsi="Arial"/>
          <w:b/>
          <w:i/>
          <w:color w:val="001F5F"/>
          <w:sz w:val="20"/>
        </w:rPr>
        <w:t xml:space="preserve">Performance Management </w:t>
      </w:r>
      <w:r>
        <w:rPr>
          <w:rFonts w:ascii="Arial" w:hAnsi="Arial"/>
          <w:b/>
          <w:color w:val="001F5F"/>
          <w:sz w:val="20"/>
        </w:rPr>
        <w:t xml:space="preserve">- </w:t>
      </w:r>
      <w:r>
        <w:rPr>
          <w:rFonts w:ascii="Arial" w:hAnsi="Arial"/>
          <w:color w:val="001F5F"/>
          <w:sz w:val="20"/>
        </w:rPr>
        <w:t>Performance reviews are based on a fiscal review period of February to January. Your start date must be before December 1 to participate in the annual performance management process. If your start date is from February 1 through November 30 of the fiscal year you may be eligible to receive a merit increase subject to proration for length of service and management approval. Merit increases thereafter shall be tied to performance results assessed during the annual review cycle. If your start date is on or after December 1, you will be eligible to participate in the annual performance review process the February following your first anniversary. The Company reserves the right to modify or terminate the merit plan at its sole discretion.</w:t>
      </w:r>
    </w:p>
    <w:p>
      <w:pPr>
        <w:pStyle w:val="TextBody"/>
        <w:bidi w:val="0"/>
        <w:spacing w:before="200" w:after="283"/>
        <w:jc w:val="both"/>
        <w:rPr>
          <w:rFonts w:ascii="Times New Roman" w:hAnsi="Times New Roman"/>
          <w:sz w:val="20"/>
        </w:rPr>
      </w:pPr>
      <w:r>
        <w:rPr>
          <w:rFonts w:ascii="Arial" w:hAnsi="Arial"/>
          <w:b/>
          <w:i/>
          <w:color w:val="001F5F"/>
          <w:sz w:val="20"/>
        </w:rPr>
        <w:t xml:space="preserve">Other - </w:t>
      </w:r>
      <w:r>
        <w:rPr>
          <w:rFonts w:ascii="Arial" w:hAnsi="Arial"/>
          <w:color w:val="001F5F"/>
          <w:sz w:val="20"/>
        </w:rPr>
        <w:t>This offer is contingent upon approval of the Board and our receipt and verification of various pre-employment screenings. Should you accept this conditional offer of employment, we suggest that you do not give notice to your current employer or make any other arrangements with respect to potential employment with the Company until you have been notified that we have successfully completed all components of this pre- employment process.</w:t>
      </w:r>
    </w:p>
    <w:p>
      <w:pPr>
        <w:pStyle w:val="TextBody"/>
        <w:bidi w:val="0"/>
        <w:spacing w:before="200" w:after="283"/>
        <w:jc w:val="both"/>
        <w:rPr>
          <w:rFonts w:ascii="Arial" w:hAnsi="Arial"/>
          <w:color w:val="001F5F"/>
          <w:sz w:val="20"/>
        </w:rPr>
      </w:pPr>
      <w:r>
        <w:rPr>
          <w:rFonts w:ascii="Arial" w:hAnsi="Arial"/>
          <w:color w:val="001F5F"/>
          <w:sz w:val="20"/>
        </w:rPr>
        <w:t>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This is the final and complete agreement on this term. Any contrary representations which may have been made or which may be made to you are superseded by this offer. If you accept this offer, the terms described in this letter shall be the terms of your employment.</w:t>
      </w:r>
    </w:p>
    <w:p>
      <w:pPr>
        <w:pStyle w:val="TextBody"/>
        <w:bidi w:val="0"/>
        <w:spacing w:before="200" w:after="283"/>
        <w:jc w:val="both"/>
        <w:rPr>
          <w:rFonts w:ascii="Arial" w:hAnsi="Arial"/>
          <w:color w:val="001F5F"/>
          <w:sz w:val="20"/>
        </w:rPr>
      </w:pPr>
      <w:r>
        <w:rPr>
          <w:rFonts w:ascii="Arial" w:hAnsi="Arial"/>
          <w:color w:val="001F5F"/>
          <w:sz w:val="20"/>
        </w:rPr>
        <w:t>All Petco partners are expected to adhere to the Petco Code of Ethics and the corresponding policies and procedures as a condition of employment. You will be provided a copy of the Code of Ethics upon hire and are encouraged to read it thoroughly and notify your supervisor of any questions.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1F5F"/>
          <w:sz w:val="20"/>
        </w:rPr>
      </w:pPr>
      <w:r>
        <w:rPr>
          <w:rFonts w:ascii="Arial" w:hAnsi="Arial"/>
          <w:color w:val="001F5F"/>
          <w:sz w:val="20"/>
        </w:rPr>
        <w:t>We are very excited to have you join the Petco family. We know that you will be an integral part to our continued success and our ability to do what is right for pets, pet partners, and our partners. If you have any questions, please do not hesitate to reach out to your Hiring Manager or dedicated Talent Advisor.</w:t>
      </w:r>
    </w:p>
    <w:p>
      <w:pPr>
        <w:pStyle w:val="TextBody"/>
        <w:bidi w:val="0"/>
        <w:spacing w:before="200" w:after="283"/>
        <w:jc w:val="both"/>
        <w:rPr>
          <w:rFonts w:ascii="Times New Roman" w:hAnsi="Times New Roman"/>
          <w:sz w:val="20"/>
        </w:rPr>
      </w:pPr>
      <w:r>
        <w:rPr>
          <w:rFonts w:ascii="Arial" w:hAnsi="Arial"/>
          <w:color w:val="001F5F"/>
          <w:sz w:val="20"/>
        </w:rPr>
        <w:t xml:space="preserve">Additionally, on your first day of employment, you will be completing several documents pertaining to your employment and payroll preferences. There will be some documents to complete prior to your start date and subsequent documents to complete day 1. Please be sure to bring with you your valid identification documents to complete your I-9. A listing can be found here: </w:t>
      </w:r>
      <w:r>
        <w:rPr>
          <w:rFonts w:ascii="Arial" w:hAnsi="Arial"/>
          <w:sz w:val="20"/>
        </w:rPr>
        <w:t>https://www.uscis.gov/i-9-</w:t>
      </w:r>
      <w:r>
        <w:rPr>
          <w:rFonts w:ascii="Times New Roman" w:hAnsi="Times New Roman"/>
          <w:color w:val="001F5F"/>
          <w:sz w:val="20"/>
        </w:rPr>
        <w:t xml:space="preserve"> </w:t>
      </w:r>
      <w:r>
        <w:rPr>
          <w:rFonts w:ascii="Arial" w:hAnsi="Arial"/>
          <w:sz w:val="20"/>
        </w:rPr>
        <w:t>central/form-i-9-acceptable-documents.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1F5F"/>
          <w:sz w:val="20"/>
        </w:rPr>
      </w:pPr>
      <w:r>
        <w:rPr>
          <w:rFonts w:ascii="Arial" w:hAnsi="Arial"/>
          <w:color w:val="001F5F"/>
          <w:sz w:val="20"/>
        </w:rPr>
        <w:t>We wish you the best of luck and again are very excited to have you join our team!</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3150"/>
        <w:gridCol w:w="360"/>
        <w:gridCol w:w="360"/>
        <w:gridCol w:w="1996"/>
      </w:tblGrid>
      <w:tr>
        <w:trPr/>
        <w:tc>
          <w:tcPr>
            <w:tcW w:w="31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3150" w:type="dxa"/>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Sincerely,</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Signed,</w:t>
            </w:r>
          </w:p>
        </w:tc>
      </w:tr>
      <w:tr>
        <w:trPr/>
        <w:tc>
          <w:tcPr>
            <w:tcW w:w="315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/s/ Holly May</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32" w:after="283"/>
              <w:jc w:val="left"/>
              <w:rPr>
                <w:rFonts w:ascii="Arial" w:hAnsi="Arial"/>
                <w:color w:val="001F5F"/>
                <w:sz w:val="20"/>
              </w:rPr>
            </w:pPr>
            <w:r>
              <w:rPr>
                <w:rFonts w:ascii="Arial" w:hAnsi="Arial"/>
                <w:color w:val="001F5F"/>
                <w:sz w:val="20"/>
              </w:rPr>
              <w:t>/s/ Michael Romanko</w:t>
            </w:r>
          </w:p>
        </w:tc>
      </w:tr>
      <w:tr>
        <w:trPr/>
        <w:tc>
          <w:tcPr>
            <w:tcW w:w="315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Holly May, Chief Human Resources Officer</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Michael Romanko</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Date: 2/17/2025</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1F5F"/>
                <w:sz w:val="20"/>
              </w:rPr>
            </w:pPr>
            <w:r>
              <w:rPr>
                <w:rFonts w:ascii="Arial" w:hAnsi="Arial"/>
                <w:color w:val="001F5F"/>
                <w:sz w:val="20"/>
              </w:rPr>
              <w:t>Date 2/17/2025</w:t>
            </w:r>
          </w:p>
        </w:tc>
      </w:tr>
    </w:tbl>
    <w:p>
      <w:pPr>
        <w:pStyle w:val="TextBody"/>
        <w:bidi w:val="0"/>
        <w:spacing w:before="6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woof-ex10_7.htm"/>
      <w:bookmarkStart w:id="25" w:name="kswoofex10_7"/>
      <w:bookmarkEnd w:id="24"/>
      <w:bookmarkEnd w:id="25"/>
      <w:r>
        <w:rPr>
          <w:rFonts w:ascii="Times New Roman" w:hAnsi="Times New Roman"/>
          <w:b/>
          <w:color w:val="000000"/>
          <w:sz w:val="22"/>
        </w:rPr>
        <w:t>EXHIBIT 10.7</w:t>
      </w:r>
      <w:r>
        <w:br w:type="page"/>
      </w:r>
    </w:p>
    <w:p>
      <w:pPr>
        <w:pStyle w:val="TextBody"/>
        <w:bidi w:val="0"/>
        <w:jc w:val="right"/>
        <w:rPr/>
      </w:pPr>
      <w:r>
        <w:rPr/>
        <w:t> </w:t>
      </w:r>
    </w:p>
    <w:p>
      <w:pPr>
        <w:pStyle w:val="TextBody"/>
        <w:bidi w:val="0"/>
        <w:spacing w:before="90" w:after="283"/>
        <w:jc w:val="center"/>
        <w:rPr>
          <w:rFonts w:ascii="Times New Roman" w:hAnsi="Times New Roman"/>
          <w:b/>
          <w:color w:val="000000"/>
          <w:sz w:val="21"/>
        </w:rPr>
      </w:pPr>
      <w:r>
        <w:rPr>
          <w:rFonts w:ascii="Times New Roman" w:hAnsi="Times New Roman"/>
          <w:b/>
          <w:color w:val="000000"/>
          <w:sz w:val="21"/>
        </w:rPr>
        <w:t>SEPARATION AGREEMENT</w:t>
      </w:r>
    </w:p>
    <w:p>
      <w:pPr>
        <w:pStyle w:val="TextBody"/>
        <w:bidi w:val="0"/>
        <w:spacing w:before="8" w:after="283"/>
        <w:jc w:val="center"/>
        <w:rPr>
          <w:rFonts w:ascii="Times New Roman" w:hAnsi="Times New Roman"/>
          <w:b/>
          <w:color w:val="000000"/>
          <w:sz w:val="21"/>
        </w:rPr>
      </w:pPr>
      <w:r>
        <w:rPr>
          <w:rFonts w:ascii="Times New Roman" w:hAnsi="Times New Roman"/>
          <w:b/>
          <w:color w:val="000000"/>
          <w:sz w:val="21"/>
        </w:rPr>
        <w:t>AND GENERAL RELEASE OF CLAIMS</w:t>
      </w:r>
    </w:p>
    <w:p>
      <w:pPr>
        <w:pStyle w:val="TextBody"/>
        <w:bidi w:val="0"/>
        <w:spacing w:before="240" w:after="283"/>
        <w:jc w:val="left"/>
        <w:rPr>
          <w:rFonts w:ascii="Times New Roman" w:hAnsi="Times New Roman"/>
          <w:sz w:val="20"/>
        </w:rPr>
      </w:pPr>
      <w:r>
        <w:rPr>
          <w:rFonts w:ascii="Times New Roman" w:hAnsi="Times New Roman"/>
          <w:color w:val="000000"/>
          <w:sz w:val="22"/>
        </w:rPr>
        <w:t>This SEPARATION AGREEMENT AND GENERAL RELEASE OF CLAIMS (this "Agreement")</w:t>
      </w:r>
      <w:r>
        <w:rPr>
          <w:rFonts w:ascii="Times New Roman" w:hAnsi="Times New Roman"/>
          <w:color w:val="000000"/>
          <w:sz w:val="20"/>
        </w:rPr>
        <w:t xml:space="preserve"> </w:t>
      </w:r>
      <w:r>
        <w:rPr>
          <w:rFonts w:ascii="Times New Roman" w:hAnsi="Times New Roman"/>
          <w:color w:val="000000"/>
          <w:sz w:val="22"/>
        </w:rPr>
        <w:t>is entered into by and between Petco Animal Supplies Stores, Inc. (the "Company")</w:t>
      </w:r>
      <w:r>
        <w:rPr>
          <w:rFonts w:ascii="Times New Roman" w:hAnsi="Times New Roman"/>
          <w:color w:val="000000"/>
          <w:sz w:val="20"/>
        </w:rPr>
        <w:t xml:space="preserve"> </w:t>
      </w:r>
      <w:r>
        <w:rPr>
          <w:rFonts w:ascii="Times New Roman" w:hAnsi="Times New Roman"/>
          <w:color w:val="000000"/>
          <w:sz w:val="22"/>
        </w:rPr>
        <w:t>and John L.</w:t>
      </w:r>
      <w:r>
        <w:rPr>
          <w:rFonts w:ascii="Times New Roman" w:hAnsi="Times New Roman"/>
          <w:color w:val="000000"/>
          <w:sz w:val="20"/>
        </w:rPr>
        <w:t xml:space="preserve"> </w:t>
      </w:r>
      <w:r>
        <w:rPr>
          <w:rFonts w:ascii="Times New Roman" w:hAnsi="Times New Roman"/>
          <w:color w:val="000000"/>
          <w:sz w:val="22"/>
        </w:rPr>
        <w:t>"Jack" Stout ("Executive"). Executive and the Company are each referred to herein as a "Party" and together as the "Parties."</w:t>
      </w:r>
    </w:p>
    <w:p>
      <w:pPr>
        <w:pStyle w:val="TextBody"/>
        <w:bidi w:val="0"/>
        <w:spacing w:before="240" w:after="283"/>
        <w:jc w:val="both"/>
        <w:rPr>
          <w:rFonts w:ascii="Times New Roman" w:hAnsi="Times New Roman"/>
          <w:sz w:val="20"/>
        </w:rPr>
      </w:pPr>
      <w:r>
        <w:rPr>
          <w:rFonts w:ascii="Times New Roman" w:hAnsi="Times New Roman"/>
          <w:b/>
          <w:color w:val="000000"/>
          <w:sz w:val="21"/>
        </w:rPr>
        <w:t xml:space="preserve">WHEREAS, </w:t>
      </w:r>
      <w:r>
        <w:rPr>
          <w:rFonts w:ascii="Times New Roman" w:hAnsi="Times New Roman"/>
          <w:color w:val="000000"/>
          <w:sz w:val="22"/>
        </w:rPr>
        <w:t>Executive's employment with the Company terminated effective as of November 29, 2025 (the "Separation Date");</w:t>
      </w:r>
    </w:p>
    <w:p>
      <w:pPr>
        <w:pStyle w:val="TextBody"/>
        <w:bidi w:val="0"/>
        <w:spacing w:before="240" w:after="283"/>
        <w:jc w:val="left"/>
        <w:rPr>
          <w:rFonts w:ascii="Times New Roman" w:hAnsi="Times New Roman"/>
          <w:sz w:val="20"/>
        </w:rPr>
      </w:pPr>
      <w:r>
        <w:rPr>
          <w:rFonts w:ascii="Times New Roman" w:hAnsi="Times New Roman"/>
          <w:b/>
          <w:color w:val="000000"/>
          <w:sz w:val="21"/>
        </w:rPr>
        <w:t xml:space="preserve">WHEREAS, </w:t>
      </w:r>
      <w:r>
        <w:rPr>
          <w:rFonts w:ascii="Times New Roman" w:hAnsi="Times New Roman"/>
          <w:color w:val="000000"/>
          <w:sz w:val="22"/>
        </w:rPr>
        <w:t>Executive is a participant m the Petco Health and Wellness Company, Inc. Executive Severance Plan (the "Severance Plan");</w:t>
      </w:r>
    </w:p>
    <w:p>
      <w:pPr>
        <w:pStyle w:val="TextBody"/>
        <w:bidi w:val="0"/>
        <w:spacing w:before="240" w:after="283"/>
        <w:jc w:val="both"/>
        <w:rPr>
          <w:rFonts w:ascii="Times New Roman" w:hAnsi="Times New Roman"/>
          <w:sz w:val="20"/>
        </w:rPr>
      </w:pPr>
      <w:r>
        <w:rPr>
          <w:rFonts w:ascii="Times New Roman" w:hAnsi="Times New Roman"/>
          <w:b/>
          <w:color w:val="000000"/>
          <w:sz w:val="21"/>
        </w:rPr>
        <w:t xml:space="preserve">WHEREAS, </w:t>
      </w:r>
      <w:r>
        <w:rPr>
          <w:rFonts w:ascii="Times New Roman" w:hAnsi="Times New Roman"/>
          <w:color w:val="000000"/>
          <w:sz w:val="22"/>
        </w:rPr>
        <w:t>the Company wishes to provide Executive with certain separation benefits, which are conditioned upon Executive's execution, delivery and non-revocation of this Agreement; and</w:t>
      </w:r>
    </w:p>
    <w:p>
      <w:pPr>
        <w:pStyle w:val="TextBody"/>
        <w:bidi w:val="0"/>
        <w:spacing w:before="240" w:after="283"/>
        <w:jc w:val="both"/>
        <w:rPr>
          <w:rFonts w:ascii="Times New Roman" w:hAnsi="Times New Roman"/>
          <w:sz w:val="20"/>
        </w:rPr>
      </w:pPr>
      <w:r>
        <w:rPr>
          <w:rFonts w:ascii="Times New Roman" w:hAnsi="Times New Roman"/>
          <w:b/>
          <w:color w:val="000000"/>
          <w:sz w:val="21"/>
        </w:rPr>
        <w:t xml:space="preserve">WHEREAS, </w:t>
      </w:r>
      <w:r>
        <w:rPr>
          <w:rFonts w:ascii="Times New Roman" w:hAnsi="Times New Roman"/>
          <w:color w:val="000000"/>
          <w:sz w:val="22"/>
        </w:rPr>
        <w:t>the Parties wish to resolve any and all claims that Executive has or may have against the Company and the other Company Parties (as defined below), including any claims that Executive has or may have arising from or relating to Executive's employment, or the end of Executive's employment, with any Company Party.</w:t>
      </w:r>
    </w:p>
    <w:p>
      <w:pPr>
        <w:pStyle w:val="TextBody"/>
        <w:bidi w:val="0"/>
        <w:spacing w:before="240" w:after="283"/>
        <w:jc w:val="both"/>
        <w:rPr>
          <w:rFonts w:ascii="Times New Roman" w:hAnsi="Times New Roman"/>
          <w:sz w:val="20"/>
        </w:rPr>
      </w:pPr>
      <w:r>
        <w:rPr>
          <w:rFonts w:ascii="Times New Roman" w:hAnsi="Times New Roman"/>
          <w:b/>
          <w:color w:val="000000"/>
          <w:sz w:val="21"/>
        </w:rPr>
        <w:t xml:space="preserve">NOW, THEREFORE, </w:t>
      </w:r>
      <w:r>
        <w:rPr>
          <w:rFonts w:ascii="Times New Roman" w:hAnsi="Times New Roman"/>
          <w:color w:val="000000"/>
          <w:sz w:val="22"/>
        </w:rPr>
        <w:t>in consideration of the promises set forth herein, and for other good and valuable consideration, the receipt and sufficiency of which are hereby acknowledged by Executive and the Company, the Parties, intending to be legally bound, hereby agree as follows: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Separation from Employment.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Executive's employment with the Company terminated effective as of the Separation Date. As of the Separation Date, Executive will no longer be employed by the Company or any other Company Party, and Executive will be deemed to have automatically resigned </w:t>
      </w:r>
      <w:r>
        <w:rPr>
          <w:rFonts w:ascii="Times New Roman" w:hAnsi="Times New Roman"/>
          <w:color w:val="000000"/>
          <w:sz w:val="21"/>
        </w:rPr>
        <w:t xml:space="preserve">(i) </w:t>
      </w:r>
      <w:r>
        <w:rPr>
          <w:rFonts w:ascii="Times New Roman" w:hAnsi="Times New Roman"/>
          <w:color w:val="000000"/>
          <w:sz w:val="22"/>
        </w:rPr>
        <w:t>as an officer of the Company and its affiliates (as applicable) and (ii)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 including Petco Love.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leaves (paid and unpaid) that Executive has been entitled to receive from each Company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40" w:after="283"/>
        <w:jc w:val="both"/>
        <w:rPr/>
      </w:pPr>
      <w:r>
        <w:rPr>
          <w:rFonts w:ascii="Times New Roman" w:hAnsi="Times New Roman"/>
          <w:b/>
          <w:color w:val="000000"/>
          <w:sz w:val="22"/>
        </w:rPr>
        <w:t>Separation Payments and Benefits.</w:t>
      </w:r>
      <w:r>
        <w:rPr>
          <w:color w:val="000000"/>
        </w:rPr>
        <w:t xml:space="preserve"> </w:t>
      </w:r>
      <w:r>
        <w:rPr>
          <w:rFonts w:ascii="Times New Roman" w:hAnsi="Times New Roman"/>
          <w:color w:val="000000"/>
          <w:sz w:val="22"/>
        </w:rPr>
        <w:t>Provided that Executive: (x) executes this Agreement on or after the Separation Date and returns a copy of this Agreement that has been executed by Executive to the Company so that it is received by Giovanni Insana, Chief Legal Officer and Secretary, 10850 Via Frontera, San Diego, California 92127 (email: ) by no later than 5:00 pm PT on December 15, 2026 (which is at least 21 days following the date this Agreement was provided to Executive); (y) does not revoke Executive's acceptance of this Agreement pursuant to Section 8;</w:t>
      </w:r>
      <w:r>
        <w:rPr>
          <w:color w:val="000000"/>
        </w:rPr>
        <w:t xml:space="preserve"> </w:t>
      </w:r>
      <w:r>
        <w:rPr>
          <w:rFonts w:ascii="Times New Roman" w:hAnsi="Times New Roman"/>
          <w:color w:val="000000"/>
          <w:sz w:val="22"/>
        </w:rPr>
        <w:t>and (z) remains in compliance with the other terms and conditions set forth in this Agreement (including Sections 5 and 6), Executive shall be provided with the following separation payments and benefits: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Company shall pay to Executive a severance payment in an aggregate amount of $650,000.00, representing one year's base salary. The payment shall be divided and made in substantially equal installments over the course of twelve months and in accordance with the Company's regular payroll practices, commencing on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Company's first regularly scheduled pay date that is at least five business days following the date the Release becomes effective and extending for the twelve-month severance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shall pay to Executive a lump sum cash payment in the amount of $30,901.48, representing 12 months of monthly premiums for Executive's and Executive's covered dependents' participation in the Company's group health plans pursuant to COBRA (as defined in the Severance Plan) and shall be paid within 30 days following the expiration of the Release Revocation Period;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shall pay to Executive a pro rata portion of the actual annual incentive that Executive would have earned for the 2025 fiscal year, based on the number of days Executive is employed during such fiscal year, payable on the date when annual incentives under the applicable incentive plan are otherwise paid and in all events by May 1, 2026.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acknowledges and agrees that all unvested restricted stock units, performance stock units, and non-qualified stock options, if any, shall be forfeited on the Separation Date. Such awards shall terminate automatically and without any further action by the Company and at no cost to the Company.</w:t>
      </w:r>
    </w:p>
    <w:p>
      <w:pPr>
        <w:pStyle w:val="TextBody"/>
        <w:bidi w:val="0"/>
        <w:spacing w:before="240" w:after="283"/>
        <w:jc w:val="both"/>
        <w:rPr>
          <w:rFonts w:ascii="Times New Roman" w:hAnsi="Times New Roman"/>
          <w:sz w:val="20"/>
        </w:rPr>
      </w:pPr>
      <w:r>
        <w:rPr>
          <w:rFonts w:ascii="Times New Roman" w:hAnsi="Times New Roman"/>
          <w:color w:val="000000"/>
          <w:sz w:val="22"/>
        </w:rPr>
        <w:t>Executive further acknowledges and agrees that the consideration referenced in this Section 2</w:t>
      </w:r>
      <w:r>
        <w:rPr>
          <w:rFonts w:ascii="Times New Roman" w:hAnsi="Times New Roman"/>
          <w:color w:val="000000"/>
          <w:sz w:val="20"/>
        </w:rPr>
        <w:t xml:space="preserve"> </w:t>
      </w:r>
      <w:r>
        <w:rPr>
          <w:rFonts w:ascii="Times New Roman" w:hAnsi="Times New Roman"/>
          <w:color w:val="000000"/>
          <w:sz w:val="22"/>
        </w:rPr>
        <w:t>represents the entirety of the amounts Executive is eligible to receive as severance pay and benefits from the Company or any other Company Party, including under Executive's offer letter with the Company and the Severance Plan.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3.</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Release of Liability for Claims.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For good and valuable consideration, including the consideration set forth in Section 2</w:t>
      </w:r>
      <w:r>
        <w:rPr>
          <w:color w:val="000000"/>
        </w:rPr>
        <w:t xml:space="preserve"> </w:t>
      </w:r>
      <w:r>
        <w:rPr>
          <w:rFonts w:ascii="Times New Roman" w:hAnsi="Times New Roman"/>
          <w:color w:val="000000"/>
          <w:sz w:val="22"/>
        </w:rPr>
        <w:t>(and any portion thereof), Executive knowingly and voluntarily (for Executive, Executive's family, and Executive's heirs, executors, administrators and assigns) hereby releases and forever discharges the Company, Petco Animal Supplies, Inc., Scooby LP, Petco Health and Wellness Company, Inc. (collectively, the "Petco Affiliated Entities")</w:t>
      </w:r>
      <w:r>
        <w:rPr>
          <w:color w:val="000000"/>
        </w:rPr>
        <w:t xml:space="preserve"> </w:t>
      </w:r>
      <w:r>
        <w:rPr>
          <w:rFonts w:ascii="Times New Roman" w:hAnsi="Times New Roman"/>
          <w:color w:val="000000"/>
          <w:sz w:val="22"/>
        </w:rPr>
        <w:t>and their respective affiliates, predecessors, successors, subsidiaries and benefit plans, and the foregoing entities' respective equity-holders, officers, directors, managers, members, partners, Executives, agents, representatives, and other affiliated persons, and the Company's and its affiliates' benefit plans (and the fiduciaries and trustees of such plans) (collectively, the "Companv Parties"),</w:t>
      </w:r>
      <w:r>
        <w:rPr>
          <w:color w:val="000000"/>
        </w:rPr>
        <w:t xml:space="preserve"> </w:t>
      </w:r>
      <w:r>
        <w:rPr>
          <w:rFonts w:ascii="Times New Roman" w:hAnsi="Times New Roman"/>
          <w:color w:val="000000"/>
          <w:sz w:val="22"/>
        </w:rPr>
        <w:t>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anti-harassment or anti-retaliation law, regulation or ordinance, including the Age Discrimination in Employment Act of 1967 (including as amended by the Older Workers Benefit Protection Act), Title VII of the Civil Rights Act of 1964, the Civil Rights Act of 1991, Sections 1981 through 1988 of Title 42 of the United States Code and the Americans with Disabilities Act of 1990, as amended; (B) the Employee Retirement Income Security Act of 1974 ("BRISA");</w:t>
      </w:r>
      <w:r>
        <w:rPr>
          <w:color w:val="000000"/>
        </w:rPr>
        <w:t xml:space="preserve"> </w:t>
      </w:r>
      <w:r>
        <w:rPr>
          <w:rFonts w:ascii="Times New Roman" w:hAnsi="Times New Roman"/>
          <w:color w:val="000000"/>
          <w:sz w:val="22"/>
        </w:rPr>
        <w:t xml:space="preserve">(C) the Immigration Reform Control Act; (D) the National Labor Relations Act; (E) the Occupational Safety and Health Act; (F) the Family and Medical Leave Act of 1993; (G) California's Fair Employment and Housing Act,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(H) any federal, state or local wage and hour law; (I) any other local, state or federal law, regulation or ordinance; (J) any public policy, contract, tort, or common law claim; or (k) any claims under Texas law and the Texas Commission on Human Rights Act, including but not limited to Chapters 21 and 451 of the Tex. Lab. Code, and all claims raised or which could have been raised as of the Effective Date of this Agreement; (ii) any and all rights, benefits or claims Executive may have under any employment contract, offer letter, incentive compensation plan or equity-based plan with any Company Party or to any ownership interest in any Company Party (including the Severance Plan and any equity award agreements to which Executive is a party); (iii) any claim for compensation or benefits of any kind not expressly set forth in this Agreement; and (iv) any allegation for costs, fees, or other expenses including attorneys' fees incurred in or with respect to any of the foregoing (collectively, the "Released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2"/>
        </w:rPr>
        <w:t>Claims").</w:t>
      </w:r>
      <w:r>
        <w:rPr>
          <w:color w:val="000000"/>
        </w:rPr>
        <w:t xml:space="preserve"> </w:t>
      </w:r>
      <w:r>
        <w:rPr>
          <w:rFonts w:ascii="Times New Roman" w:hAnsi="Times New Roman"/>
          <w:color w:val="000000"/>
          <w:sz w:val="22"/>
        </w:rPr>
        <w:t>This Agreement is not intended to indicate that any such claims exist or that, if they do exist, they are meritorious. Rather, Executive is simply agreeing that, in exchange for any consideration received by Executive pursuant to Section 2,</w:t>
      </w:r>
      <w:r>
        <w:rPr>
          <w:color w:val="000000"/>
        </w:rPr>
        <w:t xml:space="preserve"> </w:t>
      </w:r>
      <w:r>
        <w:rPr>
          <w:rFonts w:ascii="Times New Roman" w:hAnsi="Times New Roman"/>
          <w:color w:val="000000"/>
          <w:sz w:val="22"/>
        </w:rPr>
        <w:t xml:space="preserve">any and all potential claims of this nature that Executive may have against the Company Parties, regardless of whether they actually exist, are expressly settled, compromised and waived. </w:t>
      </w:r>
      <w:r>
        <w:rPr>
          <w:rFonts w:ascii="Times New Roman" w:hAnsi="Times New Roman"/>
          <w:b/>
          <w:color w:val="000000"/>
          <w:sz w:val="22"/>
        </w:rPr>
        <w:t>TIDS RELEASE INCLUDES MATTERS ATTRIBUTABLE TO THE SOLE OR PARTIAL NEGLIGENCE (WHETHER GROSS OR SIMPLE) OR OTHER FAULT, INCLUDING STRICT LIABILITY, OF ANY OF THE COMPANY PARTIES.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pPr>
      <w:r>
        <w:rPr>
          <w:rFonts w:ascii="Times New Roman" w:hAnsi="Times New Roman"/>
          <w:color w:val="000000"/>
          <w:sz w:val="22"/>
        </w:rPr>
        <w:t>Section 1542 of the Civil Code of the State of California ("Section 1542")</w:t>
      </w:r>
      <w:r>
        <w:rPr>
          <w:color w:val="000000"/>
        </w:rPr>
        <w:t xml:space="preserve"> </w:t>
      </w:r>
      <w:r>
        <w:rPr>
          <w:rFonts w:ascii="Times New Roman" w:hAnsi="Times New Roman"/>
          <w:color w:val="000000"/>
          <w:sz w:val="22"/>
        </w:rPr>
        <w:t>provides: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waives all rights under Section 1542 or any other law or statute of similar effect in any jurisdiction with respect to the Released Claims. Executive acknowledges that Executive understands the significance and specifically assumes the risk regarding the consequences of such release and such specific waiver of Section 1542.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For the avoidance of doubt, nothing in this Agreement releases Executive's rights to receive payments or benefits pursuant to Section 2.</w:t>
      </w:r>
      <w:r>
        <w:rPr>
          <w:color w:val="000000"/>
        </w:rPr>
        <w:t xml:space="preserve"> </w:t>
      </w:r>
      <w:r>
        <w:rPr>
          <w:rFonts w:ascii="Times New Roman" w:hAnsi="Times New Roman"/>
          <w:color w:val="000000"/>
          <w:sz w:val="22"/>
        </w:rPr>
        <w:t>Further, in no event shall the Released Claims include (i) any claim that arises after the date that Executive signs this Agreement; (ii) any claim to unemployment benefits, worker's compensation or vested benefits under an employee benefit plan that is subject to ERISA; and (iii) any claim for breach of, or otherwise arising out of, this Agreement. Further notwithstanding this release of liability, nothing in this Agreement prevents Executive from filing any non-legally waivable claim (including a challenge to the validity of this Agreement) with the Equal Employment Opportunity Commission ("EEOC")</w:t>
      </w:r>
      <w:r>
        <w:rPr>
          <w:color w:val="000000"/>
        </w:rPr>
        <w:t xml:space="preserve"> </w:t>
      </w:r>
      <w:r>
        <w:rPr>
          <w:rFonts w:ascii="Times New Roman" w:hAnsi="Times New Roman"/>
          <w:color w:val="000000"/>
          <w:sz w:val="22"/>
        </w:rPr>
        <w:t>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Agreement prohibits or restricts Executive from (A) filing a charge or complaint with, or cooperating in any investigation with, the Securities and Exchange Commission, the Financial Industry Regulatory Authority, or any other governmental agency, entity or authority (each, a "Government Agency"),</w:t>
      </w:r>
      <w:r>
        <w:rPr>
          <w:color w:val="000000"/>
        </w:rPr>
        <w:t xml:space="preserve"> </w:t>
      </w:r>
      <w:r>
        <w:rPr>
          <w:rFonts w:ascii="Times New Roman" w:hAnsi="Times New Roman"/>
          <w:color w:val="000000"/>
          <w:sz w:val="22"/>
        </w:rPr>
        <w:t>(B) reporting violations of U.S. federal or state laws or regulations to a Government Agency, (C) making disclosures that are protected under U.S. federal and state whistleblower laws and regulations or (D) accepting any monetary reward in connection therewith. Nothing herein shall prevent Executive from discussing or disclosing information regarding unlawful acts in the workplace, such as harassment, discrimination or any other conduct that Executive has reason to believe is unlawful.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40" w:after="283"/>
        <w:jc w:val="both"/>
        <w:rPr/>
      </w:pPr>
      <w:r>
        <w:rPr>
          <w:rFonts w:ascii="Times New Roman" w:hAnsi="Times New Roman"/>
          <w:b/>
          <w:color w:val="000000"/>
          <w:sz w:val="22"/>
        </w:rPr>
        <w:t>Representations and Warranties Regarding Claims.</w:t>
      </w:r>
      <w:r>
        <w:rPr>
          <w:color w:val="000000"/>
        </w:rPr>
        <w:t xml:space="preserve"> </w:t>
      </w:r>
      <w:r>
        <w:rPr>
          <w:rFonts w:ascii="Times New Roman" w:hAnsi="Times New Roman"/>
          <w:color w:val="000000"/>
          <w:sz w:val="22"/>
        </w:rPr>
        <w:t>Executive represents and warrants that, as of the time at which Executive signs this 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(excluding, for the avoidance of doubt, any whistleblower complaints protected under applicable law),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Released Claim.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Executive acknowledges and agrees that Executive has continuing obligations to the Company and its affiliates pursuant to that certain Confidentiality and Inventions Agreement, including obligations relating to confidentiality and intellectual property (collectively, the "Covenants").</w:t>
      </w:r>
      <w:r>
        <w:rPr>
          <w:color w:val="000000"/>
        </w:rPr>
        <w:t xml:space="preserve"> </w:t>
      </w:r>
      <w:r>
        <w:rPr>
          <w:rFonts w:ascii="Times New Roman" w:hAnsi="Times New Roman"/>
          <w:color w:val="000000"/>
          <w:sz w:val="22"/>
        </w:rPr>
        <w:t>In entering into this Agreement, Executive acknowledges the continued effectiveness and enforceability of the Covenants, and Executive expressly reaffirms Executive's commitment to abide by, and agrees that he will abide by, the terms of the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shall refrain from publishing any oral or written statements about the Company and any Company Party that (i) are slanderous, libelous, disparaging or defamatory, (ii) disclose confidential information of or regarding any Company Party's business affairs, directors, officers, managers, members, employees, consultants, agents or representatives, or (iii) place the Company, any Company Party or any of their respective directors, officers, managers, members, employees, consultants, agents or representatives in a false light before the public.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acknowledges that, during the course of the employment relationship, Executive has become privy to confidential and proprietary business information belonging to the Company and its affiliates, the unauthorized disclosure of which could cause serious and irreparable injury to the Company and its affiliates. Executive agrees to hold and safeguard the confidential information in trust for the Company, its successors and assigns, and agrees that Executive will not misappropriate, use for Executive's own advantage, disclose or otherwise make available to anyone who is not an officer or director of the Company or its affiliates, for any reason, any of the confidential information, regardless of whether the confidential information was developed or prepared by Executive or others. Executive agrees not to remove any writings containing confidential information from the Company's premises or possession without the Company's express written consent. Executive agrees to promptly return to the Company all confidential information in Executive's possession or under Executive's control (whether in original, copy, electronic disk or some other form). Before disclosing any confidential information under compulsion of legal process, Executive agrees to promptly give notice to the Company of the fact that Executive has been served with legal process pursuant to which the disclosure of confidential information may be requested. Such notice will be given within sufficient time to permit the Company to intervene in the matter or to take such other actions as may be necessary or appropriate to protect its interest in the confidentiality of its confidential business information. The scope of the Agreement is not limited to information that is patented, patentable, copyrighted or technically classifiable as a trade secret.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agrees that Executive will keep the terms of this Agreement confidential and will not disclose them to anyone without the prior written approval of the Company, except that Executive may disclose this information to Executive's attorneys, tax consultant, and spouse, or if applicable, by court order. Nothing in this Agreement shall be construed as a waiver of Executive's right to testify in an administrative, legislative, or judicial proceeding when Executive has been required or requested to attend such a proceeding pursuant to a court order, subpoena, or written request from an administrative agency or the legislature.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w:t>
      </w:r>
    </w:p>
    <w:p>
      <w:pPr>
        <w:pStyle w:val="TextBody"/>
        <w:bidi w:val="0"/>
        <w:spacing w:before="240" w:after="283"/>
        <w:jc w:val="both"/>
        <w:rPr/>
      </w:pPr>
      <w:r>
        <w:rPr>
          <w:rFonts w:ascii="Times New Roman" w:hAnsi="Times New Roman"/>
          <w:b/>
          <w:color w:val="000000"/>
          <w:sz w:val="22"/>
        </w:rPr>
        <w:t>Covenant to Cooperate in Legal Proceedings.</w:t>
      </w:r>
      <w:r>
        <w:rPr>
          <w:color w:val="000000"/>
        </w:rPr>
        <w:t xml:space="preserve"> </w:t>
      </w:r>
      <w:r>
        <w:rPr>
          <w:rFonts w:ascii="Times New Roman" w:hAnsi="Times New Roman"/>
          <w:color w:val="000000"/>
          <w:sz w:val="22"/>
        </w:rPr>
        <w:t>Executive agrees to fully cooperate with the Petco Affiliated Entities and provide truthful information in any internal investigation, any administrative, regulatory, or judicial proceeding or any dispute with a third party. Executive understands and agrees that Executive's cooperation may include: making Executive available to the Petco Affiliated Entities upon reasonable notice for interviews and factual investigations; appearing at the Petco Affiliated Entities' request to give testimony without requiring service of a subpoena or other legal process; volunteering to the Petco Affiliated Entities pertinent information received by Executive in Executive's capacity as an employee; and turning over to the Petco Affiliated Entities all relevant documents which are or may come into Executive's possession in Executive's capacity an employee or otherwise, all at times and on schedules that are reasonably consistent with Executive's other permitted activities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w:t>
      </w:r>
    </w:p>
    <w:p>
      <w:pPr>
        <w:pStyle w:val="TextBody"/>
        <w:bidi w:val="0"/>
        <w:spacing w:before="240" w:after="283"/>
        <w:jc w:val="both"/>
        <w:rPr/>
      </w:pPr>
      <w:r>
        <w:rPr>
          <w:rFonts w:ascii="Times New Roman" w:hAnsi="Times New Roman"/>
          <w:b/>
          <w:color w:val="000000"/>
          <w:sz w:val="22"/>
        </w:rPr>
        <w:t>Executive's Acknowledgements.</w:t>
      </w:r>
      <w:r>
        <w:rPr>
          <w:color w:val="000000"/>
        </w:rPr>
        <w:t xml:space="preserve"> </w:t>
      </w:r>
      <w:r>
        <w:rPr>
          <w:rFonts w:ascii="Times New Roman" w:hAnsi="Times New Roman"/>
          <w:color w:val="000000"/>
          <w:sz w:val="22"/>
        </w:rPr>
        <w:t>By executing and delivering this Agreement, Executive expressly acknowledges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has been given at least 21 days to review and consider this Agreement. If Executive signs this Agreement before the expiration of 21 days after Executive's receipt of this Agreement, Executive has knowingly and voluntarily waived any longer consideration period than the one provided to Executive and such earlier signature was not induced by the Company through fraud, misrepresentation or a threat to withdraw or alter this Agreement prior to the expiration of such 21-day period. No changes (whether material or immaterial) to this Agreement shall restart the running of this 21-day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is receiving, pursuant to this Agreement, consideration in addition to anything of value to which Executive is already entitled;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has been advised, and hereby is advised in writing, to discuss this Agreement with an attorney of Executive's choice and that Executive has had an adequate opportunity to do so prior to executing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fully understands the final and binding effect of this Agreement; the only promises made to Executive to sign this Agreement are those stated herein; Executive is signing this Agreement knowingly, voluntarily and of Executive's own free will with the full intent of releasing the Company Parties of all claims; Executive acknowledges and agrees that Executive has carefully read this Agreement; and that Executive understands and agrees to each of the terms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only matters relied upon by Executive in causing Executive to sign this Agreement are the provisions set forth in writing within the four comers of this Agreement;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w:t>
      </w:r>
    </w:p>
    <w:p>
      <w:pPr>
        <w:pStyle w:val="TextBody"/>
        <w:bidi w:val="0"/>
        <w:spacing w:before="240" w:after="283"/>
        <w:jc w:val="both"/>
        <w:rPr/>
      </w:pPr>
      <w:r>
        <w:rPr>
          <w:rFonts w:ascii="Times New Roman" w:hAnsi="Times New Roman"/>
          <w:b/>
          <w:color w:val="000000"/>
          <w:sz w:val="22"/>
        </w:rPr>
        <w:t>Revocation Right.</w:t>
      </w:r>
      <w:r>
        <w:rPr>
          <w:color w:val="000000"/>
        </w:rPr>
        <w:t xml:space="preserve"> </w:t>
      </w:r>
      <w:r>
        <w:rPr>
          <w:rFonts w:ascii="Times New Roman" w:hAnsi="Times New Roman"/>
          <w:color w:val="000000"/>
          <w:sz w:val="22"/>
        </w:rPr>
        <w:t>Notwithstanding the initial effectiveness of this Agreement, Executive may revoke the delivery (and therefore the effectiveness) of this Agreement within the seven-day period beginning on the date Executive executes this Agreement (such seven-day period being referred to herein as the "Release Revocation Period").</w:t>
      </w:r>
      <w:r>
        <w:rPr>
          <w:color w:val="000000"/>
        </w:rPr>
        <w:t xml:space="preserve"> </w:t>
      </w:r>
      <w:r>
        <w:rPr>
          <w:rFonts w:ascii="Times New Roman" w:hAnsi="Times New Roman"/>
          <w:color w:val="000000"/>
          <w:sz w:val="22"/>
        </w:rPr>
        <w:t>To be effective, such revocation must be in writing signed by Executive and must be delivered personally or by courier to the Company so that it is received by Giovanni Insana, Chief Legal Officer and Secretary, 10850 Via Frontera, San Diego, California 92127 (email: ) no later than 11:59 pm PT on the last day of the Release Revocation Period. If an effective revocation is delivered in the foregoing manner and timeframe, the release of claims set forth in Section 3</w:t>
      </w:r>
      <w:r>
        <w:rPr>
          <w:color w:val="000000"/>
        </w:rPr>
        <w:t xml:space="preserve"> </w:t>
      </w:r>
      <w:r>
        <w:rPr>
          <w:rFonts w:ascii="Times New Roman" w:hAnsi="Times New Roman"/>
          <w:color w:val="000000"/>
          <w:sz w:val="22"/>
        </w:rPr>
        <w:t>will be of no force or effect, Executive will not receive the payments or benefits set forth in Section 2,</w:t>
      </w:r>
      <w:r>
        <w:rPr>
          <w:color w:val="000000"/>
        </w:rPr>
        <w:t xml:space="preserve"> </w:t>
      </w:r>
      <w:r>
        <w:rPr>
          <w:rFonts w:ascii="Times New Roman" w:hAnsi="Times New Roman"/>
          <w:color w:val="000000"/>
          <w:sz w:val="22"/>
        </w:rPr>
        <w:t>and the remainder of this Agreement will remain in full force and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w:t>
      </w:r>
    </w:p>
    <w:p>
      <w:pPr>
        <w:pStyle w:val="TextBody"/>
        <w:bidi w:val="0"/>
        <w:spacing w:before="240" w:after="283"/>
        <w:jc w:val="both"/>
        <w:rPr/>
      </w:pPr>
      <w:r>
        <w:rPr>
          <w:rFonts w:ascii="Times New Roman" w:hAnsi="Times New Roman"/>
          <w:b/>
          <w:color w:val="000000"/>
          <w:sz w:val="22"/>
        </w:rPr>
        <w:t>Governing Law.</w:t>
      </w:r>
      <w:r>
        <w:rPr>
          <w:color w:val="000000"/>
        </w:rPr>
        <w:t xml:space="preserve"> </w:t>
      </w:r>
      <w:r>
        <w:rPr>
          <w:rFonts w:ascii="Times New Roman" w:hAnsi="Times New Roman"/>
          <w:color w:val="000000"/>
          <w:sz w:val="22"/>
        </w:rPr>
        <w:t>This Agreement and its performance will be construed and interpreted in accordance with the laws of the State of Texas without regard to principles of conflicts of law that would apply the substantive law of any other jurisdiction.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240" w:after="283"/>
        <w:jc w:val="both"/>
        <w:rPr/>
      </w:pPr>
      <w:r>
        <w:rPr>
          <w:rFonts w:ascii="Times New Roman" w:hAnsi="Times New Roman"/>
          <w:b/>
          <w:color w:val="000000"/>
          <w:sz w:val="22"/>
        </w:rPr>
        <w:t>Counterparts.</w:t>
      </w:r>
      <w:r>
        <w:rPr>
          <w:color w:val="000000"/>
        </w:rPr>
        <w:t xml:space="preserve"> </w:t>
      </w:r>
      <w:r>
        <w:rPr>
          <w:rFonts w:ascii="Times New Roman" w:hAnsi="Times New Roman"/>
          <w:color w:val="000000"/>
          <w:sz w:val="22"/>
        </w:rPr>
        <w:t>This Agreement may be executed in several counterparts, including by .PDF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.GIF attachment to email or by facsimile, each of which is deemed to be an original, and all of which taken together constitute one and the same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240" w:after="283"/>
        <w:jc w:val="both"/>
        <w:rPr/>
      </w:pPr>
      <w:r>
        <w:rPr>
          <w:rFonts w:ascii="Times New Roman" w:hAnsi="Times New Roman"/>
          <w:b/>
          <w:color w:val="000000"/>
          <w:sz w:val="22"/>
        </w:rPr>
        <w:t>Amendment; Entire Agreement.</w:t>
      </w:r>
      <w:r>
        <w:rPr>
          <w:color w:val="000000"/>
        </w:rPr>
        <w:t xml:space="preserve"> </w:t>
      </w:r>
      <w:r>
        <w:rPr>
          <w:rFonts w:ascii="Times New Roman" w:hAnsi="Times New Roman"/>
          <w:color w:val="000000"/>
          <w:sz w:val="22"/>
        </w:rPr>
        <w:t>This Agreement may not be changed orally but only by an agreement in writing agreed to and signed by the Party to be charged. This Agreement and the Covenants constitute the entire agreement of the Parties with regard to the subject matter hereof and supersede all prior and contemporaneous agreements and understandings, oral or written, between Executive and any Company Party with regard to the subject matter hereof.</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40" w:after="283"/>
        <w:jc w:val="both"/>
        <w:rPr/>
      </w:pPr>
      <w:r>
        <w:rPr>
          <w:rFonts w:ascii="Times New Roman" w:hAnsi="Times New Roman"/>
          <w:b/>
          <w:color w:val="000000"/>
          <w:sz w:val="22"/>
        </w:rPr>
        <w:t>Third-Partv Beneficiaries.</w:t>
      </w:r>
      <w:r>
        <w:rPr>
          <w:color w:val="000000"/>
        </w:rPr>
        <w:t xml:space="preserve"> </w:t>
      </w:r>
      <w:r>
        <w:rPr>
          <w:rFonts w:ascii="Times New Roman" w:hAnsi="Times New Roman"/>
          <w:color w:val="000000"/>
          <w:sz w:val="22"/>
        </w:rPr>
        <w:t>Executive expressly acknowledges and agrees that each Petco Affiliated Entity that is not a party to this Agreement shall be a third-party beneficiary of Sections 3, 5, and 6</w:t>
      </w:r>
      <w:r>
        <w:rPr>
          <w:color w:val="000000"/>
        </w:rPr>
        <w:t xml:space="preserve"> </w:t>
      </w:r>
      <w:r>
        <w:rPr>
          <w:rFonts w:ascii="Times New Roman" w:hAnsi="Times New Roman"/>
          <w:color w:val="000000"/>
          <w:sz w:val="22"/>
        </w:rPr>
        <w:t>and entitled to enforce such provisions as if it were a party 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240" w:after="283"/>
        <w:jc w:val="both"/>
        <w:rPr/>
      </w:pPr>
      <w:r>
        <w:rPr>
          <w:rFonts w:ascii="Times New Roman" w:hAnsi="Times New Roman"/>
          <w:b/>
          <w:color w:val="000000"/>
          <w:sz w:val="22"/>
        </w:rPr>
        <w:t>Further Assurances.</w:t>
      </w:r>
      <w:r>
        <w:rPr>
          <w:color w:val="000000"/>
        </w:rPr>
        <w:t xml:space="preserve"> </w:t>
      </w:r>
      <w:r>
        <w:rPr>
          <w:rFonts w:ascii="Times New Roman" w:hAnsi="Times New Roman"/>
          <w:color w:val="000000"/>
          <w:sz w:val="22"/>
        </w:rPr>
        <w:t>Executive shall, and shall cause Executive's affiliates, representatives and agents to, from time to time at the request of the 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240" w:after="283"/>
        <w:jc w:val="both"/>
        <w:rPr/>
      </w:pPr>
      <w:r>
        <w:rPr>
          <w:rFonts w:ascii="Times New Roman" w:hAnsi="Times New Roman"/>
          <w:b/>
          <w:color w:val="000000"/>
          <w:sz w:val="22"/>
        </w:rPr>
        <w:t>Return of Propertv.</w:t>
      </w:r>
      <w:r>
        <w:rPr>
          <w:color w:val="000000"/>
        </w:rPr>
        <w:t xml:space="preserve"> </w:t>
      </w:r>
      <w:r>
        <w:rPr>
          <w:rFonts w:ascii="Times New Roman" w:hAnsi="Times New Roman"/>
          <w:color w:val="000000"/>
          <w:sz w:val="22"/>
        </w:rPr>
        <w:t>Executive represents and warrants that Executive has returned to the Company all property belonging to the Company or any other Company Party, including all computer files, electronically stored information, computers and other materials and items provided to Executive by the Company or any other Company Party in the course of Executive's employment and Executive further represents and warrants that Executive has not maintained a copy of any such materials or items in any form.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240" w:after="283"/>
        <w:jc w:val="both"/>
        <w:rPr/>
      </w:pPr>
      <w:r>
        <w:rPr>
          <w:rFonts w:ascii="Times New Roman" w:hAnsi="Times New Roman"/>
          <w:b/>
          <w:color w:val="000000"/>
          <w:sz w:val="22"/>
        </w:rPr>
        <w:t>Severability.</w:t>
      </w:r>
      <w:r>
        <w:rPr>
          <w:color w:val="000000"/>
        </w:rPr>
        <w:t xml:space="preserve"> </w:t>
      </w:r>
      <w:r>
        <w:rPr>
          <w:rFonts w:ascii="Times New Roman" w:hAnsi="Times New Roman"/>
          <w:color w:val="000000"/>
          <w:sz w:val="22"/>
        </w:rPr>
        <w:t>Any term or provision of this Agreement (or part thereof) that renders such term or provision (or part thereof) or any other term or provision (or part thereof) hereof invalid or unenforceable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240" w:after="283"/>
        <w:jc w:val="both"/>
        <w:rPr/>
      </w:pPr>
      <w:r>
        <w:rPr>
          <w:rFonts w:ascii="Times New Roman" w:hAnsi="Times New Roman"/>
          <w:b/>
          <w:color w:val="000000"/>
          <w:sz w:val="22"/>
        </w:rPr>
        <w:t>Interpretation.</w:t>
      </w:r>
      <w:r>
        <w:rPr>
          <w:color w:val="000000"/>
        </w:rPr>
        <w:t xml:space="preserve"> </w:t>
      </w:r>
      <w:r>
        <w:rPr>
          <w:rFonts w:ascii="Times New Roman" w:hAnsi="Times New Roman"/>
          <w:color w:val="000000"/>
          <w:sz w:val="22"/>
        </w:rPr>
        <w:t>The Section headings have been inserted for purposes of convenience and shall not be used for interpretive purposes. The 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240" w:after="283"/>
        <w:jc w:val="both"/>
        <w:rPr/>
      </w:pPr>
      <w:r>
        <w:rPr>
          <w:rFonts w:ascii="Times New Roman" w:hAnsi="Times New Roman"/>
          <w:b/>
          <w:color w:val="000000"/>
          <w:sz w:val="22"/>
        </w:rPr>
        <w:t>No Assignment.</w:t>
      </w:r>
      <w:r>
        <w:rPr>
          <w:color w:val="000000"/>
        </w:rPr>
        <w:t xml:space="preserve"> </w:t>
      </w:r>
      <w:r>
        <w:rPr>
          <w:rFonts w:ascii="Times New Roman" w:hAnsi="Times New Roman"/>
          <w:color w:val="000000"/>
          <w:sz w:val="22"/>
        </w:rPr>
        <w:t>No right to receive payments and benefits under this Agreement shall be subject to set off, offset, anticipation, commutation, alienation, assignment, encumbrance, charge, pledge or hypothecation or to execution, attachment, levy, or similar process or assignment by operation of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240" w:after="283"/>
        <w:jc w:val="both"/>
        <w:rPr/>
      </w:pPr>
      <w:r>
        <w:rPr>
          <w:rFonts w:ascii="Times New Roman" w:hAnsi="Times New Roman"/>
          <w:b/>
          <w:color w:val="000000"/>
          <w:sz w:val="22"/>
        </w:rPr>
        <w:t>Withholdings; Deductions.</w:t>
      </w:r>
      <w:r>
        <w:rPr>
          <w:color w:val="000000"/>
        </w:rPr>
        <w:t xml:space="preserve"> </w:t>
      </w:r>
      <w:r>
        <w:rPr>
          <w:rFonts w:ascii="Times New Roman" w:hAnsi="Times New Roman"/>
          <w:color w:val="000000"/>
          <w:sz w:val="22"/>
        </w:rPr>
        <w:t>The Company may withhold and deduct from any payments or benefits made or to be made pursuant to this Agreement (a) all federal, state, local and other taxes as may be required pursuant to any law or governmental regulation or ruling and (b) any deductions consented to in writing by Executive.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240" w:after="283"/>
        <w:jc w:val="both"/>
        <w:rPr/>
      </w:pPr>
      <w:r>
        <w:rPr>
          <w:rFonts w:ascii="Times New Roman" w:hAnsi="Times New Roman"/>
          <w:b/>
          <w:color w:val="000000"/>
          <w:sz w:val="22"/>
        </w:rPr>
        <w:t>Section 409A.</w:t>
      </w:r>
      <w:r>
        <w:rPr>
          <w:color w:val="000000"/>
        </w:rPr>
        <w:t xml:space="preserve"> </w:t>
      </w:r>
      <w:r>
        <w:rPr>
          <w:rFonts w:ascii="Times New Roman" w:hAnsi="Times New Roman"/>
          <w:color w:val="000000"/>
          <w:sz w:val="22"/>
        </w:rPr>
        <w:t>This Agreement and the benefits provided hereunder are intended be exempt from, or compliant with, the requirements of Section 409A of the Internal Revenue Code of 1986 and the Treasury regulations and other guidance issued thereunder (collectively, "Section 409A")</w:t>
      </w:r>
      <w:r>
        <w:rPr>
          <w:color w:val="000000"/>
        </w:rPr>
        <w:t xml:space="preserve"> </w:t>
      </w:r>
      <w:r>
        <w:rPr>
          <w:rFonts w:ascii="Times New Roman" w:hAnsi="Times New Roman"/>
          <w:color w:val="000000"/>
          <w:sz w:val="22"/>
        </w:rPr>
        <w:t>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w:t>
      </w:r>
      <w:r>
        <w:rPr>
          <w:rFonts w:ascii="Times New Roman" w:hAnsi="Times New Roman"/>
          <w:b/>
          <w:color w:val="000000"/>
          <w:sz w:val="21"/>
        </w:rPr>
        <w:t xml:space="preserve">WITNESS WHEREOF, </w:t>
      </w:r>
      <w:r>
        <w:rPr>
          <w:rFonts w:ascii="Times New Roman" w:hAnsi="Times New Roman"/>
          <w:color w:val="000000"/>
          <w:sz w:val="22"/>
        </w:rPr>
        <w:t>the Parties have executed this Agreement as of the dates set forth beneath their names below, effective for all purposes as provided above.</w:t>
      </w:r>
    </w:p>
    <w:p>
      <w:pPr>
        <w:pStyle w:val="TextBody"/>
        <w:bidi w:val="0"/>
        <w:jc w:val="left"/>
        <w:rPr/>
      </w:pPr>
      <w:r>
        <w:rPr/>
        <w:t> </w:t>
      </w:r>
    </w:p>
    <w:tbl>
      <w:tblPr>
        <w:tblW w:w="1752" w:type="dxa"/>
        <w:jc w:val="left"/>
        <w:tblInd w:w="0" w:type="dxa"/>
        <w:tblLayout w:type="fixed"/>
        <w:tblCellMar>
          <w:top w:w="28" w:type="dxa"/>
          <w:left w:w="28" w:type="dxa"/>
          <w:bottom w:w="28" w:type="dxa"/>
          <w:right w:w="28" w:type="dxa"/>
        </w:tblCellMar>
      </w:tblPr>
      <w:tblGrid>
        <w:gridCol w:w="161"/>
        <w:gridCol w:w="1591"/>
      </w:tblGrid>
      <w:tr>
        <w:trPr/>
        <w:tc>
          <w:tcPr>
            <w:tcW w:w="1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EXECUTIVE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John L Stout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12/12/2025</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137" w:type="dxa"/>
        <w:jc w:val="left"/>
        <w:tblInd w:w="0" w:type="dxa"/>
        <w:tblLayout w:type="fixed"/>
        <w:tblCellMar>
          <w:top w:w="28" w:type="dxa"/>
          <w:left w:w="28" w:type="dxa"/>
          <w:bottom w:w="28" w:type="dxa"/>
          <w:right w:w="28" w:type="dxa"/>
        </w:tblCellMar>
      </w:tblPr>
      <w:tblGrid>
        <w:gridCol w:w="161"/>
        <w:gridCol w:w="3976"/>
      </w:tblGrid>
      <w:tr>
        <w:trPr/>
        <w:tc>
          <w:tcPr>
            <w:tcW w:w="16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b/>
                <w:color w:val="000000"/>
                <w:sz w:val="19"/>
              </w:rPr>
              <w:t>PETCO ANIMAL SUPPLIES STORES, INC.</w:t>
            </w:r>
            <w:r>
              <w:rPr>
                <w:rFonts w:ascii="Times New Roman" w:hAnsi="Times New Roman"/>
                <w:color w:val="000000"/>
                <w:sz w:val="19"/>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Giovanni Insana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Legal Officer and Secretary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12/16/2025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1" w:after="283"/>
        <w:jc w:val="left"/>
        <w:rPr/>
      </w:pPr>
      <w:r>
        <w:rPr/>
        <w:t> </w:t>
      </w:r>
    </w:p>
    <w:p>
      <w:pPr>
        <w:pStyle w:val="TextBody"/>
        <w:bidi w:val="0"/>
        <w:spacing w:before="1" w:after="283"/>
        <w:jc w:val="center"/>
        <w:rPr>
          <w:rFonts w:ascii="Times New Roman" w:hAnsi="Times New Roman"/>
          <w:color w:val="000000"/>
          <w:sz w:val="20"/>
        </w:rPr>
      </w:pPr>
      <w:r>
        <w:rPr>
          <w:rFonts w:ascii="Times New Roman" w:hAnsi="Times New Roman"/>
          <w:color w:val="000000"/>
          <w:sz w:val="20"/>
        </w:rPr>
        <w:t>SIGNATURE PAGE TO SEPARATION AGREEMENT</w:t>
      </w:r>
    </w:p>
    <w:p>
      <w:pPr>
        <w:pStyle w:val="TextBody"/>
        <w:bidi w:val="0"/>
        <w:jc w:val="center"/>
        <w:rPr>
          <w:rFonts w:ascii="Times New Roman" w:hAnsi="Times New Roman"/>
          <w:color w:val="000000"/>
          <w:sz w:val="20"/>
        </w:rPr>
      </w:pPr>
      <w:r>
        <w:rPr>
          <w:rFonts w:ascii="Times New Roman" w:hAnsi="Times New Roman"/>
          <w:color w:val="000000"/>
          <w:sz w:val="20"/>
        </w:rPr>
        <w:t>AND GENERAL RELEASE OF CLAIMS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woof-ex31_1.htm"/>
      <w:bookmarkStart w:id="27" w:name="kswoofex31_1"/>
      <w:bookmarkEnd w:id="26"/>
      <w:bookmarkEnd w:id="27"/>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Joel Anderson,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636"/>
        <w:gridCol w:w="109"/>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Joel Anderson.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Joel Anderson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woof-ex31_2.htm"/>
      <w:bookmarkStart w:id="29" w:name="kswoofex31_2"/>
      <w:bookmarkEnd w:id="28"/>
      <w:bookmarkEnd w:id="29"/>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Sabrina Simmons,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636"/>
        <w:gridCol w:w="109"/>
        <w:gridCol w:w="406"/>
        <w:gridCol w:w="29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woof-ex32_1.htm"/>
      <w:bookmarkStart w:id="31" w:name="kswoofex32_1"/>
      <w:bookmarkEnd w:id="30"/>
      <w:bookmarkEnd w:id="31"/>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Petco Health and Wellness Company, Inc. (the “Company”) for the quarter ended May 2, 2026, as filed with the Securities and Exchange Commission on the date hereof (the “Report”), I, Joel Anderson, Chief Executive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636"/>
        <w:gridCol w:w="109"/>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Joel Anderson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Joel Anderson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woof-ex32_2.htm"/>
      <w:bookmarkStart w:id="33" w:name="kswoofex32_2"/>
      <w:bookmarkEnd w:id="32"/>
      <w:bookmarkEnd w:id="33"/>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Petco Health and Wellness Company, Inc. (the “Company”) for the quarter ended May 2, 2026, as filed with the Securities and Exchange Commission on the date hereof (the “Report”), I, Sabrina Simmons, Chief Financial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636"/>
        <w:gridCol w:w="109"/>
        <w:gridCol w:w="406"/>
        <w:gridCol w:w="29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Sabrina Simmons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470/000119312526033607/woof-ex4_1.htm" TargetMode="External"/><Relationship Id="rId3" Type="http://schemas.openxmlformats.org/officeDocument/2006/relationships/hyperlink" Target="https://www.sec.gov/Archives/edgar/data/1826470/000119312526033607/woof-ex10_1.htm" TargetMode="External"/><Relationship Id="rId4" Type="http://schemas.openxmlformats.org/officeDocument/2006/relationships/hyperlink" Target="https://www.sec.gov/Archives/edgar/data/1826470/000119312526106114/woof-ex10_30.htm" TargetMode="External"/><Relationship Id="rId5" Type="http://schemas.openxmlformats.org/officeDocument/2006/relationships/hyperlink" Target="https://www.sec.gov/Archives/edgar/data/1826470/000119312526106114/woof-ex10_43.htm" TargetMode="External"/><Relationship Id="rId6" Type="http://schemas.openxmlformats.org/officeDocument/2006/relationships/hyperlink" Target="https://www.sec.gov/Archives/edgar/data/1826470/000119312526106114/woof-ex10_41.htm" TargetMode="External"/><Relationship Id="rId7" Type="http://schemas.openxmlformats.org/officeDocument/2006/relationships/hyperlink" Target="https://www.sec.gov/Archives/edgar/data/1826470/000119312526106114/woof-ex10_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18484</Words>
  <Characters>100671</Characters>
  <CharactersWithSpaces>119955</CharactersWithSpaces>
  <Paragraphs>4044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