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Insana Giovanni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PETCO HEALTH AND WELLNESS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INC., 10850 VIA FRONTERA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Petco Health &amp; Wellness Company, Inc.</w:t>
              </w:r>
            </w:hyperlink>
            <w:r>
              <w:rPr/>
              <w:t xml:space="preserve"> [ </w:t>
            </w:r>
            <w:r>
              <w:rPr>
                <w:rFonts w:ascii="Times;serif" w:hAnsi="Times;serif"/>
                <w:color w:val="0000FF"/>
                <w:sz w:val="24"/>
                <w:shd w:fill="FFFFFF" w:val="clear"/>
              </w:rPr>
              <w:t>WOOF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22,308</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2.37</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364,351</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reflects the withholding of restricted stock units ("RSUs") in satisfaction of the Reporting Person's tax liability. The RSUs were granted to the Reporting Person on April 15, 2024 pursuant to the Petco Health and Wellness Company, Inc. 2021 Equity Incentive Plan (as amended, the "2021 Plan"), and a portion vested on October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127,960 outstanding RSUs granted under the 2021 Plan. Each RSU represents the right to receive one share of Class A common stock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Legal Officer and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Giovanni Insana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8625" TargetMode="External"/><Relationship Id="rId5" Type="http://schemas.openxmlformats.org/officeDocument/2006/relationships/hyperlink" Target="http://www.sec.gov/cgi-bin/browse-edgar?action=getcompany&amp;CIK=0001826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3580</Characters>
  <CharactersWithSpaces>4172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