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Petco Health and Wellness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81-1005932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10850 Via Frontera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WOOF</w:t>
            </w:r>
          </w:p>
        </w:tc>
        <w:tc>
          <w:tcPr>
            <w:tcW w:w="10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June 3, 2026, Petco Health and Wellness Company, Inc. (the “Company”) issued a press release disclosing its financial results for the quarter ended May 2, 2026. The full text of the press release is attached to this Current Report on Form 8-K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scheduled a webcast call at 4:15 p.m. Eastern Time on June 3, 2026 to discuss the Company’s financial results for the quarter ended May 2, 2026. In addition to the press release, an earnings presentation will be made available on the Company’s investor relations page at ir.petco.com. A replay of the webcast call will also be made available on the Company’s investor relations page approximately two hours after the webcast call.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being furnished pursuant to Item 2.02, including Exhibit 99.1, and Item 7.01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24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June 3, 2026</w:t>
            </w:r>
          </w:p>
        </w:tc>
        <w:tc>
          <w:tcPr>
            <w:tcW w:w="76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Giovanni Insana</w:t>
            </w:r>
          </w:p>
        </w:tc>
      </w:tr>
      <w:tr>
        <w:trPr>
          <w:trHeight w:val="191"/>
        </w:trPr>
        <w:tc>
          <w:tcPr>
            <w:tcW w:w="4000" w:type="dxa"/>
            <w:vAlign w:val="bottom"/>
          </w:tcPr>
          <w:p>
            <w:pPr>
              <w:spacing w:after="0"/>
              <w:rPr>
                <w:sz w:val="16"/>
                <w:szCs w:val="16"/>
                <w:color w:val="auto"/>
              </w:rPr>
            </w:pPr>
          </w:p>
        </w:tc>
        <w:tc>
          <w:tcPr>
            <w:tcW w:w="3100" w:type="dxa"/>
            <w:vAlign w:val="bottom"/>
          </w:tcPr>
          <w:p>
            <w:pPr>
              <w:ind w:left="2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Giovanni Insana</w:t>
            </w:r>
          </w:p>
        </w:tc>
      </w:tr>
      <w:tr>
        <w:trPr>
          <w:trHeight w:val="234"/>
        </w:trPr>
        <w:tc>
          <w:tcPr>
            <w:tcW w:w="4000" w:type="dxa"/>
            <w:vAlign w:val="bottom"/>
          </w:tcPr>
          <w:p>
            <w:pPr>
              <w:spacing w:after="0"/>
              <w:rPr>
                <w:sz w:val="20"/>
                <w:szCs w:val="20"/>
                <w:color w:val="auto"/>
              </w:rPr>
            </w:pPr>
          </w:p>
        </w:tc>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979"/>
        </w:trPr>
        <w:tc>
          <w:tcPr>
            <w:tcW w:w="40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Petco Reports First Quarter 2026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Returns to Positive Comp Growth in Q1, Validating ‘Reach for the Sky’ Initiatives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Delivers Q1 Sales and Profitability Ahead of Previously Provided Outlook</w:t>
      </w:r>
    </w:p>
    <w:p>
      <w:pPr>
        <w:jc w:val="center"/>
        <w:ind w:right="60"/>
        <w:spacing w:after="0"/>
        <w:rPr>
          <w:sz w:val="20"/>
          <w:szCs w:val="20"/>
          <w:color w:val="auto"/>
        </w:rPr>
      </w:pPr>
      <w:r>
        <w:rPr>
          <w:rFonts w:ascii="Arial" w:cs="Arial" w:eastAsia="Arial" w:hAnsi="Arial"/>
          <w:sz w:val="20"/>
          <w:szCs w:val="20"/>
          <w:b w:val="1"/>
          <w:bCs w:val="1"/>
          <w:i w:val="1"/>
          <w:iCs w:val="1"/>
          <w:color w:val="auto"/>
        </w:rPr>
        <w:t>Reaffirms Fiscal 2026 Outlook and Provides 2Q Outlook*</w:t>
      </w:r>
    </w:p>
    <w:p>
      <w:pPr>
        <w:spacing w:after="0" w:line="169" w:lineRule="exact"/>
        <w:rPr>
          <w:sz w:val="20"/>
          <w:szCs w:val="20"/>
          <w:color w:val="auto"/>
        </w:rPr>
      </w:pPr>
    </w:p>
    <w:p>
      <w:pPr>
        <w:ind w:right="360"/>
        <w:spacing w:after="0" w:line="259" w:lineRule="auto"/>
        <w:rPr>
          <w:sz w:val="20"/>
          <w:szCs w:val="20"/>
          <w:color w:val="auto"/>
        </w:rPr>
      </w:pPr>
      <w:r>
        <w:rPr>
          <w:rFonts w:ascii="Arial" w:cs="Arial" w:eastAsia="Arial" w:hAnsi="Arial"/>
          <w:sz w:val="20"/>
          <w:szCs w:val="20"/>
          <w:b w:val="1"/>
          <w:bCs w:val="1"/>
          <w:color w:val="auto"/>
        </w:rPr>
        <w:t xml:space="preserve">San Diego, June 3, 2026 </w:t>
      </w:r>
      <w:r>
        <w:rPr>
          <w:rFonts w:ascii="Arial" w:cs="Arial" w:eastAsia="Arial" w:hAnsi="Arial"/>
          <w:sz w:val="20"/>
          <w:szCs w:val="20"/>
          <w:color w:val="auto"/>
        </w:rPr>
        <w:t>– Petco (Nasdaq: WOOF), the retailer “where the pets go” to find everything they need to live their</w:t>
      </w:r>
      <w:r>
        <w:rPr>
          <w:rFonts w:ascii="Arial" w:cs="Arial" w:eastAsia="Arial" w:hAnsi="Arial"/>
          <w:sz w:val="20"/>
          <w:szCs w:val="20"/>
          <w:b w:val="1"/>
          <w:bCs w:val="1"/>
          <w:color w:val="auto"/>
        </w:rPr>
        <w:t xml:space="preserve"> </w:t>
      </w:r>
      <w:r>
        <w:rPr>
          <w:rFonts w:ascii="Arial" w:cs="Arial" w:eastAsia="Arial" w:hAnsi="Arial"/>
          <w:sz w:val="20"/>
          <w:szCs w:val="20"/>
          <w:color w:val="auto"/>
        </w:rPr>
        <w:t>best lives, today reported its first quarter 2026 financial results.</w:t>
      </w:r>
    </w:p>
    <w:p>
      <w:pPr>
        <w:spacing w:after="0" w:line="154"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“Our strong first-quarter results, highlighted by positive comparable sales and profitability that exceeded our outlook, provide clear, early validation that our Phase 3 ‘Reach for the Sky’ strategy is working. We were particularly pleased to see the improvement in our consumables business, while our differentiated services business continues to outperform and is a key engine of our growth. This solid start to the year demonstrates the power of our distinct, wholly owned omnichannel ecosystem. As we look ahead, we are pleased with the momentum our initiatives are generating, positioning us to continue to deliver positive comps. We remain highly confident in our ability to drive consistent, long-term growth,” said Joel Anderson, Chief Executive Officer of Petco.</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 Overview</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For the first quarter of 2026 compared to the first quarter of 2025:</w:t>
      </w:r>
    </w:p>
    <w:p>
      <w:pPr>
        <w:spacing w:after="0" w:line="3"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sales of $1.5 billion increased 0.2%; comparable sales increased 0.7%.</w:t>
      </w:r>
    </w:p>
    <w:p>
      <w:pPr>
        <w:ind w:left="180" w:hanging="172"/>
        <w:spacing w:after="0" w:line="238" w:lineRule="auto"/>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increased to $574.4 million; gross margin rate increased 21 basis points to 38.4%.</w:t>
      </w:r>
    </w:p>
    <w:p>
      <w:pPr>
        <w:ind w:left="180" w:hanging="172"/>
        <w:spacing w:after="0" w:line="238" w:lineRule="auto"/>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 increased 50.5% to $24.6 million; operating margin increased 55 basis points to 1.6%.</w:t>
      </w:r>
    </w:p>
    <w:p>
      <w:pPr>
        <w:ind w:left="180" w:hanging="172"/>
        <w:spacing w:after="0"/>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$15.1 million versus a net loss of $11.7 million.</w:t>
      </w:r>
    </w:p>
    <w:p>
      <w:pPr>
        <w:spacing w:after="0" w:line="12" w:lineRule="exact"/>
        <w:rPr>
          <w:rFonts w:ascii="Times New Roman" w:cs="Times New Roman" w:eastAsia="Times New Roman" w:hAnsi="Times New Roman"/>
          <w:sz w:val="20"/>
          <w:szCs w:val="20"/>
          <w:color w:val="auto"/>
        </w:rPr>
      </w:pPr>
    </w:p>
    <w:p>
      <w:pPr>
        <w:ind w:left="180" w:hanging="172"/>
        <w:spacing w:after="0" w:line="194" w:lineRule="auto"/>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of $97.3 million versus $89.4 million.</w:t>
      </w:r>
    </w:p>
    <w:p>
      <w:pPr>
        <w:spacing w:after="0" w:line="1" w:lineRule="exact"/>
        <w:rPr>
          <w:rFonts w:ascii="Times New Roman" w:cs="Times New Roman" w:eastAsia="Times New Roman" w:hAnsi="Times New Roman"/>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closed 4 net stores, ending the quarter with 1,378 stores.</w:t>
      </w:r>
    </w:p>
    <w:p>
      <w:pPr>
        <w:spacing w:after="0" w:line="200" w:lineRule="exact"/>
        <w:rPr>
          <w:sz w:val="20"/>
          <w:szCs w:val="20"/>
          <w:color w:val="auto"/>
        </w:rPr>
      </w:pPr>
    </w:p>
    <w:p>
      <w:pPr>
        <w:spacing w:after="0" w:line="213" w:lineRule="exact"/>
        <w:rPr>
          <w:sz w:val="20"/>
          <w:szCs w:val="20"/>
          <w:color w:val="auto"/>
        </w:rPr>
      </w:pPr>
    </w:p>
    <w:p>
      <w:pPr>
        <w:jc w:val="both"/>
        <w:ind w:right="160"/>
        <w:spacing w:after="0" w:line="242" w:lineRule="auto"/>
        <w:rPr>
          <w:sz w:val="20"/>
          <w:szCs w:val="20"/>
          <w:color w:val="auto"/>
        </w:rPr>
      </w:pPr>
      <w:r>
        <w:rPr>
          <w:rFonts w:ascii="Arial" w:cs="Arial" w:eastAsia="Arial" w:hAnsi="Arial"/>
          <w:sz w:val="20"/>
          <w:szCs w:val="20"/>
          <w:color w:val="auto"/>
        </w:rPr>
        <w:t>Sabrina Simmons, Chief Financial Officer of Petco, added, “Our strong first-quarter results—which marked a return to positive comparable sales growth—demonstrate that our operational and economic improvements are materializing. We are pleased to reaffirm our full-year outlook. As our strategic initiatives continue to take hold, we continue to be focused on strengthening our retail and financial fundamentals to support sustainable, profitable growth and remain committed to reducing our leverage ratio to 2x.”</w:t>
      </w:r>
      <w:r>
        <w:rPr>
          <w:rFonts w:ascii="Arial" w:cs="Arial" w:eastAsia="Arial" w:hAnsi="Arial"/>
          <w:sz w:val="26"/>
          <w:szCs w:val="26"/>
          <w:color w:val="auto"/>
          <w:vertAlign w:val="superscript"/>
        </w:rPr>
        <w:t>1</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 Balance Sheet and Cash Flow</w:t>
      </w:r>
    </w:p>
    <w:p>
      <w:pPr>
        <w:spacing w:after="0" w:line="15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Ending cash balance grew by $33.5 million to $166.8 million versus $133.3 million last year.</w:t>
      </w:r>
    </w:p>
    <w:p>
      <w:pPr>
        <w:spacing w:after="0" w:line="16" w:lineRule="exact"/>
        <w:rPr>
          <w:rFonts w:ascii="Times New Roman" w:cs="Times New Roman" w:eastAsia="Times New Roman" w:hAnsi="Times New Roman"/>
          <w:sz w:val="20"/>
          <w:szCs w:val="20"/>
          <w:color w:val="auto"/>
        </w:rPr>
      </w:pPr>
    </w:p>
    <w:p>
      <w:pPr>
        <w:ind w:left="180" w:hanging="172"/>
        <w:spacing w:after="0" w:line="238" w:lineRule="auto"/>
        <w:tabs>
          <w:tab w:leader="none" w:pos="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Inventory fell 1.9% year-over-year versus the 0.2% increase in net sales.</w:t>
      </w:r>
    </w:p>
    <w:p>
      <w:pPr>
        <w:ind w:left="180" w:hanging="172"/>
        <w:spacing w:after="0"/>
        <w:tabs>
          <w:tab w:leader="none" w:pos="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used in operating activities was $31.0 million compared to $15.5 million last year.</w:t>
      </w:r>
    </w:p>
    <w:p>
      <w:pPr>
        <w:spacing w:after="0" w:line="12" w:lineRule="exact"/>
        <w:rPr>
          <w:rFonts w:ascii="Times New Roman" w:cs="Times New Roman" w:eastAsia="Times New Roman" w:hAnsi="Times New Roman"/>
          <w:sz w:val="20"/>
          <w:szCs w:val="20"/>
          <w:color w:val="auto"/>
        </w:rPr>
      </w:pPr>
    </w:p>
    <w:p>
      <w:pPr>
        <w:ind w:left="180" w:hanging="172"/>
        <w:spacing w:after="0" w:line="194" w:lineRule="auto"/>
        <w:tabs>
          <w:tab w:leader="none" w:pos="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was an outflow of $69.1 million versus an outflow of $43.9 million last year.</w:t>
      </w:r>
    </w:p>
    <w:p>
      <w:pPr>
        <w:spacing w:after="0" w:line="1" w:lineRule="exact"/>
        <w:rPr>
          <w:rFonts w:ascii="Times New Roman" w:cs="Times New Roman" w:eastAsia="Times New Roman" w:hAnsi="Times New Roman"/>
          <w:sz w:val="20"/>
          <w:szCs w:val="20"/>
          <w:color w:val="auto"/>
        </w:rPr>
      </w:pPr>
    </w:p>
    <w:p>
      <w:pPr>
        <w:ind w:left="180" w:hanging="172"/>
        <w:spacing w:after="0" w:line="238" w:lineRule="auto"/>
        <w:tabs>
          <w:tab w:leader="none" w:pos="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debt was $1.482 billion, down from $1.593 billion last year.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4" w:name="page5"/>
    <w:bookmarkEnd w:id="4"/>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Outlook</w:t>
      </w:r>
    </w:p>
    <w:p>
      <w:pPr>
        <w:spacing w:after="0" w:line="150"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The company reaffirmed its full year 2026 net sales and EBITDA outlook and provided its outlook for the second quarter of 2026.</w:t>
      </w:r>
    </w:p>
    <w:p>
      <w:pPr>
        <w:spacing w:after="0" w:line="15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Assumptions in the outlook include that economic conditions, currency rates and the tax and regulatory landscape remain generally consistent, and that current or planned tariffs on imports into the U.S. from China and other countries as of June 3, 2026, will remain at current levels. Additionally, our outlook assumes the benefit of a partial IEEPA tariff refund received in May 2026, with no additional refunds assumed for the balance of the year, and now assumes that fuel prices remain elevated at approximately those experienced in the first quarter for the remainder of the year, compared to our prior outlook which assumed higher fuel prices for the first quarter only.</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With respect to the second quarter specifically, the benefit of the tariff refund received in May 2026 is expected to be approximately offset by incremental tariffs and higher fuel costs anticipated in the period. The prior-year second quarter included an approximately $9 million SG&amp;A benefit from a favorable semi-annual actuarial true-up related to employee optimization work, which the Company does not expect to recur in the second quarter of 2026.</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2026 Outlook</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260" w:type="dxa"/>
            <w:vAlign w:val="bottom"/>
            <w:tcBorders>
              <w:top w:val="single" w:sz="8" w:color="auto"/>
              <w:left w:val="single" w:sz="8" w:color="auto"/>
              <w:bottom w:val="single" w:sz="8" w:color="auto"/>
              <w:right w:val="single" w:sz="8" w:color="auto"/>
            </w:tcBorders>
            <w:shd w:val="clear" w:color="auto" w:fill="001F60"/>
          </w:tcPr>
          <w:p>
            <w:pPr>
              <w:spacing w:after="0"/>
              <w:rPr>
                <w:sz w:val="24"/>
                <w:szCs w:val="24"/>
                <w:color w:val="auto"/>
              </w:rPr>
            </w:pPr>
          </w:p>
        </w:tc>
        <w:tc>
          <w:tcPr>
            <w:tcW w:w="4840" w:type="dxa"/>
            <w:vAlign w:val="bottom"/>
            <w:tcBorders>
              <w:top w:val="single" w:sz="8" w:color="auto"/>
              <w:bottom w:val="single" w:sz="8" w:color="auto"/>
              <w:right w:val="single" w:sz="8" w:color="auto"/>
            </w:tcBorders>
            <w:shd w:val="clear" w:color="auto" w:fill="001F60"/>
          </w:tcPr>
          <w:p>
            <w:pPr>
              <w:jc w:val="center"/>
              <w:ind w:right="1"/>
              <w:spacing w:after="0"/>
              <w:rPr>
                <w:sz w:val="20"/>
                <w:szCs w:val="20"/>
                <w:color w:val="auto"/>
              </w:rPr>
            </w:pPr>
            <w:r>
              <w:rPr>
                <w:rFonts w:ascii="Arial" w:cs="Arial" w:eastAsia="Arial" w:hAnsi="Arial"/>
                <w:sz w:val="20"/>
                <w:szCs w:val="20"/>
                <w:b w:val="1"/>
                <w:bCs w:val="1"/>
                <w:color w:val="FFFFFF"/>
                <w:w w:val="98"/>
              </w:rPr>
              <w:t>FY 2026 Outlook*</w:t>
            </w:r>
          </w:p>
        </w:tc>
      </w:tr>
      <w:tr>
        <w:trPr>
          <w:trHeight w:val="233"/>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Net Sales</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9"/>
              </w:rPr>
              <w:t>Flat to up 1.5% year over year</w:t>
            </w:r>
          </w:p>
        </w:tc>
      </w:tr>
      <w:tr>
        <w:trPr>
          <w:trHeight w:val="250"/>
        </w:trPr>
        <w:tc>
          <w:tcPr>
            <w:tcW w:w="4260" w:type="dxa"/>
            <w:vAlign w:val="bottom"/>
            <w:tcBorders>
              <w:left w:val="single" w:sz="8" w:color="auto"/>
              <w:bottom w:val="single" w:sz="8" w:color="auto"/>
              <w:right w:val="single" w:sz="8" w:color="auto"/>
            </w:tcBorders>
          </w:tcPr>
          <w:p>
            <w:pPr>
              <w:ind w:left="100"/>
              <w:spacing w:after="0" w:line="250" w:lineRule="exact"/>
              <w:rPr>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2</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8"/>
              </w:rPr>
              <w:t>$415 million to $430 million</w:t>
            </w:r>
          </w:p>
        </w:tc>
      </w:tr>
      <w:tr>
        <w:trPr>
          <w:trHeight w:val="25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Net Interest Expense</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9"/>
              </w:rPr>
              <w:t>~$125 million</w:t>
            </w:r>
          </w:p>
        </w:tc>
      </w:tr>
      <w:tr>
        <w:trPr>
          <w:trHeight w:val="25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Capital Expenditures</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9"/>
              </w:rPr>
              <w:t>~$140 million</w:t>
            </w:r>
          </w:p>
        </w:tc>
      </w:tr>
      <w:tr>
        <w:trPr>
          <w:trHeight w:val="25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Depreciation &amp; Amortization</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9"/>
              </w:rPr>
              <w:t>~$200 million</w:t>
            </w:r>
          </w:p>
        </w:tc>
      </w:tr>
      <w:tr>
        <w:trPr>
          <w:trHeight w:val="25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Net Store Closures</w:t>
            </w:r>
          </w:p>
        </w:tc>
        <w:tc>
          <w:tcPr>
            <w:tcW w:w="48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8"/>
              </w:rPr>
              <w:t>~15-20</w:t>
            </w:r>
          </w:p>
        </w:tc>
      </w:tr>
      <w:tr>
        <w:trPr>
          <w:trHeight w:val="675"/>
        </w:trPr>
        <w:tc>
          <w:tcPr>
            <w:tcW w:w="4260" w:type="dxa"/>
            <w:vAlign w:val="bottom"/>
          </w:tcPr>
          <w:p>
            <w:pPr>
              <w:spacing w:after="0"/>
              <w:rPr>
                <w:sz w:val="20"/>
                <w:szCs w:val="20"/>
                <w:color w:val="auto"/>
              </w:rPr>
            </w:pPr>
            <w:r>
              <w:rPr>
                <w:rFonts w:ascii="Arial" w:cs="Arial" w:eastAsia="Arial" w:hAnsi="Arial"/>
                <w:sz w:val="20"/>
                <w:szCs w:val="20"/>
                <w:b w:val="1"/>
                <w:bCs w:val="1"/>
                <w:color w:val="auto"/>
              </w:rPr>
              <w:t>Second Quarter 2026 Outlook</w:t>
            </w:r>
          </w:p>
        </w:tc>
        <w:tc>
          <w:tcPr>
            <w:tcW w:w="4840" w:type="dxa"/>
            <w:vAlign w:val="bottom"/>
          </w:tcPr>
          <w:p>
            <w:pPr>
              <w:spacing w:after="0"/>
              <w:rPr>
                <w:sz w:val="24"/>
                <w:szCs w:val="24"/>
                <w:color w:val="auto"/>
              </w:rPr>
            </w:pPr>
          </w:p>
        </w:tc>
      </w:tr>
      <w:tr>
        <w:trPr>
          <w:trHeight w:val="204"/>
        </w:trPr>
        <w:tc>
          <w:tcPr>
            <w:tcW w:w="426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r>
      <w:tr>
        <w:trPr>
          <w:trHeight w:val="211"/>
        </w:trPr>
        <w:tc>
          <w:tcPr>
            <w:tcW w:w="4260" w:type="dxa"/>
            <w:vAlign w:val="bottom"/>
            <w:tcBorders>
              <w:top w:val="single" w:sz="8" w:color="auto"/>
              <w:left w:val="single" w:sz="8" w:color="auto"/>
              <w:bottom w:val="single" w:sz="8" w:color="002060"/>
              <w:right w:val="single" w:sz="8" w:color="auto"/>
            </w:tcBorders>
            <w:shd w:val="clear" w:color="auto" w:fill="002060"/>
          </w:tcPr>
          <w:p>
            <w:pPr>
              <w:spacing w:after="0"/>
              <w:rPr>
                <w:sz w:val="18"/>
                <w:szCs w:val="18"/>
                <w:color w:val="auto"/>
              </w:rPr>
            </w:pPr>
          </w:p>
        </w:tc>
        <w:tc>
          <w:tcPr>
            <w:tcW w:w="4840" w:type="dxa"/>
            <w:vAlign w:val="bottom"/>
            <w:tcBorders>
              <w:top w:val="single" w:sz="8" w:color="002060"/>
              <w:bottom w:val="single" w:sz="8" w:color="auto"/>
              <w:right w:val="single" w:sz="8" w:color="auto"/>
            </w:tcBorders>
            <w:shd w:val="clear" w:color="auto" w:fill="002060"/>
          </w:tcPr>
          <w:p>
            <w:pPr>
              <w:jc w:val="center"/>
              <w:spacing w:after="0" w:line="191" w:lineRule="exact"/>
              <w:rPr>
                <w:sz w:val="20"/>
                <w:szCs w:val="20"/>
                <w:color w:val="auto"/>
              </w:rPr>
            </w:pPr>
            <w:r>
              <w:rPr>
                <w:rFonts w:ascii="Arial" w:cs="Arial" w:eastAsia="Arial" w:hAnsi="Arial"/>
                <w:sz w:val="20"/>
                <w:szCs w:val="20"/>
                <w:b w:val="1"/>
                <w:bCs w:val="1"/>
                <w:color w:val="FFFFFF"/>
                <w:w w:val="98"/>
              </w:rPr>
              <w:t>Q2 2026 Outlook*</w:t>
            </w:r>
          </w:p>
        </w:tc>
      </w:tr>
      <w:tr>
        <w:trPr>
          <w:trHeight w:val="191"/>
        </w:trPr>
        <w:tc>
          <w:tcPr>
            <w:tcW w:w="4260" w:type="dxa"/>
            <w:vAlign w:val="bottom"/>
            <w:tcBorders>
              <w:left w:val="single" w:sz="8" w:color="auto"/>
              <w:bottom w:val="single" w:sz="8" w:color="auto"/>
              <w:right w:val="single" w:sz="8" w:color="auto"/>
            </w:tcBorders>
          </w:tcPr>
          <w:p>
            <w:pPr>
              <w:ind w:left="100"/>
              <w:spacing w:after="0" w:line="191" w:lineRule="exact"/>
              <w:rPr>
                <w:sz w:val="20"/>
                <w:szCs w:val="20"/>
                <w:color w:val="auto"/>
              </w:rPr>
            </w:pPr>
            <w:r>
              <w:rPr>
                <w:rFonts w:ascii="Arial" w:cs="Arial" w:eastAsia="Arial" w:hAnsi="Arial"/>
                <w:sz w:val="17"/>
                <w:szCs w:val="17"/>
                <w:color w:val="auto"/>
              </w:rPr>
              <w:t>Net Sales</w:t>
            </w:r>
            <w:r>
              <w:rPr>
                <w:rFonts w:ascii="Arial" w:cs="Arial" w:eastAsia="Arial" w:hAnsi="Arial"/>
                <w:sz w:val="22"/>
                <w:szCs w:val="22"/>
                <w:color w:val="auto"/>
                <w:vertAlign w:val="superscript"/>
              </w:rPr>
              <w:t>3</w:t>
            </w:r>
          </w:p>
        </w:tc>
        <w:tc>
          <w:tcPr>
            <w:tcW w:w="4840" w:type="dxa"/>
            <w:vAlign w:val="bottom"/>
            <w:tcBorders>
              <w:bottom w:val="single" w:sz="8" w:color="auto"/>
              <w:right w:val="single" w:sz="8" w:color="auto"/>
            </w:tcBorders>
          </w:tcPr>
          <w:p>
            <w:pPr>
              <w:jc w:val="center"/>
              <w:ind w:right="1"/>
              <w:spacing w:after="0" w:line="191" w:lineRule="exact"/>
              <w:rPr>
                <w:sz w:val="20"/>
                <w:szCs w:val="20"/>
                <w:color w:val="auto"/>
              </w:rPr>
            </w:pPr>
            <w:r>
              <w:rPr>
                <w:rFonts w:ascii="Arial" w:cs="Arial" w:eastAsia="Arial" w:hAnsi="Arial"/>
                <w:sz w:val="20"/>
                <w:szCs w:val="20"/>
                <w:color w:val="auto"/>
                <w:w w:val="98"/>
              </w:rPr>
              <w:t>Up about 0.3% year over year, in line with consensus</w:t>
            </w:r>
          </w:p>
        </w:tc>
      </w:tr>
      <w:tr>
        <w:trPr>
          <w:trHeight w:val="209"/>
        </w:trPr>
        <w:tc>
          <w:tcPr>
            <w:tcW w:w="4260" w:type="dxa"/>
            <w:vAlign w:val="bottom"/>
            <w:tcBorders>
              <w:left w:val="single" w:sz="8" w:color="auto"/>
              <w:bottom w:val="single" w:sz="8" w:color="auto"/>
              <w:right w:val="single" w:sz="8" w:color="auto"/>
            </w:tcBorders>
          </w:tcPr>
          <w:p>
            <w:pPr>
              <w:ind w:left="100"/>
              <w:spacing w:after="0" w:line="210"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2</w:t>
            </w:r>
          </w:p>
        </w:tc>
        <w:tc>
          <w:tcPr>
            <w:tcW w:w="48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$110 million to $112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266128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1285" cy="12700"/>
                    </a:xfrm>
                    <a:prstGeom prst="rect">
                      <a:avLst/>
                    </a:prstGeom>
                    <a:noFill/>
                  </pic:spPr>
                </pic:pic>
              </a:graphicData>
            </a:graphic>
          </wp:anchor>
        </w:drawing>
      </w:r>
    </w:p>
    <w:p>
      <w:pPr>
        <w:spacing w:after="0" w:line="34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Leverage ratio is defined as net debt divided by Adjusted EBITDA.</w:t>
      </w:r>
    </w:p>
    <w:p>
      <w:pPr>
        <w:spacing w:after="0" w:line="163" w:lineRule="exact"/>
        <w:rPr>
          <w:rFonts w:ascii="Arial" w:cs="Arial" w:eastAsia="Arial" w:hAnsi="Arial"/>
          <w:sz w:val="14"/>
          <w:szCs w:val="14"/>
          <w:color w:val="auto"/>
        </w:rPr>
      </w:pPr>
    </w:p>
    <w:p>
      <w:pPr>
        <w:ind w:left="380" w:right="580" w:hanging="372"/>
        <w:spacing w:after="0" w:line="285"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and Free Cash Flow are non-GAAP financial measures. See “Non-GAAP Financial Measures” for additional information on non-GAAP financial measures and a reconciliation to the most comparable GAAP measures.</w:t>
      </w:r>
    </w:p>
    <w:p>
      <w:pPr>
        <w:spacing w:after="0" w:line="103" w:lineRule="exact"/>
        <w:rPr>
          <w:rFonts w:ascii="Arial" w:cs="Arial" w:eastAsia="Arial" w:hAnsi="Arial"/>
          <w:sz w:val="14"/>
          <w:szCs w:val="14"/>
          <w:color w:val="auto"/>
        </w:rPr>
      </w:pPr>
    </w:p>
    <w:p>
      <w:pPr>
        <w:ind w:left="380" w:right="180" w:hanging="372"/>
        <w:spacing w:after="0" w:line="285"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According to Company-compiled data as of May 28, 2026, the current Factset consensus of 10 sell-side analyst expectations for Q2 2026 net sales implies a year-over-year growth rate of 0.3%.</w:t>
      </w:r>
    </w:p>
    <w:p>
      <w:pPr>
        <w:spacing w:after="0" w:line="104" w:lineRule="exact"/>
        <w:rPr>
          <w:sz w:val="20"/>
          <w:szCs w:val="20"/>
          <w:color w:val="auto"/>
        </w:rPr>
      </w:pPr>
    </w:p>
    <w:p>
      <w:pPr>
        <w:ind w:firstLine="8"/>
        <w:spacing w:after="0" w:line="243"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is a non-GAAP financial measure and has not been reconciled to the most comparable GAAP outlook because it is not possible to do so without unreasonable efforts due to the uncertainty and potential variability of reconciling items, which are dependent on future events and often outside of management’s control and which could be significant. Because such items cannot be reasonably predicted with the level of precision required, we are unable to provide outlook for the comparable GAAP measures. Forward-looking estimates of Adjusted EBITDA are made in a manner consistent with the relevant definitions and assumptions noted herein and in our filings with the 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 Webcast Information:</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 xml:space="preserve">Management will host an earnings conference call on June 3, 2026 at approximately 4:15 PM Eastern Time to discuss the company’s financial results. A live webcast of the conference call will be available on the company's Investor Relations page at </w:t>
      </w:r>
      <w:r>
        <w:rPr>
          <w:rFonts w:ascii="Arial" w:cs="Arial" w:eastAsia="Arial" w:hAnsi="Arial"/>
          <w:sz w:val="20"/>
          <w:szCs w:val="20"/>
          <w:b w:val="1"/>
          <w:bCs w:val="1"/>
          <w:color w:val="auto"/>
        </w:rPr>
        <w:t xml:space="preserve">https://ir.petco.com/news-and-events/events-and-presentations. </w:t>
      </w:r>
      <w:r>
        <w:rPr>
          <w:rFonts w:ascii="Arial" w:cs="Arial" w:eastAsia="Arial" w:hAnsi="Arial"/>
          <w:sz w:val="20"/>
          <w:szCs w:val="20"/>
          <w:color w:val="auto"/>
        </w:rPr>
        <w:t>A replay of the webcast will be available through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link approximately two hours after the conference call.</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Petco:</w:t>
      </w:r>
    </w:p>
    <w:p>
      <w:pPr>
        <w:spacing w:after="0" w:line="150"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We're proud to be "where the pets go" to find everything they need to live their best lives for more than 60 years — from their favorite meals and toys, to trusted supplies and expert support from people who get it, because we live it. We believe in the universal truths of pet parenthood — the boundless boops, missing slippers, late night zoomies and everything in between. And we're here for it. Every tail wag, every vet visit, every step of the way. We nurture the pet-human bond in the aisles of more than 1,500 Petco stores across the U.S., Mexico and Chile. Customers experience our exclusive selection of pet care products, services, expertise and membership offerings in stores and online at petco.com, and on the Petco app. In 1999, we founded Petco Love. Together, we support thousands of local animal welfare groups nationwide, and have helped find homes for over 7 million animals through in-store adoption events.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5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earnings release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Q2 and full year 2026 outlook, operational reset of our business, our competitive positioning, profitability, cash generation through our economic model, expense leverage, operating margin expansion, cost action plans and associated cost-savings, our path to sustainable, profitable growth and our expectations regarding tariffs and associated impacts. Such forward-looking statements can generally be identified by the use of forward-looking terms such as “believes,” “expects,” “may,” “intends,” “will,” “shall,” “should,” “anticipates,” “opportunity,” “illustrative,” "estimates," "projects," "forecasts" or the negative thereof or other variations thereon or comparable terminology. These statements are only predictions based on our current expectations and projections about future events and reflect our beliefs regarding such future events and do not represent historical facts or statements of current condition. Although Petco believes that the expectations and assumptions reflected in these statements are reasonable, there can be no assurance that these expectations will prove to be correct or that any forward-looking results will occur or be realized. Nothing contained in this earnings release is, or should be relied upon as, a promise or representation or warranty as to any future matter, including any matter in respect of the operations or business or financial condition of Petco. All forward-looking statements are based on current expectations and assumptions about future events that may or may not be correct or necessarily take place and that are by their nature subject to significant uncertainties and contingencies, many of which are outside the control of Petco. Forward-looking statements are subject to a number of risks, uncertainties and other factors that could cause actual results or events to differ materially from the potential results or events discussed in the forward-looking statements, including, without limitation, those identified in this earnings release as well as the following: (i) increased competition (including from multi-channel retailers, mass and grocery retailers, and e-Commerce providers); (ii) reduced consumer demand for our products and/or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right="20"/>
        <w:spacing w:after="0"/>
        <w:rPr>
          <w:sz w:val="20"/>
          <w:szCs w:val="20"/>
          <w:color w:val="auto"/>
        </w:rPr>
      </w:pPr>
      <w:r>
        <w:rPr>
          <w:rFonts w:ascii="Arial" w:cs="Arial" w:eastAsia="Arial" w:hAnsi="Arial"/>
          <w:sz w:val="19"/>
          <w:szCs w:val="19"/>
          <w:color w:val="auto"/>
        </w:rPr>
        <w:t>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w:t>
      </w:r>
    </w:p>
    <w:p>
      <w:pPr>
        <w:spacing w:after="0" w:line="3" w:lineRule="exact"/>
        <w:rPr>
          <w:sz w:val="20"/>
          <w:szCs w:val="20"/>
          <w:color w:val="auto"/>
        </w:rPr>
      </w:pPr>
    </w:p>
    <w:p>
      <w:pPr>
        <w:ind w:firstLine="8"/>
        <w:spacing w:after="0" w:line="228" w:lineRule="auto"/>
        <w:tabs>
          <w:tab w:leader="none" w:pos="374" w:val="left"/>
        </w:tabs>
        <w:numPr>
          <w:ilvl w:val="0"/>
          <w:numId w:val="6"/>
        </w:numPr>
        <w:rPr>
          <w:rFonts w:ascii="Arial" w:cs="Arial" w:eastAsia="Arial" w:hAnsi="Arial"/>
          <w:sz w:val="20"/>
          <w:szCs w:val="20"/>
          <w:color w:val="auto"/>
        </w:rPr>
      </w:pPr>
      <w:r>
        <w:rPr>
          <w:rFonts w:ascii="Arial" w:cs="Arial" w:eastAsia="Arial" w:hAnsi="Arial"/>
          <w:sz w:val="20"/>
          <w:szCs w:val="20"/>
          <w:color w:val="auto"/>
        </w:rPr>
        <w:t>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identified under “Risk Factors” in our most recent Annual Report on Form 10-K and elsewhere in Petco’s Securities and Exchange Commission filings. The occurrence of any such factors could significantly alter the results set forth in these statements.</w:t>
      </w:r>
    </w:p>
    <w:p>
      <w:pPr>
        <w:spacing w:after="0" w:line="160" w:lineRule="exact"/>
        <w:rPr>
          <w:sz w:val="20"/>
          <w:szCs w:val="20"/>
          <w:color w:val="auto"/>
        </w:rPr>
      </w:pPr>
    </w:p>
    <w:p>
      <w:pPr>
        <w:ind w:right="260"/>
        <w:spacing w:after="0" w:line="230" w:lineRule="auto"/>
        <w:rPr>
          <w:sz w:val="20"/>
          <w:szCs w:val="20"/>
          <w:color w:val="auto"/>
        </w:rPr>
      </w:pPr>
      <w:r>
        <w:rPr>
          <w:rFonts w:ascii="Arial" w:cs="Arial" w:eastAsia="Arial" w:hAnsi="Arial"/>
          <w:sz w:val="20"/>
          <w:szCs w:val="20"/>
          <w:color w:val="auto"/>
        </w:rPr>
        <w:t>Petco cautions that the foregoing list of risks, uncertainties and other factors is not complete, and forward-looking statements speak only as of the date they are made. Petco undertakes no duty to update publicly any such forward-looking statement, whether as a result of new information, future events or otherwise, except as may be required by applicable law, regulation or other competent legal authority.</w:t>
      </w: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Investor Contact: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Roxanne Meyer, InvestorRelations@petco.com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Ventura Olvera, pressinquiries@petco.com</w:t>
      </w:r>
    </w:p>
    <w:p>
      <w:pPr>
        <w:spacing w:after="0" w:line="4"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PETCO HEALTH AND WELLNESS COMPANY,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ind w:left="3800"/>
        <w:spacing w:after="0" w:line="226" w:lineRule="auto"/>
        <w:rPr>
          <w:sz w:val="20"/>
          <w:szCs w:val="20"/>
          <w:color w:val="auto"/>
        </w:rPr>
      </w:pPr>
      <w:r>
        <w:rPr>
          <w:rFonts w:ascii="Arial" w:cs="Arial" w:eastAsia="Arial" w:hAnsi="Arial"/>
          <w:sz w:val="20"/>
          <w:szCs w:val="20"/>
          <w:color w:val="auto"/>
        </w:rPr>
        <w:t>(In thousands, except per share amounts)</w:t>
      </w:r>
    </w:p>
    <w:p>
      <w:pPr>
        <w:ind w:left="3780"/>
        <w:spacing w:after="0"/>
        <w:rPr>
          <w:sz w:val="20"/>
          <w:szCs w:val="20"/>
          <w:color w:val="auto"/>
        </w:rPr>
      </w:pPr>
      <w:r>
        <w:rPr>
          <w:rFonts w:ascii="Arial" w:cs="Arial" w:eastAsia="Arial" w:hAnsi="Arial"/>
          <w:sz w:val="20"/>
          <w:szCs w:val="20"/>
          <w:color w:val="auto"/>
        </w:rPr>
        <w:t>(Unaudited and subject to reclassification)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13 Weeks Ended</w:t>
            </w:r>
          </w:p>
        </w:tc>
        <w:tc>
          <w:tcPr>
            <w:tcW w:w="1180" w:type="dxa"/>
            <w:vAlign w:val="bottom"/>
            <w:tcBorders>
              <w:bottom w:val="single" w:sz="8" w:color="auto"/>
            </w:tcBorders>
          </w:tcPr>
          <w:p>
            <w:pPr>
              <w:spacing w:after="0"/>
              <w:rPr>
                <w:sz w:val="14"/>
                <w:szCs w:val="14"/>
                <w:color w:val="auto"/>
              </w:rPr>
            </w:pPr>
          </w:p>
        </w:tc>
      </w:tr>
      <w:tr>
        <w:trPr>
          <w:trHeight w:val="146"/>
        </w:trPr>
        <w:tc>
          <w:tcPr>
            <w:tcW w:w="6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ind w:right="592"/>
              <w:spacing w:after="0" w:line="147" w:lineRule="exact"/>
              <w:rPr>
                <w:sz w:val="20"/>
                <w:szCs w:val="20"/>
                <w:color w:val="auto"/>
              </w:rPr>
            </w:pPr>
            <w:r>
              <w:rPr>
                <w:rFonts w:ascii="Arial" w:cs="Arial" w:eastAsia="Arial" w:hAnsi="Arial"/>
                <w:sz w:val="14"/>
                <w:szCs w:val="14"/>
                <w:b w:val="1"/>
                <w:bCs w:val="1"/>
                <w:color w:val="auto"/>
              </w:rPr>
              <w:t>May 2,</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right"/>
              <w:ind w:right="592"/>
              <w:spacing w:after="0" w:line="147" w:lineRule="exact"/>
              <w:rPr>
                <w:sz w:val="20"/>
                <w:szCs w:val="20"/>
                <w:color w:val="auto"/>
              </w:rPr>
            </w:pPr>
            <w:r>
              <w:rPr>
                <w:rFonts w:ascii="Arial" w:cs="Arial" w:eastAsia="Arial" w:hAnsi="Arial"/>
                <w:sz w:val="14"/>
                <w:szCs w:val="14"/>
                <w:b w:val="1"/>
                <w:bCs w:val="1"/>
                <w:color w:val="auto"/>
              </w:rPr>
              <w:t>May 3,</w:t>
            </w:r>
          </w:p>
        </w:tc>
      </w:tr>
      <w:tr>
        <w:trPr>
          <w:trHeight w:val="171"/>
        </w:trPr>
        <w:tc>
          <w:tcPr>
            <w:tcW w:w="6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2025</w:t>
            </w:r>
          </w:p>
        </w:tc>
      </w:tr>
      <w:tr>
        <w:trPr>
          <w:trHeight w:val="196"/>
        </w:trPr>
        <w:tc>
          <w:tcPr>
            <w:tcW w:w="6660" w:type="dxa"/>
            <w:vAlign w:val="bottom"/>
            <w:shd w:val="clear" w:color="auto" w:fill="DEEBF7"/>
          </w:tcPr>
          <w:p>
            <w:pPr>
              <w:spacing w:after="0" w:line="196" w:lineRule="exact"/>
              <w:rPr>
                <w:sz w:val="20"/>
                <w:szCs w:val="20"/>
                <w:color w:val="auto"/>
              </w:rPr>
            </w:pPr>
            <w:r>
              <w:rPr>
                <w:rFonts w:ascii="Arial" w:cs="Arial" w:eastAsia="Arial" w:hAnsi="Arial"/>
                <w:sz w:val="18"/>
                <w:szCs w:val="18"/>
                <w:color w:val="auto"/>
              </w:rPr>
              <w:t>Net sales:</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spacing w:after="0"/>
              <w:rPr>
                <w:sz w:val="17"/>
                <w:szCs w:val="17"/>
                <w:color w:val="auto"/>
              </w:rPr>
            </w:pP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Products</w:t>
            </w: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1,228,087</w:t>
            </w:r>
          </w:p>
        </w:tc>
        <w:tc>
          <w:tcPr>
            <w:tcW w:w="6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1,241,891</w:t>
            </w:r>
          </w:p>
        </w:tc>
      </w:tr>
      <w:tr>
        <w:trPr>
          <w:trHeight w:val="203"/>
        </w:trPr>
        <w:tc>
          <w:tcPr>
            <w:tcW w:w="6660" w:type="dxa"/>
            <w:vAlign w:val="bottom"/>
            <w:tcBorders>
              <w:bottom w:val="single" w:sz="8" w:color="DEEBF7"/>
            </w:tcBorders>
            <w:shd w:val="clear" w:color="auto" w:fill="DEEBF7"/>
          </w:tcPr>
          <w:p>
            <w:pPr>
              <w:ind w:left="100"/>
              <w:spacing w:after="0" w:line="202" w:lineRule="exact"/>
              <w:rPr>
                <w:sz w:val="20"/>
                <w:szCs w:val="20"/>
                <w:color w:val="auto"/>
              </w:rPr>
            </w:pPr>
            <w:r>
              <w:rPr>
                <w:rFonts w:ascii="Arial" w:cs="Arial" w:eastAsia="Arial" w:hAnsi="Arial"/>
                <w:sz w:val="18"/>
                <w:szCs w:val="18"/>
                <w:color w:val="auto"/>
              </w:rPr>
              <w:t>Services and other</w:t>
            </w:r>
          </w:p>
        </w:tc>
        <w:tc>
          <w:tcPr>
            <w:tcW w:w="1060" w:type="dxa"/>
            <w:vAlign w:val="bottom"/>
            <w:tcBorders>
              <w:bottom w:val="single" w:sz="8" w:color="DEEBF7"/>
            </w:tcBorders>
            <w:shd w:val="clear" w:color="auto" w:fill="DEEBF7"/>
          </w:tcPr>
          <w:p>
            <w:pPr>
              <w:spacing w:after="0"/>
              <w:rPr>
                <w:sz w:val="17"/>
                <w:szCs w:val="17"/>
                <w:color w:val="auto"/>
              </w:rPr>
            </w:pPr>
          </w:p>
        </w:tc>
        <w:tc>
          <w:tcPr>
            <w:tcW w:w="320" w:type="dxa"/>
            <w:vAlign w:val="bottom"/>
            <w:tcBorders>
              <w:bottom w:val="single" w:sz="8" w:color="auto"/>
            </w:tcBorders>
            <w:shd w:val="clear" w:color="auto" w:fill="DEEBF7"/>
          </w:tcPr>
          <w:p>
            <w:pPr>
              <w:spacing w:after="0"/>
              <w:rPr>
                <w:sz w:val="17"/>
                <w:szCs w:val="17"/>
                <w:color w:val="auto"/>
              </w:rPr>
            </w:pPr>
          </w:p>
        </w:tc>
        <w:tc>
          <w:tcPr>
            <w:tcW w:w="1360" w:type="dxa"/>
            <w:vAlign w:val="bottom"/>
            <w:tcBorders>
              <w:bottom w:val="single" w:sz="8" w:color="auto"/>
            </w:tcBorders>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268,645</w:t>
            </w:r>
          </w:p>
        </w:tc>
        <w:tc>
          <w:tcPr>
            <w:tcW w:w="180" w:type="dxa"/>
            <w:vAlign w:val="bottom"/>
            <w:tcBorders>
              <w:bottom w:val="single" w:sz="8" w:color="DEEBF7"/>
            </w:tcBorders>
            <w:shd w:val="clear" w:color="auto" w:fill="DEEBF7"/>
          </w:tcPr>
          <w:p>
            <w:pPr>
              <w:spacing w:after="0"/>
              <w:rPr>
                <w:sz w:val="17"/>
                <w:szCs w:val="17"/>
                <w:color w:val="auto"/>
              </w:rPr>
            </w:pPr>
          </w:p>
        </w:tc>
        <w:tc>
          <w:tcPr>
            <w:tcW w:w="480" w:type="dxa"/>
            <w:vAlign w:val="bottom"/>
            <w:tcBorders>
              <w:bottom w:val="single" w:sz="8" w:color="auto"/>
            </w:tcBorders>
            <w:shd w:val="clear" w:color="auto" w:fill="DEEBF7"/>
          </w:tcPr>
          <w:p>
            <w:pPr>
              <w:spacing w:after="0"/>
              <w:rPr>
                <w:sz w:val="17"/>
                <w:szCs w:val="17"/>
                <w:color w:val="auto"/>
              </w:rPr>
            </w:pPr>
          </w:p>
        </w:tc>
        <w:tc>
          <w:tcPr>
            <w:tcW w:w="1180" w:type="dxa"/>
            <w:vAlign w:val="bottom"/>
            <w:tcBorders>
              <w:bottom w:val="single" w:sz="8" w:color="auto"/>
            </w:tcBorders>
            <w:shd w:val="clear" w:color="auto" w:fill="DEEBF7"/>
          </w:tcPr>
          <w:p>
            <w:pPr>
              <w:jc w:val="right"/>
              <w:ind w:right="32"/>
              <w:spacing w:after="0" w:line="202" w:lineRule="exact"/>
              <w:rPr>
                <w:sz w:val="20"/>
                <w:szCs w:val="20"/>
                <w:color w:val="auto"/>
              </w:rPr>
            </w:pPr>
            <w:r>
              <w:rPr>
                <w:rFonts w:ascii="Arial" w:cs="Arial" w:eastAsia="Arial" w:hAnsi="Arial"/>
                <w:sz w:val="18"/>
                <w:szCs w:val="18"/>
                <w:color w:val="auto"/>
              </w:rPr>
              <w:t>251,508</w:t>
            </w:r>
          </w:p>
        </w:tc>
      </w:tr>
      <w:tr>
        <w:trPr>
          <w:trHeight w:val="196"/>
        </w:trPr>
        <w:tc>
          <w:tcPr>
            <w:tcW w:w="666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net sales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1,496,732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1,493,399</w:t>
            </w:r>
          </w:p>
        </w:tc>
      </w:tr>
      <w:tr>
        <w:trPr>
          <w:trHeight w:val="203"/>
        </w:trPr>
        <w:tc>
          <w:tcPr>
            <w:tcW w:w="6660" w:type="dxa"/>
            <w:vAlign w:val="bottom"/>
            <w:shd w:val="clear" w:color="auto" w:fill="DEEBF7"/>
          </w:tcPr>
          <w:p>
            <w:pPr>
              <w:spacing w:after="0" w:line="202" w:lineRule="exact"/>
              <w:rPr>
                <w:sz w:val="20"/>
                <w:szCs w:val="20"/>
                <w:color w:val="auto"/>
              </w:rPr>
            </w:pPr>
            <w:r>
              <w:rPr>
                <w:rFonts w:ascii="Arial" w:cs="Arial" w:eastAsia="Arial" w:hAnsi="Arial"/>
                <w:sz w:val="18"/>
                <w:szCs w:val="18"/>
                <w:color w:val="auto"/>
              </w:rPr>
              <w:t>Cost of sales:</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spacing w:after="0"/>
              <w:rPr>
                <w:sz w:val="17"/>
                <w:szCs w:val="17"/>
                <w:color w:val="auto"/>
              </w:rPr>
            </w:pP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Products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757,778</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766,285</w:t>
            </w:r>
          </w:p>
        </w:tc>
      </w:tr>
      <w:tr>
        <w:trPr>
          <w:trHeight w:val="203"/>
        </w:trPr>
        <w:tc>
          <w:tcPr>
            <w:tcW w:w="6660" w:type="dxa"/>
            <w:vAlign w:val="bottom"/>
            <w:tcBorders>
              <w:bottom w:val="single" w:sz="8" w:color="DEEBF7"/>
            </w:tcBorders>
            <w:shd w:val="clear" w:color="auto" w:fill="DEEBF7"/>
          </w:tcPr>
          <w:p>
            <w:pPr>
              <w:ind w:left="100"/>
              <w:spacing w:after="0" w:line="202" w:lineRule="exact"/>
              <w:rPr>
                <w:sz w:val="20"/>
                <w:szCs w:val="20"/>
                <w:color w:val="auto"/>
              </w:rPr>
            </w:pPr>
            <w:r>
              <w:rPr>
                <w:rFonts w:ascii="Arial" w:cs="Arial" w:eastAsia="Arial" w:hAnsi="Arial"/>
                <w:sz w:val="18"/>
                <w:szCs w:val="18"/>
                <w:color w:val="auto"/>
              </w:rPr>
              <w:t>Services and other</w:t>
            </w:r>
          </w:p>
        </w:tc>
        <w:tc>
          <w:tcPr>
            <w:tcW w:w="1060" w:type="dxa"/>
            <w:vAlign w:val="bottom"/>
            <w:tcBorders>
              <w:bottom w:val="single" w:sz="8" w:color="DEEBF7"/>
            </w:tcBorders>
            <w:shd w:val="clear" w:color="auto" w:fill="DEEBF7"/>
          </w:tcPr>
          <w:p>
            <w:pPr>
              <w:spacing w:after="0"/>
              <w:rPr>
                <w:sz w:val="17"/>
                <w:szCs w:val="17"/>
                <w:color w:val="auto"/>
              </w:rPr>
            </w:pPr>
          </w:p>
        </w:tc>
        <w:tc>
          <w:tcPr>
            <w:tcW w:w="320" w:type="dxa"/>
            <w:vAlign w:val="bottom"/>
            <w:tcBorders>
              <w:bottom w:val="single" w:sz="8" w:color="auto"/>
            </w:tcBorders>
            <w:shd w:val="clear" w:color="auto" w:fill="DEEBF7"/>
          </w:tcPr>
          <w:p>
            <w:pPr>
              <w:spacing w:after="0"/>
              <w:rPr>
                <w:sz w:val="17"/>
                <w:szCs w:val="17"/>
                <w:color w:val="auto"/>
              </w:rPr>
            </w:pPr>
          </w:p>
        </w:tc>
        <w:tc>
          <w:tcPr>
            <w:tcW w:w="1360" w:type="dxa"/>
            <w:vAlign w:val="bottom"/>
            <w:tcBorders>
              <w:bottom w:val="single" w:sz="8" w:color="auto"/>
            </w:tcBorders>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164,529</w:t>
            </w:r>
          </w:p>
        </w:tc>
        <w:tc>
          <w:tcPr>
            <w:tcW w:w="180" w:type="dxa"/>
            <w:vAlign w:val="bottom"/>
            <w:tcBorders>
              <w:bottom w:val="single" w:sz="8" w:color="DEEBF7"/>
            </w:tcBorders>
            <w:shd w:val="clear" w:color="auto" w:fill="DEEBF7"/>
          </w:tcPr>
          <w:p>
            <w:pPr>
              <w:spacing w:after="0"/>
              <w:rPr>
                <w:sz w:val="17"/>
                <w:szCs w:val="17"/>
                <w:color w:val="auto"/>
              </w:rPr>
            </w:pPr>
          </w:p>
        </w:tc>
        <w:tc>
          <w:tcPr>
            <w:tcW w:w="480" w:type="dxa"/>
            <w:vAlign w:val="bottom"/>
            <w:tcBorders>
              <w:bottom w:val="single" w:sz="8" w:color="auto"/>
            </w:tcBorders>
            <w:shd w:val="clear" w:color="auto" w:fill="DEEBF7"/>
          </w:tcPr>
          <w:p>
            <w:pPr>
              <w:spacing w:after="0"/>
              <w:rPr>
                <w:sz w:val="17"/>
                <w:szCs w:val="17"/>
                <w:color w:val="auto"/>
              </w:rPr>
            </w:pPr>
          </w:p>
        </w:tc>
        <w:tc>
          <w:tcPr>
            <w:tcW w:w="1180" w:type="dxa"/>
            <w:vAlign w:val="bottom"/>
            <w:tcBorders>
              <w:bottom w:val="single" w:sz="8" w:color="auto"/>
            </w:tcBorders>
            <w:shd w:val="clear" w:color="auto" w:fill="DEEBF7"/>
          </w:tcPr>
          <w:p>
            <w:pPr>
              <w:jc w:val="right"/>
              <w:ind w:right="32"/>
              <w:spacing w:after="0" w:line="202" w:lineRule="exact"/>
              <w:rPr>
                <w:sz w:val="20"/>
                <w:szCs w:val="20"/>
                <w:color w:val="auto"/>
              </w:rPr>
            </w:pPr>
            <w:r>
              <w:rPr>
                <w:rFonts w:ascii="Arial" w:cs="Arial" w:eastAsia="Arial" w:hAnsi="Arial"/>
                <w:sz w:val="18"/>
                <w:szCs w:val="18"/>
                <w:color w:val="auto"/>
              </w:rPr>
              <w:t>157,146</w:t>
            </w:r>
          </w:p>
        </w:tc>
      </w:tr>
      <w:tr>
        <w:trPr>
          <w:trHeight w:val="196"/>
        </w:trPr>
        <w:tc>
          <w:tcPr>
            <w:tcW w:w="6660" w:type="dxa"/>
            <w:vAlign w:val="bottom"/>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922,307</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923,431</w:t>
            </w:r>
          </w:p>
        </w:tc>
      </w:tr>
      <w:tr>
        <w:trPr>
          <w:trHeight w:val="196"/>
        </w:trPr>
        <w:tc>
          <w:tcPr>
            <w:tcW w:w="6660" w:type="dxa"/>
            <w:vAlign w:val="bottom"/>
            <w:shd w:val="clear" w:color="auto" w:fill="DEEBF7"/>
          </w:tcPr>
          <w:p>
            <w:pPr>
              <w:ind w:left="400"/>
              <w:spacing w:after="0" w:line="196" w:lineRule="exact"/>
              <w:rPr>
                <w:sz w:val="20"/>
                <w:szCs w:val="20"/>
                <w:color w:val="auto"/>
              </w:rPr>
            </w:pPr>
            <w:r>
              <w:rPr>
                <w:rFonts w:ascii="Arial" w:cs="Arial" w:eastAsia="Arial" w:hAnsi="Arial"/>
                <w:sz w:val="18"/>
                <w:szCs w:val="18"/>
                <w:b w:val="1"/>
                <w:bCs w:val="1"/>
                <w:color w:val="auto"/>
              </w:rPr>
              <w:t>Gross profit</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jc w:val="right"/>
              <w:ind w:right="52"/>
              <w:spacing w:after="0" w:line="196" w:lineRule="exact"/>
              <w:rPr>
                <w:sz w:val="20"/>
                <w:szCs w:val="20"/>
                <w:color w:val="auto"/>
              </w:rPr>
            </w:pPr>
            <w:r>
              <w:rPr>
                <w:rFonts w:ascii="Arial" w:cs="Arial" w:eastAsia="Arial" w:hAnsi="Arial"/>
                <w:sz w:val="18"/>
                <w:szCs w:val="18"/>
                <w:b w:val="1"/>
                <w:bCs w:val="1"/>
                <w:color w:val="auto"/>
              </w:rPr>
              <w:t>574,425</w:t>
            </w: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2"/>
              <w:spacing w:after="0" w:line="196" w:lineRule="exact"/>
              <w:rPr>
                <w:sz w:val="20"/>
                <w:szCs w:val="20"/>
                <w:color w:val="auto"/>
              </w:rPr>
            </w:pPr>
            <w:r>
              <w:rPr>
                <w:rFonts w:ascii="Arial" w:cs="Arial" w:eastAsia="Arial" w:hAnsi="Arial"/>
                <w:sz w:val="18"/>
                <w:szCs w:val="18"/>
                <w:b w:val="1"/>
                <w:bCs w:val="1"/>
                <w:color w:val="auto"/>
              </w:rPr>
              <w:t>569,968</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549,799</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553,609</w:t>
            </w:r>
          </w:p>
        </w:tc>
      </w:tr>
      <w:tr>
        <w:trPr>
          <w:trHeight w:val="196"/>
        </w:trPr>
        <w:tc>
          <w:tcPr>
            <w:tcW w:w="6660" w:type="dxa"/>
            <w:vAlign w:val="bottom"/>
            <w:shd w:val="clear" w:color="auto" w:fill="DEEBF7"/>
          </w:tcPr>
          <w:p>
            <w:pPr>
              <w:ind w:left="400"/>
              <w:spacing w:after="0" w:line="196" w:lineRule="exact"/>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jc w:val="right"/>
              <w:ind w:right="52"/>
              <w:spacing w:after="0" w:line="196" w:lineRule="exact"/>
              <w:rPr>
                <w:sz w:val="20"/>
                <w:szCs w:val="20"/>
                <w:color w:val="auto"/>
              </w:rPr>
            </w:pPr>
            <w:r>
              <w:rPr>
                <w:rFonts w:ascii="Arial" w:cs="Arial" w:eastAsia="Arial" w:hAnsi="Arial"/>
                <w:sz w:val="18"/>
                <w:szCs w:val="18"/>
                <w:b w:val="1"/>
                <w:bCs w:val="1"/>
                <w:color w:val="auto"/>
              </w:rPr>
              <w:t>24,626</w:t>
            </w: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2"/>
              <w:spacing w:after="0" w:line="196" w:lineRule="exact"/>
              <w:rPr>
                <w:sz w:val="20"/>
                <w:szCs w:val="20"/>
                <w:color w:val="auto"/>
              </w:rPr>
            </w:pPr>
            <w:r>
              <w:rPr>
                <w:rFonts w:ascii="Arial" w:cs="Arial" w:eastAsia="Arial" w:hAnsi="Arial"/>
                <w:sz w:val="18"/>
                <w:szCs w:val="18"/>
                <w:b w:val="1"/>
                <w:bCs w:val="1"/>
                <w:color w:val="auto"/>
              </w:rPr>
              <w:t>16,359</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(1,497)</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(1,359)</w:t>
            </w:r>
          </w:p>
        </w:tc>
      </w:tr>
      <w:tr>
        <w:trPr>
          <w:trHeight w:val="203"/>
        </w:trPr>
        <w:tc>
          <w:tcPr>
            <w:tcW w:w="6660" w:type="dxa"/>
            <w:vAlign w:val="bottom"/>
            <w:shd w:val="clear" w:color="auto" w:fill="DEEBF7"/>
          </w:tcPr>
          <w:p>
            <w:pPr>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32,785</w:t>
            </w: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2"/>
              <w:spacing w:after="0" w:line="202" w:lineRule="exact"/>
              <w:rPr>
                <w:sz w:val="20"/>
                <w:szCs w:val="20"/>
                <w:color w:val="auto"/>
              </w:rPr>
            </w:pPr>
            <w:r>
              <w:rPr>
                <w:rFonts w:ascii="Arial" w:cs="Arial" w:eastAsia="Arial" w:hAnsi="Arial"/>
                <w:sz w:val="18"/>
                <w:szCs w:val="18"/>
                <w:color w:val="auto"/>
              </w:rPr>
              <w:t>33,494</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Loss on extinguishment and modification of debt</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11,840</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77"/>
        </w:trPr>
        <w:tc>
          <w:tcPr>
            <w:tcW w:w="6660" w:type="dxa"/>
            <w:vAlign w:val="bottom"/>
            <w:shd w:val="clear" w:color="auto" w:fill="DEEBF7"/>
          </w:tcPr>
          <w:p>
            <w:pPr>
              <w:ind w:left="400"/>
              <w:spacing w:after="0" w:line="177" w:lineRule="exact"/>
              <w:rPr>
                <w:sz w:val="20"/>
                <w:szCs w:val="20"/>
                <w:color w:val="auto"/>
              </w:rPr>
            </w:pPr>
            <w:r>
              <w:rPr>
                <w:rFonts w:ascii="Arial" w:cs="Arial" w:eastAsia="Arial" w:hAnsi="Arial"/>
                <w:sz w:val="18"/>
                <w:szCs w:val="18"/>
                <w:b w:val="1"/>
                <w:bCs w:val="1"/>
                <w:color w:val="auto"/>
              </w:rPr>
              <w:t>Loss before income taxes and income from equity</w:t>
            </w:r>
          </w:p>
        </w:tc>
        <w:tc>
          <w:tcPr>
            <w:tcW w:w="1060" w:type="dxa"/>
            <w:vAlign w:val="bottom"/>
            <w:shd w:val="clear" w:color="auto" w:fill="DEEBF7"/>
          </w:tcPr>
          <w:p>
            <w:pPr>
              <w:spacing w:after="0"/>
              <w:rPr>
                <w:sz w:val="15"/>
                <w:szCs w:val="15"/>
                <w:color w:val="auto"/>
              </w:rPr>
            </w:pPr>
          </w:p>
        </w:tc>
        <w:tc>
          <w:tcPr>
            <w:tcW w:w="320" w:type="dxa"/>
            <w:vAlign w:val="bottom"/>
            <w:shd w:val="clear" w:color="auto" w:fill="DEEBF7"/>
          </w:tcPr>
          <w:p>
            <w:pPr>
              <w:spacing w:after="0"/>
              <w:rPr>
                <w:sz w:val="15"/>
                <w:szCs w:val="15"/>
                <w:color w:val="auto"/>
              </w:rPr>
            </w:pPr>
          </w:p>
        </w:tc>
        <w:tc>
          <w:tcPr>
            <w:tcW w:w="1360" w:type="dxa"/>
            <w:vAlign w:val="bottom"/>
            <w:shd w:val="clear" w:color="auto" w:fill="DEEBF7"/>
          </w:tcPr>
          <w:p>
            <w:pPr>
              <w:spacing w:after="0"/>
              <w:rPr>
                <w:sz w:val="15"/>
                <w:szCs w:val="15"/>
                <w:color w:val="auto"/>
              </w:rPr>
            </w:pPr>
          </w:p>
        </w:tc>
        <w:tc>
          <w:tcPr>
            <w:tcW w:w="180" w:type="dxa"/>
            <w:vAlign w:val="bottom"/>
            <w:shd w:val="clear" w:color="auto" w:fill="DEEBF7"/>
          </w:tcPr>
          <w:p>
            <w:pPr>
              <w:spacing w:after="0"/>
              <w:rPr>
                <w:sz w:val="15"/>
                <w:szCs w:val="15"/>
                <w:color w:val="auto"/>
              </w:rPr>
            </w:pPr>
          </w:p>
        </w:tc>
        <w:tc>
          <w:tcPr>
            <w:tcW w:w="480" w:type="dxa"/>
            <w:vAlign w:val="bottom"/>
            <w:shd w:val="clear" w:color="auto" w:fill="DEEBF7"/>
          </w:tcPr>
          <w:p>
            <w:pPr>
              <w:spacing w:after="0"/>
              <w:rPr>
                <w:sz w:val="15"/>
                <w:szCs w:val="15"/>
                <w:color w:val="auto"/>
              </w:rPr>
            </w:pPr>
          </w:p>
        </w:tc>
        <w:tc>
          <w:tcPr>
            <w:tcW w:w="1180" w:type="dxa"/>
            <w:vAlign w:val="bottom"/>
            <w:shd w:val="clear" w:color="auto" w:fill="DEEBF7"/>
          </w:tcPr>
          <w:p>
            <w:pPr>
              <w:spacing w:after="0"/>
              <w:rPr>
                <w:sz w:val="15"/>
                <w:szCs w:val="15"/>
                <w:color w:val="auto"/>
              </w:rPr>
            </w:pPr>
          </w:p>
        </w:tc>
      </w:tr>
      <w:tr>
        <w:trPr>
          <w:trHeight w:val="221"/>
        </w:trPr>
        <w:tc>
          <w:tcPr>
            <w:tcW w:w="6660" w:type="dxa"/>
            <w:vAlign w:val="bottom"/>
            <w:shd w:val="clear" w:color="auto" w:fill="DEEBF7"/>
          </w:tcPr>
          <w:p>
            <w:pPr>
              <w:ind w:left="540"/>
              <w:spacing w:after="0"/>
              <w:rPr>
                <w:sz w:val="20"/>
                <w:szCs w:val="20"/>
                <w:color w:val="auto"/>
              </w:rPr>
            </w:pPr>
            <w:r>
              <w:rPr>
                <w:rFonts w:ascii="Arial" w:cs="Arial" w:eastAsia="Arial" w:hAnsi="Arial"/>
                <w:sz w:val="18"/>
                <w:szCs w:val="18"/>
                <w:b w:val="1"/>
                <w:bCs w:val="1"/>
                <w:color w:val="auto"/>
              </w:rPr>
              <w:t>method investees</w:t>
            </w:r>
          </w:p>
        </w:tc>
        <w:tc>
          <w:tcPr>
            <w:tcW w:w="1060" w:type="dxa"/>
            <w:vAlign w:val="bottom"/>
            <w:shd w:val="clear" w:color="auto" w:fill="DEEBF7"/>
          </w:tcPr>
          <w:p>
            <w:pPr>
              <w:spacing w:after="0"/>
              <w:rPr>
                <w:sz w:val="19"/>
                <w:szCs w:val="19"/>
                <w:color w:val="auto"/>
              </w:rPr>
            </w:pPr>
          </w:p>
        </w:tc>
        <w:tc>
          <w:tcPr>
            <w:tcW w:w="320" w:type="dxa"/>
            <w:vAlign w:val="bottom"/>
            <w:shd w:val="clear" w:color="auto" w:fill="DEEBF7"/>
          </w:tcPr>
          <w:p>
            <w:pPr>
              <w:spacing w:after="0"/>
              <w:rPr>
                <w:sz w:val="19"/>
                <w:szCs w:val="19"/>
                <w:color w:val="auto"/>
              </w:rPr>
            </w:pPr>
          </w:p>
        </w:tc>
        <w:tc>
          <w:tcPr>
            <w:tcW w:w="1360" w:type="dxa"/>
            <w:vAlign w:val="bottom"/>
            <w:shd w:val="clear" w:color="auto" w:fill="DEEBF7"/>
          </w:tcPr>
          <w:p>
            <w:pPr>
              <w:jc w:val="right"/>
              <w:spacing w:after="0"/>
              <w:rPr>
                <w:sz w:val="20"/>
                <w:szCs w:val="20"/>
                <w:color w:val="auto"/>
              </w:rPr>
            </w:pPr>
            <w:r>
              <w:rPr>
                <w:rFonts w:ascii="Arial" w:cs="Arial" w:eastAsia="Arial" w:hAnsi="Arial"/>
                <w:sz w:val="18"/>
                <w:szCs w:val="18"/>
                <w:b w:val="1"/>
                <w:bCs w:val="1"/>
                <w:color w:val="auto"/>
              </w:rPr>
              <w:t>(18,502)</w:t>
            </w:r>
          </w:p>
        </w:tc>
        <w:tc>
          <w:tcPr>
            <w:tcW w:w="180" w:type="dxa"/>
            <w:vAlign w:val="bottom"/>
            <w:shd w:val="clear" w:color="auto" w:fill="DEEBF7"/>
          </w:tcPr>
          <w:p>
            <w:pPr>
              <w:spacing w:after="0"/>
              <w:rPr>
                <w:sz w:val="19"/>
                <w:szCs w:val="19"/>
                <w:color w:val="auto"/>
              </w:rPr>
            </w:pPr>
          </w:p>
        </w:tc>
        <w:tc>
          <w:tcPr>
            <w:tcW w:w="480" w:type="dxa"/>
            <w:vAlign w:val="bottom"/>
            <w:shd w:val="clear" w:color="auto" w:fill="DEEBF7"/>
          </w:tcPr>
          <w:p>
            <w:pPr>
              <w:spacing w:after="0"/>
              <w:rPr>
                <w:sz w:val="19"/>
                <w:szCs w:val="19"/>
                <w:color w:val="auto"/>
              </w:rPr>
            </w:pPr>
          </w:p>
        </w:tc>
        <w:tc>
          <w:tcPr>
            <w:tcW w:w="1180" w:type="dxa"/>
            <w:vAlign w:val="bottom"/>
            <w:shd w:val="clear" w:color="auto" w:fill="DEEBF7"/>
          </w:tcPr>
          <w:p>
            <w:pPr>
              <w:jc w:val="right"/>
              <w:spacing w:after="0"/>
              <w:rPr>
                <w:sz w:val="20"/>
                <w:szCs w:val="20"/>
                <w:color w:val="auto"/>
              </w:rPr>
            </w:pPr>
            <w:r>
              <w:rPr>
                <w:rFonts w:ascii="Arial" w:cs="Arial" w:eastAsia="Arial" w:hAnsi="Arial"/>
                <w:sz w:val="18"/>
                <w:szCs w:val="18"/>
                <w:b w:val="1"/>
                <w:bCs w:val="1"/>
                <w:color w:val="auto"/>
              </w:rPr>
              <w:t>(15,776)</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2,199</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495</w:t>
            </w:r>
          </w:p>
        </w:tc>
      </w:tr>
      <w:tr>
        <w:trPr>
          <w:trHeight w:val="202"/>
        </w:trPr>
        <w:tc>
          <w:tcPr>
            <w:tcW w:w="6660" w:type="dxa"/>
            <w:vAlign w:val="bottom"/>
            <w:tcBorders>
              <w:bottom w:val="single" w:sz="8" w:color="DEEBF7"/>
            </w:tcBorders>
            <w:shd w:val="clear" w:color="auto" w:fill="DEEBF7"/>
          </w:tcPr>
          <w:p>
            <w:pPr>
              <w:spacing w:after="0" w:line="202" w:lineRule="exact"/>
              <w:rPr>
                <w:sz w:val="20"/>
                <w:szCs w:val="20"/>
                <w:color w:val="auto"/>
              </w:rPr>
            </w:pPr>
            <w:r>
              <w:rPr>
                <w:rFonts w:ascii="Arial" w:cs="Arial" w:eastAsia="Arial" w:hAnsi="Arial"/>
                <w:sz w:val="18"/>
                <w:szCs w:val="18"/>
                <w:color w:val="auto"/>
              </w:rPr>
              <w:t>Income from equity method investees</w:t>
            </w:r>
          </w:p>
        </w:tc>
        <w:tc>
          <w:tcPr>
            <w:tcW w:w="1060" w:type="dxa"/>
            <w:vAlign w:val="bottom"/>
            <w:tcBorders>
              <w:bottom w:val="single" w:sz="8" w:color="DEEBF7"/>
            </w:tcBorders>
            <w:shd w:val="clear" w:color="auto" w:fill="DEEBF7"/>
          </w:tcPr>
          <w:p>
            <w:pPr>
              <w:spacing w:after="0"/>
              <w:rPr>
                <w:sz w:val="17"/>
                <w:szCs w:val="17"/>
                <w:color w:val="auto"/>
              </w:rPr>
            </w:pPr>
          </w:p>
        </w:tc>
        <w:tc>
          <w:tcPr>
            <w:tcW w:w="320" w:type="dxa"/>
            <w:vAlign w:val="bottom"/>
            <w:tcBorders>
              <w:bottom w:val="single" w:sz="8" w:color="auto"/>
            </w:tcBorders>
            <w:shd w:val="clear" w:color="auto" w:fill="DEEBF7"/>
          </w:tcPr>
          <w:p>
            <w:pPr>
              <w:spacing w:after="0"/>
              <w:rPr>
                <w:sz w:val="17"/>
                <w:szCs w:val="17"/>
                <w:color w:val="auto"/>
              </w:rPr>
            </w:pPr>
          </w:p>
        </w:tc>
        <w:tc>
          <w:tcPr>
            <w:tcW w:w="1360" w:type="dxa"/>
            <w:vAlign w:val="bottom"/>
            <w:tcBorders>
              <w:bottom w:val="single" w:sz="8" w:color="auto"/>
            </w:tcBorders>
            <w:shd w:val="clear" w:color="auto" w:fill="DEEBF7"/>
          </w:tcPr>
          <w:p>
            <w:pPr>
              <w:jc w:val="right"/>
              <w:spacing w:after="0" w:line="202" w:lineRule="exact"/>
              <w:rPr>
                <w:sz w:val="20"/>
                <w:szCs w:val="20"/>
                <w:color w:val="auto"/>
              </w:rPr>
            </w:pPr>
            <w:r>
              <w:rPr>
                <w:rFonts w:ascii="Arial" w:cs="Arial" w:eastAsia="Arial" w:hAnsi="Arial"/>
                <w:sz w:val="18"/>
                <w:szCs w:val="18"/>
                <w:color w:val="auto"/>
              </w:rPr>
              <w:t>(5,555)</w:t>
            </w:r>
          </w:p>
        </w:tc>
        <w:tc>
          <w:tcPr>
            <w:tcW w:w="180" w:type="dxa"/>
            <w:vAlign w:val="bottom"/>
            <w:tcBorders>
              <w:bottom w:val="single" w:sz="8" w:color="DEEBF7"/>
            </w:tcBorders>
            <w:shd w:val="clear" w:color="auto" w:fill="DEEBF7"/>
          </w:tcPr>
          <w:p>
            <w:pPr>
              <w:spacing w:after="0"/>
              <w:rPr>
                <w:sz w:val="17"/>
                <w:szCs w:val="17"/>
                <w:color w:val="auto"/>
              </w:rPr>
            </w:pPr>
          </w:p>
        </w:tc>
        <w:tc>
          <w:tcPr>
            <w:tcW w:w="480" w:type="dxa"/>
            <w:vAlign w:val="bottom"/>
            <w:tcBorders>
              <w:bottom w:val="single" w:sz="8" w:color="auto"/>
            </w:tcBorders>
            <w:shd w:val="clear" w:color="auto" w:fill="DEEBF7"/>
          </w:tcPr>
          <w:p>
            <w:pPr>
              <w:spacing w:after="0"/>
              <w:rPr>
                <w:sz w:val="17"/>
                <w:szCs w:val="17"/>
                <w:color w:val="auto"/>
              </w:rPr>
            </w:pPr>
          </w:p>
        </w:tc>
        <w:tc>
          <w:tcPr>
            <w:tcW w:w="1180" w:type="dxa"/>
            <w:vAlign w:val="bottom"/>
            <w:tcBorders>
              <w:bottom w:val="single" w:sz="8" w:color="auto"/>
            </w:tcBorders>
            <w:shd w:val="clear" w:color="auto" w:fill="DEEBF7"/>
          </w:tcPr>
          <w:p>
            <w:pPr>
              <w:jc w:val="right"/>
              <w:spacing w:after="0" w:line="202" w:lineRule="exact"/>
              <w:rPr>
                <w:sz w:val="20"/>
                <w:szCs w:val="20"/>
                <w:color w:val="auto"/>
              </w:rPr>
            </w:pPr>
            <w:r>
              <w:rPr>
                <w:rFonts w:ascii="Arial" w:cs="Arial" w:eastAsia="Arial" w:hAnsi="Arial"/>
                <w:sz w:val="18"/>
                <w:szCs w:val="18"/>
                <w:color w:val="auto"/>
              </w:rPr>
              <w:t>(4,610)</w:t>
            </w:r>
          </w:p>
        </w:tc>
      </w:tr>
      <w:tr>
        <w:trPr>
          <w:trHeight w:val="177"/>
        </w:trPr>
        <w:tc>
          <w:tcPr>
            <w:tcW w:w="6660" w:type="dxa"/>
            <w:vAlign w:val="bottom"/>
          </w:tcPr>
          <w:p>
            <w:pPr>
              <w:ind w:left="400"/>
              <w:spacing w:after="0" w:line="177" w:lineRule="exact"/>
              <w:rPr>
                <w:sz w:val="20"/>
                <w:szCs w:val="20"/>
                <w:color w:val="auto"/>
              </w:rPr>
            </w:pPr>
            <w:r>
              <w:rPr>
                <w:rFonts w:ascii="Arial" w:cs="Arial" w:eastAsia="Arial" w:hAnsi="Arial"/>
                <w:sz w:val="18"/>
                <w:szCs w:val="18"/>
                <w:b w:val="1"/>
                <w:bCs w:val="1"/>
                <w:color w:val="auto"/>
              </w:rPr>
              <w:t>Net loss attributable to Class A and B-1 common</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1"/>
        </w:trPr>
        <w:tc>
          <w:tcPr>
            <w:tcW w:w="6660" w:type="dxa"/>
            <w:vAlign w:val="bottom"/>
          </w:tcPr>
          <w:p>
            <w:pPr>
              <w:ind w:left="540"/>
              <w:spacing w:after="0"/>
              <w:rPr>
                <w:sz w:val="20"/>
                <w:szCs w:val="20"/>
                <w:color w:val="auto"/>
              </w:rPr>
            </w:pPr>
            <w:r>
              <w:rPr>
                <w:rFonts w:ascii="Arial" w:cs="Arial" w:eastAsia="Arial" w:hAnsi="Arial"/>
                <w:sz w:val="18"/>
                <w:szCs w:val="18"/>
                <w:b w:val="1"/>
                <w:bCs w:val="1"/>
                <w:color w:val="auto"/>
              </w:rPr>
              <w:t>stockholders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(15,146)</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(11,661)</w:t>
            </w:r>
          </w:p>
        </w:tc>
      </w:tr>
      <w:tr>
        <w:trPr>
          <w:trHeight w:val="203"/>
        </w:trPr>
        <w:tc>
          <w:tcPr>
            <w:tcW w:w="6660" w:type="dxa"/>
            <w:vAlign w:val="bottom"/>
            <w:shd w:val="clear" w:color="auto" w:fill="DEEBF7"/>
          </w:tcPr>
          <w:p>
            <w:pPr>
              <w:spacing w:after="0"/>
              <w:rPr>
                <w:sz w:val="17"/>
                <w:szCs w:val="17"/>
                <w:color w:val="auto"/>
              </w:rPr>
            </w:pP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b w:val="1"/>
                <w:bCs w:val="1"/>
                <w:color w:val="auto"/>
              </w:rPr>
              <w:t>Net loss per Class A and B-1 common share: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6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DEEBF7"/>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(0.05)</w:t>
            </w:r>
          </w:p>
        </w:tc>
        <w:tc>
          <w:tcPr>
            <w:tcW w:w="660" w:type="dxa"/>
            <w:vAlign w:val="bottom"/>
            <w:gridSpan w:val="2"/>
            <w:shd w:val="clear" w:color="auto" w:fill="DEEBF7"/>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(0.04)</w:t>
            </w:r>
          </w:p>
        </w:tc>
      </w:tr>
      <w:tr>
        <w:trPr>
          <w:trHeight w:val="203"/>
        </w:trPr>
        <w:tc>
          <w:tcPr>
            <w:tcW w:w="6660" w:type="dxa"/>
            <w:vAlign w:val="bottom"/>
          </w:tcPr>
          <w:p>
            <w:pPr>
              <w:ind w:left="400"/>
              <w:spacing w:after="0" w:line="202" w:lineRule="exact"/>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6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r>
      <w:tr>
        <w:trPr>
          <w:trHeight w:val="203"/>
        </w:trPr>
        <w:tc>
          <w:tcPr>
            <w:tcW w:w="6660" w:type="dxa"/>
            <w:vAlign w:val="bottom"/>
            <w:shd w:val="clear" w:color="auto" w:fill="DEEBF7"/>
          </w:tcPr>
          <w:p>
            <w:pPr>
              <w:spacing w:after="0"/>
              <w:rPr>
                <w:sz w:val="17"/>
                <w:szCs w:val="17"/>
                <w:color w:val="auto"/>
              </w:rPr>
            </w:pP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spacing w:after="0"/>
              <w:rPr>
                <w:sz w:val="17"/>
                <w:szCs w:val="17"/>
                <w:color w:val="auto"/>
              </w:rPr>
            </w:pPr>
          </w:p>
        </w:tc>
      </w:tr>
      <w:tr>
        <w:trPr>
          <w:trHeight w:val="184"/>
        </w:trPr>
        <w:tc>
          <w:tcPr>
            <w:tcW w:w="6660" w:type="dxa"/>
            <w:vAlign w:val="bottom"/>
          </w:tcPr>
          <w:p>
            <w:pPr>
              <w:spacing w:after="0" w:line="183" w:lineRule="exact"/>
              <w:rPr>
                <w:sz w:val="20"/>
                <w:szCs w:val="20"/>
                <w:color w:val="auto"/>
              </w:rPr>
            </w:pPr>
            <w:r>
              <w:rPr>
                <w:rFonts w:ascii="Arial" w:cs="Arial" w:eastAsia="Arial" w:hAnsi="Arial"/>
                <w:sz w:val="18"/>
                <w:szCs w:val="18"/>
                <w:b w:val="1"/>
                <w:bCs w:val="1"/>
                <w:color w:val="auto"/>
              </w:rPr>
              <w:t>Weighted average shares used in computing net loss per Class A</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1"/>
        </w:trPr>
        <w:tc>
          <w:tcPr>
            <w:tcW w:w="6660" w:type="dxa"/>
            <w:vAlign w:val="bottom"/>
          </w:tcPr>
          <w:p>
            <w:pPr>
              <w:ind w:left="160"/>
              <w:spacing w:after="0"/>
              <w:rPr>
                <w:sz w:val="20"/>
                <w:szCs w:val="20"/>
                <w:color w:val="auto"/>
              </w:rPr>
            </w:pPr>
            <w:r>
              <w:rPr>
                <w:rFonts w:ascii="Arial" w:cs="Arial" w:eastAsia="Arial" w:hAnsi="Arial"/>
                <w:sz w:val="18"/>
                <w:szCs w:val="18"/>
                <w:b w:val="1"/>
                <w:bCs w:val="1"/>
                <w:color w:val="auto"/>
              </w:rPr>
              <w:t>and B-1 common share:</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666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Basic</w:t>
            </w:r>
          </w:p>
        </w:tc>
        <w:tc>
          <w:tcPr>
            <w:tcW w:w="106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360" w:type="dxa"/>
            <w:vAlign w:val="bottom"/>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283,684</w:t>
            </w:r>
          </w:p>
        </w:tc>
        <w:tc>
          <w:tcPr>
            <w:tcW w:w="180" w:type="dxa"/>
            <w:vAlign w:val="bottom"/>
            <w:shd w:val="clear" w:color="auto" w:fill="DEEBF7"/>
          </w:tcPr>
          <w:p>
            <w:pPr>
              <w:spacing w:after="0"/>
              <w:rPr>
                <w:sz w:val="17"/>
                <w:szCs w:val="17"/>
                <w:color w:val="auto"/>
              </w:rPr>
            </w:pPr>
          </w:p>
        </w:tc>
        <w:tc>
          <w:tcPr>
            <w:tcW w:w="48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2"/>
              <w:spacing w:after="0" w:line="202" w:lineRule="exact"/>
              <w:rPr>
                <w:sz w:val="20"/>
                <w:szCs w:val="20"/>
                <w:color w:val="auto"/>
              </w:rPr>
            </w:pPr>
            <w:r>
              <w:rPr>
                <w:rFonts w:ascii="Arial" w:cs="Arial" w:eastAsia="Arial" w:hAnsi="Arial"/>
                <w:sz w:val="18"/>
                <w:szCs w:val="18"/>
                <w:color w:val="auto"/>
              </w:rPr>
              <w:t>277,548</w:t>
            </w:r>
          </w:p>
        </w:tc>
      </w:tr>
      <w:tr>
        <w:trPr>
          <w:trHeight w:val="239"/>
        </w:trPr>
        <w:tc>
          <w:tcPr>
            <w:tcW w:w="666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283,684</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277,548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-3416935</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-2894330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-1445260</wp:posOffset>
            </wp:positionV>
            <wp:extent cx="120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PETCO HEALTH AND WELLNESS COMPANY, INC.</w:t>
      </w:r>
    </w:p>
    <w:p>
      <w:pPr>
        <w:jc w:val="center"/>
        <w:spacing w:after="0" w:line="231" w:lineRule="auto"/>
        <w:rPr>
          <w:sz w:val="20"/>
          <w:szCs w:val="20"/>
          <w:color w:val="auto"/>
        </w:rPr>
      </w:pPr>
      <w:r>
        <w:rPr>
          <w:rFonts w:ascii="Arial" w:cs="Arial" w:eastAsia="Arial" w:hAnsi="Arial"/>
          <w:sz w:val="20"/>
          <w:szCs w:val="20"/>
          <w:b w:val="1"/>
          <w:bCs w:val="1"/>
          <w:color w:val="auto"/>
        </w:rPr>
        <w:t>CONSOLIDATED BALANCE SHEETS</w:t>
      </w:r>
    </w:p>
    <w:p>
      <w:pPr>
        <w:jc w:val="center"/>
        <w:spacing w:after="0" w:line="226" w:lineRule="auto"/>
        <w:rPr>
          <w:sz w:val="20"/>
          <w:szCs w:val="20"/>
          <w:color w:val="auto"/>
        </w:rPr>
      </w:pPr>
      <w:r>
        <w:rPr>
          <w:rFonts w:ascii="Arial" w:cs="Arial" w:eastAsia="Arial" w:hAnsi="Arial"/>
          <w:sz w:val="20"/>
          <w:szCs w:val="20"/>
          <w:color w:val="auto"/>
        </w:rPr>
        <w:t>(In thousands, except per share amounts)</w:t>
      </w:r>
    </w:p>
    <w:p>
      <w:pPr>
        <w:jc w:val="center"/>
        <w:spacing w:after="0"/>
        <w:rPr>
          <w:sz w:val="20"/>
          <w:szCs w:val="20"/>
          <w:color w:val="auto"/>
        </w:rPr>
      </w:pPr>
      <w:r>
        <w:rPr>
          <w:rFonts w:ascii="Arial" w:cs="Arial" w:eastAsia="Arial" w:hAnsi="Arial"/>
          <w:sz w:val="20"/>
          <w:szCs w:val="20"/>
          <w:color w:val="auto"/>
        </w:rPr>
        <w:t>(Unaudited and subject to reclassification)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May 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31,</w:t>
            </w:r>
          </w:p>
        </w:tc>
      </w:tr>
      <w:tr>
        <w:trPr>
          <w:trHeight w:val="203"/>
        </w:trPr>
        <w:tc>
          <w:tcPr>
            <w:tcW w:w="6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r>
      <w:tr>
        <w:trPr>
          <w:trHeight w:val="183"/>
        </w:trPr>
        <w:tc>
          <w:tcPr>
            <w:tcW w:w="6040" w:type="dxa"/>
            <w:vAlign w:val="bottom"/>
            <w:shd w:val="clear" w:color="auto" w:fill="DEEBF7"/>
          </w:tcPr>
          <w:p>
            <w:pPr>
              <w:spacing w:after="0" w:line="183" w:lineRule="exact"/>
              <w:rPr>
                <w:sz w:val="20"/>
                <w:szCs w:val="20"/>
                <w:color w:val="auto"/>
              </w:rPr>
            </w:pPr>
            <w:r>
              <w:rPr>
                <w:rFonts w:ascii="Arial" w:cs="Arial" w:eastAsia="Arial" w:hAnsi="Arial"/>
                <w:sz w:val="16"/>
                <w:szCs w:val="16"/>
                <w:b w:val="1"/>
                <w:bCs w:val="1"/>
                <w:color w:val="auto"/>
              </w:rPr>
              <w:t>ASSETS</w:t>
            </w:r>
          </w:p>
        </w:tc>
        <w:tc>
          <w:tcPr>
            <w:tcW w:w="170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60" w:type="dxa"/>
            <w:vAlign w:val="bottom"/>
            <w:shd w:val="clear" w:color="auto" w:fill="DEEBF7"/>
          </w:tcPr>
          <w:p>
            <w:pPr>
              <w:spacing w:after="0"/>
              <w:rPr>
                <w:sz w:val="15"/>
                <w:szCs w:val="15"/>
                <w:color w:val="auto"/>
              </w:rPr>
            </w:pPr>
          </w:p>
        </w:tc>
        <w:tc>
          <w:tcPr>
            <w:tcW w:w="180" w:type="dxa"/>
            <w:vAlign w:val="bottom"/>
            <w:shd w:val="clear" w:color="auto" w:fill="DEEBF7"/>
          </w:tcPr>
          <w:p>
            <w:pPr>
              <w:spacing w:after="0"/>
              <w:rPr>
                <w:sz w:val="15"/>
                <w:szCs w:val="15"/>
                <w:color w:val="auto"/>
              </w:rPr>
            </w:pPr>
          </w:p>
        </w:tc>
        <w:tc>
          <w:tcPr>
            <w:tcW w:w="200" w:type="dxa"/>
            <w:vAlign w:val="bottom"/>
            <w:shd w:val="clear" w:color="auto" w:fill="DEEBF7"/>
          </w:tcPr>
          <w:p>
            <w:pPr>
              <w:spacing w:after="0"/>
              <w:rPr>
                <w:sz w:val="15"/>
                <w:szCs w:val="15"/>
                <w:color w:val="auto"/>
              </w:rPr>
            </w:pPr>
          </w:p>
        </w:tc>
        <w:tc>
          <w:tcPr>
            <w:tcW w:w="1460" w:type="dxa"/>
            <w:vAlign w:val="bottom"/>
            <w:shd w:val="clear" w:color="auto" w:fill="DEEBF7"/>
          </w:tcPr>
          <w:p>
            <w:pPr>
              <w:spacing w:after="0"/>
              <w:rPr>
                <w:sz w:val="15"/>
                <w:szCs w:val="15"/>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Current assets: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6040" w:type="dxa"/>
            <w:vAlign w:val="bottom"/>
            <w:shd w:val="clear" w:color="auto" w:fill="DEEBF7"/>
          </w:tcPr>
          <w:p>
            <w:pPr>
              <w:ind w:left="140"/>
              <w:spacing w:after="0"/>
              <w:rPr>
                <w:sz w:val="20"/>
                <w:szCs w:val="20"/>
                <w:color w:val="auto"/>
              </w:rPr>
            </w:pPr>
            <w:r>
              <w:rPr>
                <w:rFonts w:ascii="Arial" w:cs="Arial" w:eastAsia="Arial" w:hAnsi="Arial"/>
                <w:sz w:val="16"/>
                <w:szCs w:val="16"/>
                <w:color w:val="auto"/>
              </w:rPr>
              <w:t>Cash and cash equivalents</w:t>
            </w:r>
          </w:p>
        </w:tc>
        <w:tc>
          <w:tcPr>
            <w:tcW w:w="2000" w:type="dxa"/>
            <w:vAlign w:val="bottom"/>
            <w:gridSpan w:val="2"/>
            <w:shd w:val="clear" w:color="auto" w:fill="DEEBF7"/>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166,804</w:t>
            </w:r>
          </w:p>
        </w:tc>
        <w:tc>
          <w:tcPr>
            <w:tcW w:w="380" w:type="dxa"/>
            <w:vAlign w:val="bottom"/>
            <w:gridSpan w:val="2"/>
            <w:shd w:val="clear" w:color="auto" w:fill="DEEBF7"/>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256,736</w:t>
            </w:r>
          </w:p>
        </w:tc>
      </w:tr>
      <w:tr>
        <w:trPr>
          <w:trHeight w:val="189"/>
        </w:trPr>
        <w:tc>
          <w:tcPr>
            <w:tcW w:w="6040" w:type="dxa"/>
            <w:vAlign w:val="bottom"/>
          </w:tcPr>
          <w:p>
            <w:pPr>
              <w:ind w:left="140"/>
              <w:spacing w:after="0" w:line="189" w:lineRule="exact"/>
              <w:rPr>
                <w:sz w:val="20"/>
                <w:szCs w:val="20"/>
                <w:color w:val="auto"/>
              </w:rPr>
            </w:pPr>
            <w:r>
              <w:rPr>
                <w:rFonts w:ascii="Arial" w:cs="Arial" w:eastAsia="Arial" w:hAnsi="Arial"/>
                <w:sz w:val="16"/>
                <w:szCs w:val="16"/>
                <w:color w:val="auto"/>
              </w:rPr>
              <w:t>Receivables, less allowance for credit losses</w:t>
            </w:r>
            <w:r>
              <w:rPr>
                <w:rFonts w:ascii="Arial" w:cs="Arial" w:eastAsia="Arial" w:hAnsi="Arial"/>
                <w:sz w:val="21"/>
                <w:szCs w:val="21"/>
                <w:color w:val="auto"/>
                <w:vertAlign w:val="superscript"/>
              </w:rPr>
              <w:t>1</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36,928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45,812</w:t>
            </w:r>
          </w:p>
        </w:tc>
      </w:tr>
      <w:tr>
        <w:trPr>
          <w:trHeight w:val="189"/>
        </w:trPr>
        <w:tc>
          <w:tcPr>
            <w:tcW w:w="6040" w:type="dxa"/>
            <w:vAlign w:val="bottom"/>
            <w:shd w:val="clear" w:color="auto" w:fill="DEEBF7"/>
          </w:tcPr>
          <w:p>
            <w:pPr>
              <w:ind w:left="140"/>
              <w:spacing w:after="0"/>
              <w:rPr>
                <w:sz w:val="20"/>
                <w:szCs w:val="20"/>
                <w:color w:val="auto"/>
              </w:rPr>
            </w:pPr>
            <w:r>
              <w:rPr>
                <w:rFonts w:ascii="Arial" w:cs="Arial" w:eastAsia="Arial" w:hAnsi="Arial"/>
                <w:sz w:val="16"/>
                <w:szCs w:val="16"/>
                <w:color w:val="auto"/>
              </w:rPr>
              <w:t>Merchandise inventories, net</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632,912</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590,210</w:t>
            </w:r>
          </w:p>
        </w:tc>
      </w:tr>
      <w:tr>
        <w:trPr>
          <w:trHeight w:val="189"/>
        </w:trPr>
        <w:tc>
          <w:tcPr>
            <w:tcW w:w="604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64,036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51,747</w:t>
            </w:r>
          </w:p>
        </w:tc>
      </w:tr>
      <w:tr>
        <w:trPr>
          <w:trHeight w:val="189"/>
        </w:trPr>
        <w:tc>
          <w:tcPr>
            <w:tcW w:w="6040" w:type="dxa"/>
            <w:vAlign w:val="bottom"/>
            <w:tcBorders>
              <w:bottom w:val="single" w:sz="8" w:color="DEEBF7"/>
            </w:tcBorders>
            <w:shd w:val="clear" w:color="auto" w:fill="DEEBF7"/>
          </w:tcPr>
          <w:p>
            <w:pPr>
              <w:ind w:left="140"/>
              <w:spacing w:after="0"/>
              <w:rPr>
                <w:sz w:val="20"/>
                <w:szCs w:val="20"/>
                <w:color w:val="auto"/>
              </w:rPr>
            </w:pPr>
            <w:r>
              <w:rPr>
                <w:rFonts w:ascii="Arial" w:cs="Arial" w:eastAsia="Arial" w:hAnsi="Arial"/>
                <w:sz w:val="16"/>
                <w:szCs w:val="16"/>
                <w:color w:val="auto"/>
              </w:rPr>
              <w:t>Other current assets</w:t>
            </w:r>
          </w:p>
        </w:tc>
        <w:tc>
          <w:tcPr>
            <w:tcW w:w="1700" w:type="dxa"/>
            <w:vAlign w:val="bottom"/>
            <w:tcBorders>
              <w:bottom w:val="single" w:sz="8" w:color="DEEBF7"/>
            </w:tcBorders>
            <w:shd w:val="clear" w:color="auto" w:fill="DEEBF7"/>
          </w:tcPr>
          <w:p>
            <w:pPr>
              <w:spacing w:after="0"/>
              <w:rPr>
                <w:sz w:val="16"/>
                <w:szCs w:val="16"/>
                <w:color w:val="auto"/>
              </w:rPr>
            </w:pPr>
          </w:p>
        </w:tc>
        <w:tc>
          <w:tcPr>
            <w:tcW w:w="300" w:type="dxa"/>
            <w:vAlign w:val="bottom"/>
            <w:tcBorders>
              <w:bottom w:val="single" w:sz="8" w:color="auto"/>
            </w:tcBorders>
            <w:shd w:val="clear" w:color="auto" w:fill="DEEBF7"/>
          </w:tcPr>
          <w:p>
            <w:pPr>
              <w:spacing w:after="0"/>
              <w:rPr>
                <w:sz w:val="16"/>
                <w:szCs w:val="16"/>
                <w:color w:val="auto"/>
              </w:rPr>
            </w:pPr>
          </w:p>
        </w:tc>
        <w:tc>
          <w:tcPr>
            <w:tcW w:w="13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60,164</w:t>
            </w:r>
          </w:p>
        </w:tc>
        <w:tc>
          <w:tcPr>
            <w:tcW w:w="180" w:type="dxa"/>
            <w:vAlign w:val="bottom"/>
            <w:tcBorders>
              <w:bottom w:val="single" w:sz="8" w:color="DEEBF7"/>
            </w:tcBorders>
            <w:shd w:val="clear" w:color="auto" w:fill="DEEBF7"/>
          </w:tcPr>
          <w:p>
            <w:pPr>
              <w:spacing w:after="0"/>
              <w:rPr>
                <w:sz w:val="16"/>
                <w:szCs w:val="16"/>
                <w:color w:val="auto"/>
              </w:rPr>
            </w:pPr>
          </w:p>
        </w:tc>
        <w:tc>
          <w:tcPr>
            <w:tcW w:w="200" w:type="dxa"/>
            <w:vAlign w:val="bottom"/>
            <w:tcBorders>
              <w:bottom w:val="single" w:sz="8" w:color="auto"/>
            </w:tcBorders>
            <w:shd w:val="clear" w:color="auto" w:fill="DEEBF7"/>
          </w:tcPr>
          <w:p>
            <w:pPr>
              <w:spacing w:after="0"/>
              <w:rPr>
                <w:sz w:val="16"/>
                <w:szCs w:val="16"/>
                <w:color w:val="auto"/>
              </w:rPr>
            </w:pPr>
          </w:p>
        </w:tc>
        <w:tc>
          <w:tcPr>
            <w:tcW w:w="14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75,281</w:t>
            </w:r>
          </w:p>
        </w:tc>
      </w:tr>
      <w:tr>
        <w:trPr>
          <w:trHeight w:val="183"/>
        </w:trPr>
        <w:tc>
          <w:tcPr>
            <w:tcW w:w="6040" w:type="dxa"/>
            <w:vAlign w:val="bottom"/>
          </w:tcPr>
          <w:p>
            <w:pPr>
              <w:ind w:left="280"/>
              <w:spacing w:after="0" w:line="183" w:lineRule="exact"/>
              <w:rPr>
                <w:sz w:val="20"/>
                <w:szCs w:val="20"/>
                <w:color w:val="auto"/>
              </w:rPr>
            </w:pPr>
            <w:r>
              <w:rPr>
                <w:rFonts w:ascii="Arial" w:cs="Arial" w:eastAsia="Arial" w:hAnsi="Arial"/>
                <w:sz w:val="16"/>
                <w:szCs w:val="16"/>
                <w:color w:val="auto"/>
              </w:rPr>
              <w:t>Total current assets</w:t>
            </w:r>
          </w:p>
        </w:tc>
        <w:tc>
          <w:tcPr>
            <w:tcW w:w="1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960,844</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1,019,786</w:t>
            </w:r>
          </w:p>
        </w:tc>
      </w:tr>
      <w:tr>
        <w:trPr>
          <w:trHeight w:val="183"/>
        </w:trPr>
        <w:tc>
          <w:tcPr>
            <w:tcW w:w="6040" w:type="dxa"/>
            <w:vAlign w:val="bottom"/>
            <w:shd w:val="clear" w:color="auto" w:fill="DEEBF7"/>
          </w:tcPr>
          <w:p>
            <w:pPr>
              <w:spacing w:after="0" w:line="183" w:lineRule="exact"/>
              <w:rPr>
                <w:sz w:val="20"/>
                <w:szCs w:val="20"/>
                <w:color w:val="auto"/>
              </w:rPr>
            </w:pPr>
            <w:r>
              <w:rPr>
                <w:rFonts w:ascii="Arial" w:cs="Arial" w:eastAsia="Arial" w:hAnsi="Arial"/>
                <w:sz w:val="16"/>
                <w:szCs w:val="16"/>
                <w:color w:val="auto"/>
              </w:rPr>
              <w:t>Fixed assets</w:t>
            </w:r>
          </w:p>
        </w:tc>
        <w:tc>
          <w:tcPr>
            <w:tcW w:w="170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2,404,132</w:t>
            </w:r>
          </w:p>
        </w:tc>
        <w:tc>
          <w:tcPr>
            <w:tcW w:w="180" w:type="dxa"/>
            <w:vAlign w:val="bottom"/>
            <w:shd w:val="clear" w:color="auto" w:fill="DEEBF7"/>
          </w:tcPr>
          <w:p>
            <w:pPr>
              <w:spacing w:after="0"/>
              <w:rPr>
                <w:sz w:val="15"/>
                <w:szCs w:val="15"/>
                <w:color w:val="auto"/>
              </w:rPr>
            </w:pPr>
          </w:p>
        </w:tc>
        <w:tc>
          <w:tcPr>
            <w:tcW w:w="200" w:type="dxa"/>
            <w:vAlign w:val="bottom"/>
            <w:shd w:val="clear" w:color="auto" w:fill="DEEBF7"/>
          </w:tcPr>
          <w:p>
            <w:pPr>
              <w:spacing w:after="0"/>
              <w:rPr>
                <w:sz w:val="15"/>
                <w:szCs w:val="15"/>
                <w:color w:val="auto"/>
              </w:rPr>
            </w:pPr>
          </w:p>
        </w:tc>
        <w:tc>
          <w:tcPr>
            <w:tcW w:w="14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2,378,208</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(1,758,226)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(1,722,060)</w:t>
            </w:r>
          </w:p>
        </w:tc>
      </w:tr>
      <w:tr>
        <w:trPr>
          <w:trHeight w:val="183"/>
        </w:trPr>
        <w:tc>
          <w:tcPr>
            <w:tcW w:w="6040" w:type="dxa"/>
            <w:vAlign w:val="bottom"/>
            <w:shd w:val="clear" w:color="auto" w:fill="DEEBF7"/>
          </w:tcPr>
          <w:p>
            <w:pPr>
              <w:ind w:left="280"/>
              <w:spacing w:after="0" w:line="183" w:lineRule="exact"/>
              <w:rPr>
                <w:sz w:val="20"/>
                <w:szCs w:val="20"/>
                <w:color w:val="auto"/>
              </w:rPr>
            </w:pPr>
            <w:r>
              <w:rPr>
                <w:rFonts w:ascii="Arial" w:cs="Arial" w:eastAsia="Arial" w:hAnsi="Arial"/>
                <w:sz w:val="16"/>
                <w:szCs w:val="16"/>
                <w:color w:val="auto"/>
              </w:rPr>
              <w:t>Fixed assets, net</w:t>
            </w:r>
          </w:p>
        </w:tc>
        <w:tc>
          <w:tcPr>
            <w:tcW w:w="170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645,906</w:t>
            </w:r>
          </w:p>
        </w:tc>
        <w:tc>
          <w:tcPr>
            <w:tcW w:w="180" w:type="dxa"/>
            <w:vAlign w:val="bottom"/>
            <w:shd w:val="clear" w:color="auto" w:fill="DEEBF7"/>
          </w:tcPr>
          <w:p>
            <w:pPr>
              <w:spacing w:after="0"/>
              <w:rPr>
                <w:sz w:val="15"/>
                <w:szCs w:val="15"/>
                <w:color w:val="auto"/>
              </w:rPr>
            </w:pPr>
          </w:p>
        </w:tc>
        <w:tc>
          <w:tcPr>
            <w:tcW w:w="200" w:type="dxa"/>
            <w:vAlign w:val="bottom"/>
            <w:shd w:val="clear" w:color="auto" w:fill="DEEBF7"/>
          </w:tcPr>
          <w:p>
            <w:pPr>
              <w:spacing w:after="0"/>
              <w:rPr>
                <w:sz w:val="15"/>
                <w:szCs w:val="15"/>
                <w:color w:val="auto"/>
              </w:rPr>
            </w:pPr>
          </w:p>
        </w:tc>
        <w:tc>
          <w:tcPr>
            <w:tcW w:w="14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656,148</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1,265,299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1,288,593</w:t>
            </w:r>
          </w:p>
        </w:tc>
      </w:tr>
      <w:tr>
        <w:trPr>
          <w:trHeight w:val="189"/>
        </w:trPr>
        <w:tc>
          <w:tcPr>
            <w:tcW w:w="6040" w:type="dxa"/>
            <w:vAlign w:val="bottom"/>
            <w:shd w:val="clear" w:color="auto" w:fill="DEEBF7"/>
          </w:tcPr>
          <w:p>
            <w:pPr>
              <w:spacing w:after="0"/>
              <w:rPr>
                <w:sz w:val="20"/>
                <w:szCs w:val="20"/>
                <w:color w:val="auto"/>
              </w:rPr>
            </w:pPr>
            <w:r>
              <w:rPr>
                <w:rFonts w:ascii="Arial" w:cs="Arial" w:eastAsia="Arial" w:hAnsi="Arial"/>
                <w:sz w:val="16"/>
                <w:szCs w:val="16"/>
                <w:color w:val="auto"/>
              </w:rPr>
              <w:t>Goodwill</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980,064</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980,064</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Trade name</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1,025,000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1,025,000</w:t>
            </w:r>
          </w:p>
        </w:tc>
      </w:tr>
      <w:tr>
        <w:trPr>
          <w:trHeight w:val="189"/>
        </w:trPr>
        <w:tc>
          <w:tcPr>
            <w:tcW w:w="6040" w:type="dxa"/>
            <w:vAlign w:val="bottom"/>
            <w:tcBorders>
              <w:bottom w:val="single" w:sz="8" w:color="DEEBF7"/>
            </w:tcBorders>
            <w:shd w:val="clear" w:color="auto" w:fill="DEEBF7"/>
          </w:tcPr>
          <w:p>
            <w:pPr>
              <w:spacing w:after="0"/>
              <w:rPr>
                <w:sz w:val="20"/>
                <w:szCs w:val="20"/>
                <w:color w:val="auto"/>
              </w:rPr>
            </w:pPr>
            <w:r>
              <w:rPr>
                <w:rFonts w:ascii="Arial" w:cs="Arial" w:eastAsia="Arial" w:hAnsi="Arial"/>
                <w:sz w:val="16"/>
                <w:szCs w:val="16"/>
                <w:color w:val="auto"/>
              </w:rPr>
              <w:t>Other long-term assets</w:t>
            </w:r>
          </w:p>
        </w:tc>
        <w:tc>
          <w:tcPr>
            <w:tcW w:w="1700" w:type="dxa"/>
            <w:vAlign w:val="bottom"/>
            <w:tcBorders>
              <w:bottom w:val="single" w:sz="8" w:color="DEEBF7"/>
            </w:tcBorders>
            <w:shd w:val="clear" w:color="auto" w:fill="DEEBF7"/>
          </w:tcPr>
          <w:p>
            <w:pPr>
              <w:spacing w:after="0"/>
              <w:rPr>
                <w:sz w:val="16"/>
                <w:szCs w:val="16"/>
                <w:color w:val="auto"/>
              </w:rPr>
            </w:pPr>
          </w:p>
        </w:tc>
        <w:tc>
          <w:tcPr>
            <w:tcW w:w="300" w:type="dxa"/>
            <w:vAlign w:val="bottom"/>
            <w:tcBorders>
              <w:bottom w:val="single" w:sz="8" w:color="auto"/>
            </w:tcBorders>
            <w:shd w:val="clear" w:color="auto" w:fill="DEEBF7"/>
          </w:tcPr>
          <w:p>
            <w:pPr>
              <w:spacing w:after="0"/>
              <w:rPr>
                <w:sz w:val="16"/>
                <w:szCs w:val="16"/>
                <w:color w:val="auto"/>
              </w:rPr>
            </w:pPr>
          </w:p>
        </w:tc>
        <w:tc>
          <w:tcPr>
            <w:tcW w:w="13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207,473</w:t>
            </w:r>
          </w:p>
        </w:tc>
        <w:tc>
          <w:tcPr>
            <w:tcW w:w="180" w:type="dxa"/>
            <w:vAlign w:val="bottom"/>
            <w:tcBorders>
              <w:bottom w:val="single" w:sz="8" w:color="DEEBF7"/>
            </w:tcBorders>
            <w:shd w:val="clear" w:color="auto" w:fill="DEEBF7"/>
          </w:tcPr>
          <w:p>
            <w:pPr>
              <w:spacing w:after="0"/>
              <w:rPr>
                <w:sz w:val="16"/>
                <w:szCs w:val="16"/>
                <w:color w:val="auto"/>
              </w:rPr>
            </w:pPr>
          </w:p>
        </w:tc>
        <w:tc>
          <w:tcPr>
            <w:tcW w:w="200" w:type="dxa"/>
            <w:vAlign w:val="bottom"/>
            <w:tcBorders>
              <w:bottom w:val="single" w:sz="8" w:color="auto"/>
            </w:tcBorders>
            <w:shd w:val="clear" w:color="auto" w:fill="DEEBF7"/>
          </w:tcPr>
          <w:p>
            <w:pPr>
              <w:spacing w:after="0"/>
              <w:rPr>
                <w:sz w:val="16"/>
                <w:szCs w:val="16"/>
                <w:color w:val="auto"/>
              </w:rPr>
            </w:pPr>
          </w:p>
        </w:tc>
        <w:tc>
          <w:tcPr>
            <w:tcW w:w="14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203,834</w:t>
            </w:r>
          </w:p>
        </w:tc>
      </w:tr>
      <w:tr>
        <w:trPr>
          <w:trHeight w:val="183"/>
        </w:trPr>
        <w:tc>
          <w:tcPr>
            <w:tcW w:w="6040" w:type="dxa"/>
            <w:vAlign w:val="bottom"/>
          </w:tcPr>
          <w:p>
            <w:pPr>
              <w:ind w:left="280"/>
              <w:spacing w:after="0" w:line="183" w:lineRule="exact"/>
              <w:rPr>
                <w:sz w:val="20"/>
                <w:szCs w:val="20"/>
                <w:color w:val="auto"/>
              </w:rPr>
            </w:pPr>
            <w:r>
              <w:rPr>
                <w:rFonts w:ascii="Arial" w:cs="Arial" w:eastAsia="Arial" w:hAnsi="Arial"/>
                <w:sz w:val="16"/>
                <w:szCs w:val="16"/>
                <w:color w:val="auto"/>
              </w:rPr>
              <w:t>Total assets</w:t>
            </w:r>
          </w:p>
        </w:tc>
        <w:tc>
          <w:tcPr>
            <w:tcW w:w="200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5,084,586</w:t>
            </w:r>
          </w:p>
        </w:tc>
        <w:tc>
          <w:tcPr>
            <w:tcW w:w="3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5,173,425</w:t>
            </w:r>
          </w:p>
        </w:tc>
      </w:tr>
      <w:tr>
        <w:trPr>
          <w:trHeight w:val="20"/>
        </w:trPr>
        <w:tc>
          <w:tcPr>
            <w:tcW w:w="6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040" w:type="dxa"/>
            <w:vAlign w:val="bottom"/>
            <w:shd w:val="clear" w:color="auto" w:fill="DEEBF7"/>
          </w:tcPr>
          <w:p>
            <w:pPr>
              <w:spacing w:after="0" w:line="170" w:lineRule="exact"/>
              <w:rPr>
                <w:sz w:val="20"/>
                <w:szCs w:val="20"/>
                <w:color w:val="auto"/>
              </w:rPr>
            </w:pPr>
            <w:r>
              <w:rPr>
                <w:rFonts w:ascii="Arial" w:cs="Arial" w:eastAsia="Arial" w:hAnsi="Arial"/>
                <w:sz w:val="16"/>
                <w:szCs w:val="16"/>
                <w:b w:val="1"/>
                <w:bCs w:val="1"/>
                <w:color w:val="auto"/>
              </w:rPr>
              <w:t>LIABILITIES AND EQUITY</w:t>
            </w:r>
          </w:p>
        </w:tc>
        <w:tc>
          <w:tcPr>
            <w:tcW w:w="17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36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1460" w:type="dxa"/>
            <w:vAlign w:val="bottom"/>
            <w:shd w:val="clear" w:color="auto" w:fill="DEEBF7"/>
          </w:tcPr>
          <w:p>
            <w:pPr>
              <w:spacing w:after="0"/>
              <w:rPr>
                <w:sz w:val="14"/>
                <w:szCs w:val="14"/>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Current liabilities: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6040" w:type="dxa"/>
            <w:vAlign w:val="bottom"/>
            <w:shd w:val="clear" w:color="auto" w:fill="DEEBF7"/>
          </w:tcPr>
          <w:p>
            <w:pPr>
              <w:ind w:left="140"/>
              <w:spacing w:after="0"/>
              <w:rPr>
                <w:sz w:val="20"/>
                <w:szCs w:val="20"/>
                <w:color w:val="auto"/>
              </w:rPr>
            </w:pPr>
            <w:r>
              <w:rPr>
                <w:rFonts w:ascii="Arial" w:cs="Arial" w:eastAsia="Arial" w:hAnsi="Arial"/>
                <w:sz w:val="16"/>
                <w:szCs w:val="16"/>
                <w:color w:val="auto"/>
              </w:rPr>
              <w:t>Accounts payable and book overdrafts</w:t>
            </w:r>
          </w:p>
        </w:tc>
        <w:tc>
          <w:tcPr>
            <w:tcW w:w="2000" w:type="dxa"/>
            <w:vAlign w:val="bottom"/>
            <w:gridSpan w:val="2"/>
            <w:shd w:val="clear" w:color="auto" w:fill="DEEBF7"/>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480,656</w:t>
            </w:r>
          </w:p>
        </w:tc>
        <w:tc>
          <w:tcPr>
            <w:tcW w:w="380" w:type="dxa"/>
            <w:vAlign w:val="bottom"/>
            <w:gridSpan w:val="2"/>
            <w:shd w:val="clear" w:color="auto" w:fill="DEEBF7"/>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450,552</w:t>
            </w:r>
          </w:p>
        </w:tc>
      </w:tr>
      <w:tr>
        <w:trPr>
          <w:trHeight w:val="189"/>
        </w:trPr>
        <w:tc>
          <w:tcPr>
            <w:tcW w:w="6040" w:type="dxa"/>
            <w:vAlign w:val="bottom"/>
          </w:tcPr>
          <w:p>
            <w:pPr>
              <w:ind w:left="140"/>
              <w:spacing w:after="0"/>
              <w:rPr>
                <w:sz w:val="20"/>
                <w:szCs w:val="20"/>
                <w:color w:val="auto"/>
              </w:rPr>
            </w:pPr>
            <w:r>
              <w:rPr>
                <w:rFonts w:ascii="Arial" w:cs="Arial" w:eastAsia="Arial" w:hAnsi="Arial"/>
                <w:sz w:val="16"/>
                <w:szCs w:val="16"/>
                <w:color w:val="auto"/>
              </w:rPr>
              <w:t>Accrued salaries and employee benefits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107,784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154,148</w:t>
            </w:r>
          </w:p>
        </w:tc>
      </w:tr>
      <w:tr>
        <w:trPr>
          <w:trHeight w:val="189"/>
        </w:trPr>
        <w:tc>
          <w:tcPr>
            <w:tcW w:w="6040" w:type="dxa"/>
            <w:vAlign w:val="bottom"/>
            <w:shd w:val="clear" w:color="auto" w:fill="DEEBF7"/>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216,183</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204,751</w:t>
            </w:r>
          </w:p>
        </w:tc>
      </w:tr>
      <w:tr>
        <w:trPr>
          <w:trHeight w:val="189"/>
        </w:trPr>
        <w:tc>
          <w:tcPr>
            <w:tcW w:w="604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312,399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320,082</w:t>
            </w:r>
          </w:p>
        </w:tc>
      </w:tr>
      <w:tr>
        <w:trPr>
          <w:trHeight w:val="189"/>
        </w:trPr>
        <w:tc>
          <w:tcPr>
            <w:tcW w:w="6040" w:type="dxa"/>
            <w:vAlign w:val="bottom"/>
            <w:tcBorders>
              <w:bottom w:val="single" w:sz="8" w:color="DEEBF7"/>
            </w:tcBorders>
            <w:shd w:val="clear" w:color="auto" w:fill="DEEBF7"/>
          </w:tcPr>
          <w:p>
            <w:pPr>
              <w:ind w:left="140"/>
              <w:spacing w:after="0"/>
              <w:rPr>
                <w:sz w:val="20"/>
                <w:szCs w:val="20"/>
                <w:color w:val="auto"/>
              </w:rPr>
            </w:pPr>
            <w:r>
              <w:rPr>
                <w:rFonts w:ascii="Arial" w:cs="Arial" w:eastAsia="Arial" w:hAnsi="Arial"/>
                <w:sz w:val="16"/>
                <w:szCs w:val="16"/>
                <w:color w:val="auto"/>
              </w:rPr>
              <w:t>Current portion of long-term debt and other lease liabilities</w:t>
            </w:r>
          </w:p>
        </w:tc>
        <w:tc>
          <w:tcPr>
            <w:tcW w:w="1700" w:type="dxa"/>
            <w:vAlign w:val="bottom"/>
            <w:tcBorders>
              <w:bottom w:val="single" w:sz="8" w:color="DEEBF7"/>
            </w:tcBorders>
            <w:shd w:val="clear" w:color="auto" w:fill="DEEBF7"/>
          </w:tcPr>
          <w:p>
            <w:pPr>
              <w:spacing w:after="0"/>
              <w:rPr>
                <w:sz w:val="16"/>
                <w:szCs w:val="16"/>
                <w:color w:val="auto"/>
              </w:rPr>
            </w:pPr>
          </w:p>
        </w:tc>
        <w:tc>
          <w:tcPr>
            <w:tcW w:w="300" w:type="dxa"/>
            <w:vAlign w:val="bottom"/>
            <w:tcBorders>
              <w:bottom w:val="single" w:sz="8" w:color="auto"/>
            </w:tcBorders>
            <w:shd w:val="clear" w:color="auto" w:fill="DEEBF7"/>
          </w:tcPr>
          <w:p>
            <w:pPr>
              <w:spacing w:after="0"/>
              <w:rPr>
                <w:sz w:val="16"/>
                <w:szCs w:val="16"/>
                <w:color w:val="auto"/>
              </w:rPr>
            </w:pPr>
          </w:p>
        </w:tc>
        <w:tc>
          <w:tcPr>
            <w:tcW w:w="13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13,245</w:t>
            </w:r>
          </w:p>
        </w:tc>
        <w:tc>
          <w:tcPr>
            <w:tcW w:w="180" w:type="dxa"/>
            <w:vAlign w:val="bottom"/>
            <w:tcBorders>
              <w:bottom w:val="single" w:sz="8" w:color="DEEBF7"/>
            </w:tcBorders>
            <w:shd w:val="clear" w:color="auto" w:fill="DEEBF7"/>
          </w:tcPr>
          <w:p>
            <w:pPr>
              <w:spacing w:after="0"/>
              <w:rPr>
                <w:sz w:val="16"/>
                <w:szCs w:val="16"/>
                <w:color w:val="auto"/>
              </w:rPr>
            </w:pPr>
          </w:p>
        </w:tc>
        <w:tc>
          <w:tcPr>
            <w:tcW w:w="200" w:type="dxa"/>
            <w:vAlign w:val="bottom"/>
            <w:tcBorders>
              <w:bottom w:val="single" w:sz="8" w:color="auto"/>
            </w:tcBorders>
            <w:shd w:val="clear" w:color="auto" w:fill="DEEBF7"/>
          </w:tcPr>
          <w:p>
            <w:pPr>
              <w:spacing w:after="0"/>
              <w:rPr>
                <w:sz w:val="16"/>
                <w:szCs w:val="16"/>
                <w:color w:val="auto"/>
              </w:rPr>
            </w:pPr>
          </w:p>
        </w:tc>
        <w:tc>
          <w:tcPr>
            <w:tcW w:w="14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4,608</w:t>
            </w:r>
          </w:p>
        </w:tc>
      </w:tr>
      <w:tr>
        <w:trPr>
          <w:trHeight w:val="183"/>
        </w:trPr>
        <w:tc>
          <w:tcPr>
            <w:tcW w:w="6040" w:type="dxa"/>
            <w:vAlign w:val="bottom"/>
          </w:tcPr>
          <w:p>
            <w:pPr>
              <w:ind w:left="280"/>
              <w:spacing w:after="0" w:line="183" w:lineRule="exact"/>
              <w:rPr>
                <w:sz w:val="20"/>
                <w:szCs w:val="20"/>
                <w:color w:val="auto"/>
              </w:rPr>
            </w:pPr>
            <w:r>
              <w:rPr>
                <w:rFonts w:ascii="Arial" w:cs="Arial" w:eastAsia="Arial" w:hAnsi="Arial"/>
                <w:sz w:val="16"/>
                <w:szCs w:val="16"/>
                <w:color w:val="auto"/>
              </w:rPr>
              <w:t>Total current liabilities</w:t>
            </w:r>
          </w:p>
        </w:tc>
        <w:tc>
          <w:tcPr>
            <w:tcW w:w="1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1,130,267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1,134,141</w:t>
            </w:r>
          </w:p>
        </w:tc>
      </w:tr>
      <w:tr>
        <w:trPr>
          <w:trHeight w:val="183"/>
        </w:trPr>
        <w:tc>
          <w:tcPr>
            <w:tcW w:w="6040" w:type="dxa"/>
            <w:vAlign w:val="bottom"/>
            <w:shd w:val="clear" w:color="auto" w:fill="DEEBF7"/>
          </w:tcPr>
          <w:p>
            <w:pPr>
              <w:spacing w:after="0" w:line="183" w:lineRule="exact"/>
              <w:rPr>
                <w:sz w:val="20"/>
                <w:szCs w:val="20"/>
                <w:color w:val="auto"/>
              </w:rPr>
            </w:pPr>
            <w:r>
              <w:rPr>
                <w:rFonts w:ascii="Arial" w:cs="Arial" w:eastAsia="Arial" w:hAnsi="Arial"/>
                <w:sz w:val="16"/>
                <w:szCs w:val="16"/>
                <w:color w:val="auto"/>
              </w:rPr>
              <w:t>Senior secured credit facilities, net, excluding current portion</w:t>
            </w:r>
          </w:p>
        </w:tc>
        <w:tc>
          <w:tcPr>
            <w:tcW w:w="170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874,116</w:t>
            </w:r>
          </w:p>
        </w:tc>
        <w:tc>
          <w:tcPr>
            <w:tcW w:w="180" w:type="dxa"/>
            <w:vAlign w:val="bottom"/>
            <w:shd w:val="clear" w:color="auto" w:fill="DEEBF7"/>
          </w:tcPr>
          <w:p>
            <w:pPr>
              <w:spacing w:after="0"/>
              <w:rPr>
                <w:sz w:val="15"/>
                <w:szCs w:val="15"/>
                <w:color w:val="auto"/>
              </w:rPr>
            </w:pPr>
          </w:p>
        </w:tc>
        <w:tc>
          <w:tcPr>
            <w:tcW w:w="200" w:type="dxa"/>
            <w:vAlign w:val="bottom"/>
            <w:shd w:val="clear" w:color="auto" w:fill="DEEBF7"/>
          </w:tcPr>
          <w:p>
            <w:pPr>
              <w:spacing w:after="0"/>
              <w:rPr>
                <w:sz w:val="15"/>
                <w:szCs w:val="15"/>
                <w:color w:val="auto"/>
              </w:rPr>
            </w:pPr>
          </w:p>
        </w:tc>
        <w:tc>
          <w:tcPr>
            <w:tcW w:w="14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1,488,527</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Senior notes, net</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590,146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40" w:type="dxa"/>
            <w:vAlign w:val="bottom"/>
            <w:shd w:val="clear" w:color="auto" w:fill="DEEBF7"/>
          </w:tcPr>
          <w:p>
            <w:pPr>
              <w:spacing w:after="0"/>
              <w:rPr>
                <w:sz w:val="20"/>
                <w:szCs w:val="20"/>
                <w:color w:val="auto"/>
              </w:rPr>
            </w:pPr>
            <w:r>
              <w:rPr>
                <w:rFonts w:ascii="Arial" w:cs="Arial" w:eastAsia="Arial" w:hAnsi="Arial"/>
                <w:sz w:val="16"/>
                <w:szCs w:val="16"/>
                <w:color w:val="auto"/>
              </w:rPr>
              <w:t>Operating lease liabilities, excluding current portion</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994,995</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1,047,185</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Deferred taxes, net</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235,197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234,911</w:t>
            </w:r>
          </w:p>
        </w:tc>
      </w:tr>
      <w:tr>
        <w:trPr>
          <w:trHeight w:val="189"/>
        </w:trPr>
        <w:tc>
          <w:tcPr>
            <w:tcW w:w="6040" w:type="dxa"/>
            <w:vAlign w:val="bottom"/>
            <w:tcBorders>
              <w:bottom w:val="single" w:sz="8" w:color="DEEBF7"/>
            </w:tcBorders>
            <w:shd w:val="clear" w:color="auto" w:fill="DEEBF7"/>
          </w:tcPr>
          <w:p>
            <w:pPr>
              <w:spacing w:after="0"/>
              <w:rPr>
                <w:sz w:val="20"/>
                <w:szCs w:val="20"/>
                <w:color w:val="auto"/>
              </w:rPr>
            </w:pPr>
            <w:r>
              <w:rPr>
                <w:rFonts w:ascii="Arial" w:cs="Arial" w:eastAsia="Arial" w:hAnsi="Arial"/>
                <w:sz w:val="16"/>
                <w:szCs w:val="16"/>
                <w:color w:val="auto"/>
              </w:rPr>
              <w:t>Other long-term liabilities</w:t>
            </w:r>
          </w:p>
        </w:tc>
        <w:tc>
          <w:tcPr>
            <w:tcW w:w="1700" w:type="dxa"/>
            <w:vAlign w:val="bottom"/>
            <w:tcBorders>
              <w:bottom w:val="single" w:sz="8" w:color="DEEBF7"/>
            </w:tcBorders>
            <w:shd w:val="clear" w:color="auto" w:fill="DEEBF7"/>
          </w:tcPr>
          <w:p>
            <w:pPr>
              <w:spacing w:after="0"/>
              <w:rPr>
                <w:sz w:val="16"/>
                <w:szCs w:val="16"/>
                <w:color w:val="auto"/>
              </w:rPr>
            </w:pPr>
          </w:p>
        </w:tc>
        <w:tc>
          <w:tcPr>
            <w:tcW w:w="300" w:type="dxa"/>
            <w:vAlign w:val="bottom"/>
            <w:tcBorders>
              <w:bottom w:val="single" w:sz="8" w:color="auto"/>
            </w:tcBorders>
            <w:shd w:val="clear" w:color="auto" w:fill="DEEBF7"/>
          </w:tcPr>
          <w:p>
            <w:pPr>
              <w:spacing w:after="0"/>
              <w:rPr>
                <w:sz w:val="16"/>
                <w:szCs w:val="16"/>
                <w:color w:val="auto"/>
              </w:rPr>
            </w:pPr>
          </w:p>
        </w:tc>
        <w:tc>
          <w:tcPr>
            <w:tcW w:w="13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104,560</w:t>
            </w:r>
          </w:p>
        </w:tc>
        <w:tc>
          <w:tcPr>
            <w:tcW w:w="180" w:type="dxa"/>
            <w:vAlign w:val="bottom"/>
            <w:tcBorders>
              <w:bottom w:val="single" w:sz="8" w:color="DEEBF7"/>
            </w:tcBorders>
            <w:shd w:val="clear" w:color="auto" w:fill="DEEBF7"/>
          </w:tcPr>
          <w:p>
            <w:pPr>
              <w:spacing w:after="0"/>
              <w:rPr>
                <w:sz w:val="16"/>
                <w:szCs w:val="16"/>
                <w:color w:val="auto"/>
              </w:rPr>
            </w:pPr>
          </w:p>
        </w:tc>
        <w:tc>
          <w:tcPr>
            <w:tcW w:w="200" w:type="dxa"/>
            <w:vAlign w:val="bottom"/>
            <w:tcBorders>
              <w:bottom w:val="single" w:sz="8" w:color="auto"/>
            </w:tcBorders>
            <w:shd w:val="clear" w:color="auto" w:fill="DEEBF7"/>
          </w:tcPr>
          <w:p>
            <w:pPr>
              <w:spacing w:after="0"/>
              <w:rPr>
                <w:sz w:val="16"/>
                <w:szCs w:val="16"/>
                <w:color w:val="auto"/>
              </w:rPr>
            </w:pPr>
          </w:p>
        </w:tc>
        <w:tc>
          <w:tcPr>
            <w:tcW w:w="1460" w:type="dxa"/>
            <w:vAlign w:val="bottom"/>
            <w:tcBorders>
              <w:bottom w:val="single" w:sz="8" w:color="auto"/>
            </w:tcBorders>
            <w:shd w:val="clear" w:color="auto" w:fill="DEEBF7"/>
          </w:tcPr>
          <w:p>
            <w:pPr>
              <w:jc w:val="right"/>
              <w:ind w:right="39"/>
              <w:spacing w:after="0"/>
              <w:rPr>
                <w:sz w:val="20"/>
                <w:szCs w:val="20"/>
                <w:color w:val="auto"/>
              </w:rPr>
            </w:pPr>
            <w:r>
              <w:rPr>
                <w:rFonts w:ascii="Arial" w:cs="Arial" w:eastAsia="Arial" w:hAnsi="Arial"/>
                <w:sz w:val="16"/>
                <w:szCs w:val="16"/>
                <w:color w:val="auto"/>
              </w:rPr>
              <w:t>104,407</w:t>
            </w:r>
          </w:p>
        </w:tc>
      </w:tr>
      <w:tr>
        <w:trPr>
          <w:trHeight w:val="183"/>
        </w:trPr>
        <w:tc>
          <w:tcPr>
            <w:tcW w:w="6040" w:type="dxa"/>
            <w:vAlign w:val="bottom"/>
          </w:tcPr>
          <w:p>
            <w:pPr>
              <w:ind w:left="280"/>
              <w:spacing w:after="0" w:line="183" w:lineRule="exact"/>
              <w:rPr>
                <w:sz w:val="20"/>
                <w:szCs w:val="20"/>
                <w:color w:val="auto"/>
              </w:rPr>
            </w:pPr>
            <w:r>
              <w:rPr>
                <w:rFonts w:ascii="Arial" w:cs="Arial" w:eastAsia="Arial" w:hAnsi="Arial"/>
                <w:sz w:val="16"/>
                <w:szCs w:val="16"/>
                <w:color w:val="auto"/>
              </w:rPr>
              <w:t>Total liabilities</w:t>
            </w:r>
          </w:p>
        </w:tc>
        <w:tc>
          <w:tcPr>
            <w:tcW w:w="1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3,929,281</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4,009,171</w:t>
            </w:r>
          </w:p>
        </w:tc>
      </w:tr>
      <w:tr>
        <w:trPr>
          <w:trHeight w:val="183"/>
        </w:trPr>
        <w:tc>
          <w:tcPr>
            <w:tcW w:w="6040" w:type="dxa"/>
            <w:vAlign w:val="bottom"/>
            <w:shd w:val="clear" w:color="auto" w:fill="DEEBF7"/>
          </w:tcPr>
          <w:p>
            <w:pPr>
              <w:spacing w:after="0" w:line="183" w:lineRule="exact"/>
              <w:rPr>
                <w:sz w:val="20"/>
                <w:szCs w:val="20"/>
                <w:color w:val="auto"/>
              </w:rPr>
            </w:pPr>
            <w:r>
              <w:rPr>
                <w:rFonts w:ascii="Arial" w:cs="Arial" w:eastAsia="Arial" w:hAnsi="Arial"/>
                <w:sz w:val="16"/>
                <w:szCs w:val="16"/>
                <w:color w:val="auto"/>
              </w:rPr>
              <w:t>Commitments and contingencies</w:t>
            </w:r>
          </w:p>
        </w:tc>
        <w:tc>
          <w:tcPr>
            <w:tcW w:w="170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60" w:type="dxa"/>
            <w:vAlign w:val="bottom"/>
            <w:shd w:val="clear" w:color="auto" w:fill="DEEBF7"/>
          </w:tcPr>
          <w:p>
            <w:pPr>
              <w:spacing w:after="0"/>
              <w:rPr>
                <w:sz w:val="15"/>
                <w:szCs w:val="15"/>
                <w:color w:val="auto"/>
              </w:rPr>
            </w:pPr>
          </w:p>
        </w:tc>
        <w:tc>
          <w:tcPr>
            <w:tcW w:w="180" w:type="dxa"/>
            <w:vAlign w:val="bottom"/>
            <w:shd w:val="clear" w:color="auto" w:fill="DEEBF7"/>
          </w:tcPr>
          <w:p>
            <w:pPr>
              <w:spacing w:after="0"/>
              <w:rPr>
                <w:sz w:val="15"/>
                <w:szCs w:val="15"/>
                <w:color w:val="auto"/>
              </w:rPr>
            </w:pPr>
          </w:p>
        </w:tc>
        <w:tc>
          <w:tcPr>
            <w:tcW w:w="200" w:type="dxa"/>
            <w:vAlign w:val="bottom"/>
            <w:shd w:val="clear" w:color="auto" w:fill="DEEBF7"/>
          </w:tcPr>
          <w:p>
            <w:pPr>
              <w:spacing w:after="0"/>
              <w:rPr>
                <w:sz w:val="15"/>
                <w:szCs w:val="15"/>
                <w:color w:val="auto"/>
              </w:rPr>
            </w:pPr>
          </w:p>
        </w:tc>
        <w:tc>
          <w:tcPr>
            <w:tcW w:w="1460" w:type="dxa"/>
            <w:vAlign w:val="bottom"/>
            <w:shd w:val="clear" w:color="auto" w:fill="DEEBF7"/>
          </w:tcPr>
          <w:p>
            <w:pPr>
              <w:spacing w:after="0"/>
              <w:rPr>
                <w:sz w:val="15"/>
                <w:szCs w:val="15"/>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6040" w:type="dxa"/>
            <w:vAlign w:val="bottom"/>
            <w:shd w:val="clear" w:color="auto" w:fill="DEEBF7"/>
          </w:tcPr>
          <w:p>
            <w:pPr>
              <w:ind w:left="140"/>
              <w:spacing w:after="0" w:line="189" w:lineRule="exact"/>
              <w:rPr>
                <w:sz w:val="20"/>
                <w:szCs w:val="20"/>
                <w:color w:val="auto"/>
              </w:rPr>
            </w:pPr>
            <w:r>
              <w:rPr>
                <w:rFonts w:ascii="Arial" w:cs="Arial" w:eastAsia="Arial" w:hAnsi="Arial"/>
                <w:sz w:val="16"/>
                <w:szCs w:val="16"/>
                <w:color w:val="auto"/>
              </w:rPr>
              <w:t>Class A common stock</w:t>
            </w:r>
            <w:r>
              <w:rPr>
                <w:rFonts w:ascii="Arial" w:cs="Arial" w:eastAsia="Arial" w:hAnsi="Arial"/>
                <w:sz w:val="21"/>
                <w:szCs w:val="21"/>
                <w:color w:val="auto"/>
                <w:vertAlign w:val="superscript"/>
              </w:rPr>
              <w:t>2</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247</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244</w:t>
            </w:r>
          </w:p>
        </w:tc>
      </w:tr>
      <w:tr>
        <w:trPr>
          <w:trHeight w:val="189"/>
        </w:trPr>
        <w:tc>
          <w:tcPr>
            <w:tcW w:w="6040" w:type="dxa"/>
            <w:vAlign w:val="bottom"/>
          </w:tcPr>
          <w:p>
            <w:pPr>
              <w:ind w:left="140"/>
              <w:spacing w:after="0" w:line="189" w:lineRule="exact"/>
              <w:rPr>
                <w:sz w:val="20"/>
                <w:szCs w:val="20"/>
                <w:color w:val="auto"/>
              </w:rPr>
            </w:pPr>
            <w:r>
              <w:rPr>
                <w:rFonts w:ascii="Arial" w:cs="Arial" w:eastAsia="Arial" w:hAnsi="Arial"/>
                <w:sz w:val="16"/>
                <w:szCs w:val="16"/>
                <w:color w:val="auto"/>
              </w:rPr>
              <w:t>Class B-1 common stock</w:t>
            </w:r>
            <w:r>
              <w:rPr>
                <w:rFonts w:ascii="Arial" w:cs="Arial" w:eastAsia="Arial" w:hAnsi="Arial"/>
                <w:sz w:val="21"/>
                <w:szCs w:val="21"/>
                <w:color w:val="auto"/>
                <w:vertAlign w:val="superscript"/>
              </w:rPr>
              <w:t>3</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189"/>
        </w:trPr>
        <w:tc>
          <w:tcPr>
            <w:tcW w:w="6040" w:type="dxa"/>
            <w:vAlign w:val="bottom"/>
            <w:shd w:val="clear" w:color="auto" w:fill="DEEBF7"/>
          </w:tcPr>
          <w:p>
            <w:pPr>
              <w:ind w:left="140"/>
              <w:spacing w:after="0" w:line="189" w:lineRule="exact"/>
              <w:rPr>
                <w:sz w:val="20"/>
                <w:szCs w:val="20"/>
                <w:color w:val="auto"/>
              </w:rPr>
            </w:pPr>
            <w:r>
              <w:rPr>
                <w:rFonts w:ascii="Arial" w:cs="Arial" w:eastAsia="Arial" w:hAnsi="Arial"/>
                <w:sz w:val="16"/>
                <w:szCs w:val="16"/>
                <w:color w:val="auto"/>
              </w:rPr>
              <w:t>Class B-2 common stock</w:t>
            </w:r>
            <w:r>
              <w:rPr>
                <w:rFonts w:ascii="Arial" w:cs="Arial" w:eastAsia="Arial" w:hAnsi="Arial"/>
                <w:sz w:val="21"/>
                <w:szCs w:val="21"/>
                <w:color w:val="auto"/>
                <w:vertAlign w:val="superscript"/>
              </w:rPr>
              <w:t>4</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40" w:type="dxa"/>
            <w:vAlign w:val="bottom"/>
          </w:tcPr>
          <w:p>
            <w:pPr>
              <w:ind w:left="140"/>
              <w:spacing w:after="0" w:line="189" w:lineRule="exact"/>
              <w:rPr>
                <w:sz w:val="20"/>
                <w:szCs w:val="20"/>
                <w:color w:val="auto"/>
              </w:rPr>
            </w:pPr>
            <w:r>
              <w:rPr>
                <w:rFonts w:ascii="Arial" w:cs="Arial" w:eastAsia="Arial" w:hAnsi="Arial"/>
                <w:sz w:val="16"/>
                <w:szCs w:val="16"/>
                <w:color w:val="auto"/>
              </w:rPr>
              <w:t>Preferred stock</w:t>
            </w:r>
            <w:r>
              <w:rPr>
                <w:rFonts w:ascii="Arial" w:cs="Arial" w:eastAsia="Arial" w:hAnsi="Arial"/>
                <w:sz w:val="21"/>
                <w:szCs w:val="21"/>
                <w:color w:val="auto"/>
                <w:vertAlign w:val="superscript"/>
              </w:rPr>
              <w:t>5</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040" w:type="dxa"/>
            <w:vAlign w:val="bottom"/>
            <w:shd w:val="clear" w:color="auto" w:fill="DEEBF7"/>
          </w:tcPr>
          <w:p>
            <w:pPr>
              <w:ind w:left="140"/>
              <w:spacing w:after="0"/>
              <w:rPr>
                <w:sz w:val="20"/>
                <w:szCs w:val="20"/>
                <w:color w:val="auto"/>
              </w:rPr>
            </w:pPr>
            <w:r>
              <w:rPr>
                <w:rFonts w:ascii="Arial" w:cs="Arial" w:eastAsia="Arial" w:hAnsi="Arial"/>
                <w:sz w:val="16"/>
                <w:szCs w:val="16"/>
                <w:color w:val="auto"/>
              </w:rPr>
              <w:t>Additional paid-in-capital</w:t>
            </w:r>
          </w:p>
        </w:tc>
        <w:tc>
          <w:tcPr>
            <w:tcW w:w="1700" w:type="dxa"/>
            <w:vAlign w:val="bottom"/>
            <w:shd w:val="clear" w:color="auto" w:fill="DEEBF7"/>
          </w:tcPr>
          <w:p>
            <w:pPr>
              <w:spacing w:after="0"/>
              <w:rPr>
                <w:sz w:val="16"/>
                <w:szCs w:val="16"/>
                <w:color w:val="auto"/>
              </w:rPr>
            </w:pPr>
          </w:p>
        </w:tc>
        <w:tc>
          <w:tcPr>
            <w:tcW w:w="300" w:type="dxa"/>
            <w:vAlign w:val="bottom"/>
            <w:shd w:val="clear" w:color="auto" w:fill="DEEBF7"/>
          </w:tcPr>
          <w:p>
            <w:pPr>
              <w:spacing w:after="0"/>
              <w:rPr>
                <w:sz w:val="16"/>
                <w:szCs w:val="16"/>
                <w:color w:val="auto"/>
              </w:rPr>
            </w:pPr>
          </w:p>
        </w:tc>
        <w:tc>
          <w:tcPr>
            <w:tcW w:w="13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2,318,877</w:t>
            </w:r>
          </w:p>
        </w:tc>
        <w:tc>
          <w:tcPr>
            <w:tcW w:w="180" w:type="dxa"/>
            <w:vAlign w:val="bottom"/>
            <w:shd w:val="clear" w:color="auto" w:fill="DEEBF7"/>
          </w:tcPr>
          <w:p>
            <w:pPr>
              <w:spacing w:after="0"/>
              <w:rPr>
                <w:sz w:val="16"/>
                <w:szCs w:val="16"/>
                <w:color w:val="auto"/>
              </w:rPr>
            </w:pPr>
          </w:p>
        </w:tc>
        <w:tc>
          <w:tcPr>
            <w:tcW w:w="200" w:type="dxa"/>
            <w:vAlign w:val="bottom"/>
            <w:shd w:val="clear" w:color="auto" w:fill="DEEBF7"/>
          </w:tcPr>
          <w:p>
            <w:pPr>
              <w:spacing w:after="0"/>
              <w:rPr>
                <w:sz w:val="16"/>
                <w:szCs w:val="16"/>
                <w:color w:val="auto"/>
              </w:rPr>
            </w:pPr>
          </w:p>
        </w:tc>
        <w:tc>
          <w:tcPr>
            <w:tcW w:w="1460" w:type="dxa"/>
            <w:vAlign w:val="bottom"/>
            <w:shd w:val="clear" w:color="auto" w:fill="DEEBF7"/>
          </w:tcPr>
          <w:p>
            <w:pPr>
              <w:jc w:val="right"/>
              <w:ind w:right="39"/>
              <w:spacing w:after="0"/>
              <w:rPr>
                <w:sz w:val="20"/>
                <w:szCs w:val="20"/>
                <w:color w:val="auto"/>
              </w:rPr>
            </w:pPr>
            <w:r>
              <w:rPr>
                <w:rFonts w:ascii="Arial" w:cs="Arial" w:eastAsia="Arial" w:hAnsi="Arial"/>
                <w:sz w:val="16"/>
                <w:szCs w:val="16"/>
                <w:color w:val="auto"/>
              </w:rPr>
              <w:t>2,312,354</w:t>
            </w:r>
          </w:p>
        </w:tc>
      </w:tr>
      <w:tr>
        <w:trPr>
          <w:trHeight w:val="189"/>
        </w:trPr>
        <w:tc>
          <w:tcPr>
            <w:tcW w:w="604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(1,155,139)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(1,139,993)</w:t>
            </w:r>
          </w:p>
        </w:tc>
      </w:tr>
      <w:tr>
        <w:trPr>
          <w:trHeight w:val="189"/>
        </w:trPr>
        <w:tc>
          <w:tcPr>
            <w:tcW w:w="6040" w:type="dxa"/>
            <w:vAlign w:val="bottom"/>
            <w:tcBorders>
              <w:bottom w:val="single" w:sz="8" w:color="DEEBF7"/>
            </w:tcBorders>
            <w:shd w:val="clear" w:color="auto" w:fill="DEEBF7"/>
          </w:tcPr>
          <w:p>
            <w:pPr>
              <w:ind w:left="140"/>
              <w:spacing w:after="0"/>
              <w:rPr>
                <w:sz w:val="20"/>
                <w:szCs w:val="20"/>
                <w:color w:val="auto"/>
              </w:rPr>
            </w:pPr>
            <w:r>
              <w:rPr>
                <w:rFonts w:ascii="Arial" w:cs="Arial" w:eastAsia="Arial" w:hAnsi="Arial"/>
                <w:sz w:val="16"/>
                <w:szCs w:val="16"/>
                <w:color w:val="auto"/>
              </w:rPr>
              <w:t>Accumulated other comprehensive loss</w:t>
            </w:r>
          </w:p>
        </w:tc>
        <w:tc>
          <w:tcPr>
            <w:tcW w:w="1700" w:type="dxa"/>
            <w:vAlign w:val="bottom"/>
            <w:tcBorders>
              <w:bottom w:val="single" w:sz="8" w:color="DEEBF7"/>
            </w:tcBorders>
            <w:shd w:val="clear" w:color="auto" w:fill="DEEBF7"/>
          </w:tcPr>
          <w:p>
            <w:pPr>
              <w:spacing w:after="0"/>
              <w:rPr>
                <w:sz w:val="16"/>
                <w:szCs w:val="16"/>
                <w:color w:val="auto"/>
              </w:rPr>
            </w:pPr>
          </w:p>
        </w:tc>
        <w:tc>
          <w:tcPr>
            <w:tcW w:w="300" w:type="dxa"/>
            <w:vAlign w:val="bottom"/>
            <w:tcBorders>
              <w:bottom w:val="single" w:sz="8" w:color="auto"/>
            </w:tcBorders>
            <w:shd w:val="clear" w:color="auto" w:fill="DEEBF7"/>
          </w:tcPr>
          <w:p>
            <w:pPr>
              <w:spacing w:after="0"/>
              <w:rPr>
                <w:sz w:val="16"/>
                <w:szCs w:val="16"/>
                <w:color w:val="auto"/>
              </w:rPr>
            </w:pPr>
          </w:p>
        </w:tc>
        <w:tc>
          <w:tcPr>
            <w:tcW w:w="13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6"/>
                <w:szCs w:val="16"/>
                <w:color w:val="auto"/>
              </w:rPr>
              <w:t>(8,718)</w:t>
            </w:r>
          </w:p>
        </w:tc>
        <w:tc>
          <w:tcPr>
            <w:tcW w:w="180" w:type="dxa"/>
            <w:vAlign w:val="bottom"/>
            <w:tcBorders>
              <w:bottom w:val="single" w:sz="8" w:color="DEEBF7"/>
            </w:tcBorders>
            <w:shd w:val="clear" w:color="auto" w:fill="DEEBF7"/>
          </w:tcPr>
          <w:p>
            <w:pPr>
              <w:spacing w:after="0"/>
              <w:rPr>
                <w:sz w:val="16"/>
                <w:szCs w:val="16"/>
                <w:color w:val="auto"/>
              </w:rPr>
            </w:pPr>
          </w:p>
        </w:tc>
        <w:tc>
          <w:tcPr>
            <w:tcW w:w="200" w:type="dxa"/>
            <w:vAlign w:val="bottom"/>
            <w:tcBorders>
              <w:bottom w:val="single" w:sz="8" w:color="auto"/>
            </w:tcBorders>
            <w:shd w:val="clear" w:color="auto" w:fill="DEEBF7"/>
          </w:tcPr>
          <w:p>
            <w:pPr>
              <w:spacing w:after="0"/>
              <w:rPr>
                <w:sz w:val="16"/>
                <w:szCs w:val="16"/>
                <w:color w:val="auto"/>
              </w:rPr>
            </w:pPr>
          </w:p>
        </w:tc>
        <w:tc>
          <w:tcPr>
            <w:tcW w:w="14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6"/>
                <w:szCs w:val="16"/>
                <w:color w:val="auto"/>
              </w:rPr>
              <w:t>(8,389)</w:t>
            </w:r>
          </w:p>
        </w:tc>
      </w:tr>
      <w:tr>
        <w:trPr>
          <w:trHeight w:val="183"/>
        </w:trPr>
        <w:tc>
          <w:tcPr>
            <w:tcW w:w="6040" w:type="dxa"/>
            <w:vAlign w:val="bottom"/>
          </w:tcPr>
          <w:p>
            <w:pPr>
              <w:ind w:left="280"/>
              <w:spacing w:after="0" w:line="183" w:lineRule="exact"/>
              <w:rPr>
                <w:sz w:val="20"/>
                <w:szCs w:val="20"/>
                <w:color w:val="auto"/>
              </w:rPr>
            </w:pPr>
            <w:r>
              <w:rPr>
                <w:rFonts w:ascii="Arial" w:cs="Arial" w:eastAsia="Arial" w:hAnsi="Arial"/>
                <w:sz w:val="16"/>
                <w:szCs w:val="16"/>
                <w:color w:val="auto"/>
              </w:rPr>
              <w:t>Total stockholders’ equity</w:t>
            </w:r>
          </w:p>
        </w:tc>
        <w:tc>
          <w:tcPr>
            <w:tcW w:w="1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1,155,305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1,164,254</w:t>
            </w:r>
          </w:p>
        </w:tc>
      </w:tr>
      <w:tr>
        <w:trPr>
          <w:trHeight w:val="203"/>
        </w:trPr>
        <w:tc>
          <w:tcPr>
            <w:tcW w:w="6040" w:type="dxa"/>
            <w:vAlign w:val="bottom"/>
            <w:shd w:val="clear" w:color="auto" w:fill="DEEBF7"/>
          </w:tcPr>
          <w:p>
            <w:pPr>
              <w:ind w:left="28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700" w:type="dxa"/>
            <w:vAlign w:val="bottom"/>
            <w:shd w:val="clear" w:color="auto" w:fill="DEEBF7"/>
          </w:tcPr>
          <w:p>
            <w:pPr>
              <w:spacing w:after="0"/>
              <w:rPr>
                <w:sz w:val="17"/>
                <w:szCs w:val="17"/>
                <w:color w:val="auto"/>
              </w:rPr>
            </w:pPr>
          </w:p>
        </w:tc>
        <w:tc>
          <w:tcPr>
            <w:tcW w:w="300" w:type="dxa"/>
            <w:vAlign w:val="bottom"/>
            <w:shd w:val="clear" w:color="auto" w:fill="DEEBF7"/>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5,084,586</w:t>
            </w:r>
          </w:p>
        </w:tc>
        <w:tc>
          <w:tcPr>
            <w:tcW w:w="380" w:type="dxa"/>
            <w:vAlign w:val="bottom"/>
            <w:gridSpan w:val="2"/>
            <w:shd w:val="clear" w:color="auto" w:fill="DEEBF7"/>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DEEBF7"/>
          </w:tcPr>
          <w:p>
            <w:pPr>
              <w:jc w:val="right"/>
              <w:ind w:right="39"/>
              <w:spacing w:after="0" w:line="183" w:lineRule="exact"/>
              <w:rPr>
                <w:sz w:val="20"/>
                <w:szCs w:val="20"/>
                <w:color w:val="auto"/>
              </w:rPr>
            </w:pPr>
            <w:r>
              <w:rPr>
                <w:rFonts w:ascii="Arial" w:cs="Arial" w:eastAsia="Arial" w:hAnsi="Arial"/>
                <w:sz w:val="16"/>
                <w:szCs w:val="16"/>
                <w:color w:val="auto"/>
              </w:rPr>
              <w:t>5,173,425</w:t>
            </w:r>
          </w:p>
        </w:tc>
      </w:tr>
      <w:tr>
        <w:trPr>
          <w:trHeight w:val="20"/>
        </w:trPr>
        <w:tc>
          <w:tcPr>
            <w:tcW w:w="6040" w:type="dxa"/>
            <w:vAlign w:val="bottom"/>
            <w:tcBorders>
              <w:top w:val="single" w:sz="8" w:color="DEEBF7"/>
            </w:tcBorders>
            <w:shd w:val="clear" w:color="auto" w:fill="DEEBF7"/>
          </w:tcPr>
          <w:p>
            <w:pPr>
              <w:spacing w:after="0" w:line="20" w:lineRule="exact"/>
              <w:rPr>
                <w:sz w:val="1"/>
                <w:szCs w:val="1"/>
                <w:color w:val="auto"/>
              </w:rPr>
            </w:pPr>
          </w:p>
        </w:tc>
        <w:tc>
          <w:tcPr>
            <w:tcW w:w="1700" w:type="dxa"/>
            <w:vAlign w:val="bottom"/>
            <w:tcBorders>
              <w:top w:val="single" w:sz="8" w:color="DEEBF7"/>
            </w:tcBorders>
            <w:shd w:val="clear" w:color="auto" w:fill="DEEBF7"/>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EEBF7"/>
            </w:tcBorders>
            <w:shd w:val="clear" w:color="auto" w:fill="DEEBF7"/>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-4217035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-3231515</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-2236470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-1499870</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4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Allowances for credit losses are $858 and $779, respectively</w:t>
      </w:r>
    </w:p>
    <w:p>
      <w:pPr>
        <w:ind w:left="180" w:hanging="172"/>
        <w:spacing w:after="0" w:line="193"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Class A common stock, $0.001 par value: Authorized - 1.0 billion shares;</w:t>
      </w:r>
    </w:p>
    <w:p>
      <w:pPr>
        <w:spacing w:after="0" w:line="134" w:lineRule="exact"/>
        <w:rPr>
          <w:sz w:val="20"/>
          <w:szCs w:val="20"/>
          <w:color w:val="auto"/>
        </w:rPr>
      </w:pPr>
    </w:p>
    <w:p>
      <w:pPr>
        <w:ind w:left="420" w:right="6180" w:hanging="412"/>
        <w:spacing w:after="0" w:line="213" w:lineRule="auto"/>
        <w:tabs>
          <w:tab w:leader="none" w:pos="181"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Class B-1 common stock, $0.001 par value: Authorized - 75.0 million shares; Issued and outstanding - 37.8 million shares</w:t>
      </w:r>
    </w:p>
    <w:p>
      <w:pPr>
        <w:spacing w:after="0" w:line="1" w:lineRule="exact"/>
        <w:rPr>
          <w:rFonts w:ascii="Arial" w:cs="Arial" w:eastAsia="Arial" w:hAnsi="Arial"/>
          <w:sz w:val="19"/>
          <w:szCs w:val="19"/>
          <w:color w:val="auto"/>
          <w:vertAlign w:val="superscript"/>
        </w:rPr>
      </w:pPr>
    </w:p>
    <w:p>
      <w:pPr>
        <w:ind w:left="420" w:right="5940" w:hanging="412"/>
        <w:spacing w:after="0" w:line="204" w:lineRule="auto"/>
        <w:tabs>
          <w:tab w:leader="none" w:pos="181"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Class B-2 common stock, $0.000001 par value: Authorized - 75.0 million shares; Issued and outstanding - 37.8 million shares</w:t>
      </w:r>
    </w:p>
    <w:p>
      <w:pPr>
        <w:spacing w:after="0" w:line="1"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Preferred stock, $0.001 par value: Authorized - 25.0 million shares;</w:t>
      </w:r>
    </w:p>
    <w:p>
      <w:pPr>
        <w:ind w:left="420"/>
        <w:spacing w:after="0" w:line="230" w:lineRule="auto"/>
        <w:rPr>
          <w:sz w:val="20"/>
          <w:szCs w:val="20"/>
          <w:color w:val="auto"/>
        </w:rPr>
      </w:pPr>
      <w:r>
        <w:rPr>
          <w:rFonts w:ascii="Arial" w:cs="Arial" w:eastAsia="Arial" w:hAnsi="Arial"/>
          <w:sz w:val="14"/>
          <w:szCs w:val="14"/>
          <w:color w:val="auto"/>
        </w:rPr>
        <w:t>Issued and outstanding - none</w:t>
      </w: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PETCO HEALTH AND WELLNESS COMPANY, INC.</w:t>
      </w:r>
    </w:p>
    <w:p>
      <w:pPr>
        <w:jc w:val="center"/>
        <w:spacing w:after="0" w:line="231" w:lineRule="auto"/>
        <w:rPr>
          <w:sz w:val="20"/>
          <w:szCs w:val="20"/>
          <w:color w:val="auto"/>
        </w:rPr>
      </w:pPr>
      <w:r>
        <w:rPr>
          <w:rFonts w:ascii="Arial" w:cs="Arial" w:eastAsia="Arial" w:hAnsi="Arial"/>
          <w:sz w:val="20"/>
          <w:szCs w:val="20"/>
          <w:b w:val="1"/>
          <w:bCs w:val="1"/>
          <w:color w:val="auto"/>
        </w:rPr>
        <w:t>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 and subject to reclassification)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13 Weeks Ended</w:t>
            </w:r>
          </w:p>
        </w:tc>
      </w:tr>
      <w:tr>
        <w:trPr>
          <w:trHeight w:val="177"/>
        </w:trPr>
        <w:tc>
          <w:tcPr>
            <w:tcW w:w="6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550"/>
              <w:spacing w:after="0" w:line="177" w:lineRule="exact"/>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530"/>
              <w:spacing w:after="0" w:line="177" w:lineRule="exact"/>
              <w:rPr>
                <w:sz w:val="20"/>
                <w:szCs w:val="20"/>
                <w:color w:val="auto"/>
              </w:rPr>
            </w:pPr>
            <w:r>
              <w:rPr>
                <w:rFonts w:ascii="Arial" w:cs="Arial" w:eastAsia="Arial" w:hAnsi="Arial"/>
                <w:sz w:val="18"/>
                <w:szCs w:val="18"/>
                <w:b w:val="1"/>
                <w:bCs w:val="1"/>
                <w:color w:val="auto"/>
              </w:rPr>
              <w:t>May 3,</w:t>
            </w:r>
          </w:p>
        </w:tc>
      </w:tr>
      <w:tr>
        <w:trPr>
          <w:trHeight w:val="221"/>
        </w:trPr>
        <w:tc>
          <w:tcPr>
            <w:tcW w:w="6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196"/>
        </w:trPr>
        <w:tc>
          <w:tcPr>
            <w:tcW w:w="6540" w:type="dxa"/>
            <w:vAlign w:val="bottom"/>
            <w:shd w:val="clear" w:color="auto" w:fill="DEEBF7"/>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spacing w:after="0"/>
              <w:rPr>
                <w:sz w:val="17"/>
                <w:szCs w:val="17"/>
                <w:color w:val="auto"/>
              </w:rPr>
            </w:pP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(15,146)</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(11,661)</w:t>
            </w:r>
          </w:p>
        </w:tc>
      </w:tr>
      <w:tr>
        <w:trPr>
          <w:trHeight w:val="184"/>
        </w:trPr>
        <w:tc>
          <w:tcPr>
            <w:tcW w:w="6540" w:type="dxa"/>
            <w:vAlign w:val="bottom"/>
            <w:shd w:val="clear" w:color="auto" w:fill="DEEBF7"/>
          </w:tcPr>
          <w:p>
            <w:pPr>
              <w:ind w:left="200"/>
              <w:spacing w:after="0" w:line="183" w:lineRule="exact"/>
              <w:rPr>
                <w:sz w:val="20"/>
                <w:szCs w:val="20"/>
                <w:color w:val="auto"/>
              </w:rPr>
            </w:pPr>
            <w:r>
              <w:rPr>
                <w:rFonts w:ascii="Arial" w:cs="Arial" w:eastAsia="Arial" w:hAnsi="Arial"/>
                <w:sz w:val="18"/>
                <w:szCs w:val="18"/>
                <w:color w:val="auto"/>
              </w:rPr>
              <w:t>Adjustments to reconcile net loss to net cash used in operating</w:t>
            </w:r>
          </w:p>
        </w:tc>
        <w:tc>
          <w:tcPr>
            <w:tcW w:w="118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80" w:type="dxa"/>
            <w:vAlign w:val="bottom"/>
            <w:shd w:val="clear" w:color="auto" w:fill="DEEBF7"/>
          </w:tcPr>
          <w:p>
            <w:pPr>
              <w:spacing w:after="0"/>
              <w:rPr>
                <w:sz w:val="15"/>
                <w:szCs w:val="15"/>
                <w:color w:val="auto"/>
              </w:rPr>
            </w:pPr>
          </w:p>
        </w:tc>
        <w:tc>
          <w:tcPr>
            <w:tcW w:w="16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80" w:type="dxa"/>
            <w:vAlign w:val="bottom"/>
            <w:shd w:val="clear" w:color="auto" w:fill="DEEBF7"/>
          </w:tcPr>
          <w:p>
            <w:pPr>
              <w:spacing w:after="0"/>
              <w:rPr>
                <w:sz w:val="15"/>
                <w:szCs w:val="15"/>
                <w:color w:val="auto"/>
              </w:rPr>
            </w:pPr>
          </w:p>
        </w:tc>
      </w:tr>
      <w:tr>
        <w:trPr>
          <w:trHeight w:val="221"/>
        </w:trPr>
        <w:tc>
          <w:tcPr>
            <w:tcW w:w="6540" w:type="dxa"/>
            <w:vAlign w:val="bottom"/>
            <w:shd w:val="clear" w:color="auto" w:fill="DEEBF7"/>
          </w:tcPr>
          <w:p>
            <w:pPr>
              <w:jc w:val="center"/>
              <w:ind w:right="4990"/>
              <w:spacing w:after="0"/>
              <w:rPr>
                <w:sz w:val="20"/>
                <w:szCs w:val="20"/>
                <w:color w:val="auto"/>
              </w:rPr>
            </w:pPr>
            <w:r>
              <w:rPr>
                <w:rFonts w:ascii="Arial" w:cs="Arial" w:eastAsia="Arial" w:hAnsi="Arial"/>
                <w:sz w:val="18"/>
                <w:szCs w:val="18"/>
                <w:color w:val="auto"/>
                <w:w w:val="99"/>
              </w:rPr>
              <w:t>activities:</w:t>
            </w:r>
          </w:p>
        </w:tc>
        <w:tc>
          <w:tcPr>
            <w:tcW w:w="1180" w:type="dxa"/>
            <w:vAlign w:val="bottom"/>
            <w:shd w:val="clear" w:color="auto" w:fill="DEEBF7"/>
          </w:tcPr>
          <w:p>
            <w:pPr>
              <w:spacing w:after="0"/>
              <w:rPr>
                <w:sz w:val="19"/>
                <w:szCs w:val="19"/>
                <w:color w:val="auto"/>
              </w:rPr>
            </w:pPr>
          </w:p>
        </w:tc>
        <w:tc>
          <w:tcPr>
            <w:tcW w:w="300" w:type="dxa"/>
            <w:vAlign w:val="bottom"/>
            <w:shd w:val="clear" w:color="auto" w:fill="DEEBF7"/>
          </w:tcPr>
          <w:p>
            <w:pPr>
              <w:spacing w:after="0"/>
              <w:rPr>
                <w:sz w:val="19"/>
                <w:szCs w:val="19"/>
                <w:color w:val="auto"/>
              </w:rPr>
            </w:pPr>
          </w:p>
        </w:tc>
        <w:tc>
          <w:tcPr>
            <w:tcW w:w="1380" w:type="dxa"/>
            <w:vAlign w:val="bottom"/>
            <w:shd w:val="clear" w:color="auto" w:fill="DEEBF7"/>
          </w:tcPr>
          <w:p>
            <w:pPr>
              <w:spacing w:after="0"/>
              <w:rPr>
                <w:sz w:val="19"/>
                <w:szCs w:val="19"/>
                <w:color w:val="auto"/>
              </w:rPr>
            </w:pPr>
          </w:p>
        </w:tc>
        <w:tc>
          <w:tcPr>
            <w:tcW w:w="160" w:type="dxa"/>
            <w:vAlign w:val="bottom"/>
            <w:shd w:val="clear" w:color="auto" w:fill="DEEBF7"/>
          </w:tcPr>
          <w:p>
            <w:pPr>
              <w:spacing w:after="0"/>
              <w:rPr>
                <w:sz w:val="19"/>
                <w:szCs w:val="19"/>
                <w:color w:val="auto"/>
              </w:rPr>
            </w:pPr>
          </w:p>
        </w:tc>
        <w:tc>
          <w:tcPr>
            <w:tcW w:w="300" w:type="dxa"/>
            <w:vAlign w:val="bottom"/>
            <w:shd w:val="clear" w:color="auto" w:fill="DEEBF7"/>
          </w:tcPr>
          <w:p>
            <w:pPr>
              <w:spacing w:after="0"/>
              <w:rPr>
                <w:sz w:val="19"/>
                <w:szCs w:val="19"/>
                <w:color w:val="auto"/>
              </w:rPr>
            </w:pPr>
          </w:p>
        </w:tc>
        <w:tc>
          <w:tcPr>
            <w:tcW w:w="1380" w:type="dxa"/>
            <w:vAlign w:val="bottom"/>
            <w:shd w:val="clear" w:color="auto" w:fill="DEEBF7"/>
          </w:tcPr>
          <w:p>
            <w:pPr>
              <w:spacing w:after="0"/>
              <w:rPr>
                <w:sz w:val="19"/>
                <w:szCs w:val="19"/>
                <w:color w:val="auto"/>
              </w:rPr>
            </w:pPr>
          </w:p>
        </w:tc>
      </w:tr>
      <w:tr>
        <w:trPr>
          <w:trHeight w:val="203"/>
        </w:trPr>
        <w:tc>
          <w:tcPr>
            <w:tcW w:w="654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49,041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49,811</w:t>
            </w:r>
          </w:p>
        </w:tc>
      </w:tr>
      <w:tr>
        <w:trPr>
          <w:trHeight w:val="203"/>
        </w:trPr>
        <w:tc>
          <w:tcPr>
            <w:tcW w:w="654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Amortization of debt discounts and issuance costs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1,337</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1,246</w:t>
            </w:r>
          </w:p>
        </w:tc>
      </w:tr>
      <w:tr>
        <w:trPr>
          <w:trHeight w:val="203"/>
        </w:trPr>
        <w:tc>
          <w:tcPr>
            <w:tcW w:w="6540" w:type="dxa"/>
            <w:vAlign w:val="bottom"/>
          </w:tcPr>
          <w:p>
            <w:pPr>
              <w:ind w:left="400"/>
              <w:spacing w:after="0" w:line="202" w:lineRule="exact"/>
              <w:rPr>
                <w:sz w:val="20"/>
                <w:szCs w:val="20"/>
                <w:color w:val="auto"/>
              </w:rPr>
            </w:pPr>
            <w:r>
              <w:rPr>
                <w:rFonts w:ascii="Arial" w:cs="Arial" w:eastAsia="Arial" w:hAnsi="Arial"/>
                <w:sz w:val="18"/>
                <w:szCs w:val="18"/>
                <w:color w:val="auto"/>
              </w:rPr>
              <w:t>Provision for deferred taxes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(9,218)</w:t>
            </w:r>
          </w:p>
        </w:tc>
      </w:tr>
      <w:tr>
        <w:trPr>
          <w:trHeight w:val="203"/>
        </w:trPr>
        <w:tc>
          <w:tcPr>
            <w:tcW w:w="654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Equity-based compensation</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9,451</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9,420</w:t>
            </w:r>
          </w:p>
        </w:tc>
      </w:tr>
      <w:tr>
        <w:trPr>
          <w:trHeight w:val="203"/>
        </w:trPr>
        <w:tc>
          <w:tcPr>
            <w:tcW w:w="6540" w:type="dxa"/>
            <w:vAlign w:val="bottom"/>
          </w:tcPr>
          <w:p>
            <w:pPr>
              <w:ind w:left="400"/>
              <w:spacing w:after="0" w:line="202" w:lineRule="exact"/>
              <w:rPr>
                <w:sz w:val="20"/>
                <w:szCs w:val="20"/>
                <w:color w:val="auto"/>
              </w:rPr>
            </w:pPr>
            <w:r>
              <w:rPr>
                <w:rFonts w:ascii="Arial" w:cs="Arial" w:eastAsia="Arial" w:hAnsi="Arial"/>
                <w:sz w:val="18"/>
                <w:szCs w:val="18"/>
                <w:color w:val="auto"/>
              </w:rPr>
              <w:t>Loss on extinguishment and modification of debt</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11,840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Income from equity method investees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(5,555)</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(4,610)</w:t>
            </w:r>
          </w:p>
        </w:tc>
      </w:tr>
      <w:tr>
        <w:trPr>
          <w:trHeight w:val="184"/>
        </w:trPr>
        <w:tc>
          <w:tcPr>
            <w:tcW w:w="6540" w:type="dxa"/>
            <w:vAlign w:val="bottom"/>
          </w:tcPr>
          <w:p>
            <w:pPr>
              <w:ind w:left="400"/>
              <w:spacing w:after="0" w:line="183" w:lineRule="exact"/>
              <w:rPr>
                <w:sz w:val="20"/>
                <w:szCs w:val="20"/>
                <w:color w:val="auto"/>
              </w:rPr>
            </w:pPr>
            <w:r>
              <w:rPr>
                <w:rFonts w:ascii="Arial" w:cs="Arial" w:eastAsia="Arial" w:hAnsi="Arial"/>
                <w:sz w:val="18"/>
                <w:szCs w:val="18"/>
                <w:color w:val="auto"/>
              </w:rPr>
              <w:t>Amounts reclassified out of accumulated other comprehensive</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1"/>
        </w:trPr>
        <w:tc>
          <w:tcPr>
            <w:tcW w:w="6540" w:type="dxa"/>
            <w:vAlign w:val="bottom"/>
          </w:tcPr>
          <w:p>
            <w:pPr>
              <w:jc w:val="center"/>
              <w:ind w:right="5050"/>
              <w:spacing w:after="0"/>
              <w:rPr>
                <w:sz w:val="20"/>
                <w:szCs w:val="20"/>
                <w:color w:val="auto"/>
              </w:rPr>
            </w:pPr>
            <w:r>
              <w:rPr>
                <w:rFonts w:ascii="Arial" w:cs="Arial" w:eastAsia="Arial" w:hAnsi="Arial"/>
                <w:sz w:val="18"/>
                <w:szCs w:val="18"/>
                <w:color w:val="auto"/>
                <w:w w:val="99"/>
              </w:rPr>
              <w:t>loss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03"/>
        </w:trPr>
        <w:tc>
          <w:tcPr>
            <w:tcW w:w="6540" w:type="dxa"/>
            <w:vAlign w:val="bottom"/>
            <w:shd w:val="clear" w:color="auto" w:fill="DEEBF7"/>
          </w:tcPr>
          <w:p>
            <w:pPr>
              <w:ind w:left="400"/>
              <w:spacing w:after="0" w:line="202" w:lineRule="exact"/>
              <w:rPr>
                <w:sz w:val="20"/>
                <w:szCs w:val="20"/>
                <w:color w:val="auto"/>
              </w:rPr>
            </w:pPr>
            <w:r>
              <w:rPr>
                <w:rFonts w:ascii="Arial" w:cs="Arial" w:eastAsia="Arial" w:hAnsi="Arial"/>
                <w:sz w:val="18"/>
                <w:szCs w:val="18"/>
                <w:color w:val="auto"/>
              </w:rPr>
              <w:t>Non-cash operating lease costs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103,080</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102,132</w:t>
            </w:r>
          </w:p>
        </w:tc>
      </w:tr>
      <w:tr>
        <w:trPr>
          <w:trHeight w:val="203"/>
        </w:trPr>
        <w:tc>
          <w:tcPr>
            <w:tcW w:w="6540" w:type="dxa"/>
            <w:vAlign w:val="bottom"/>
          </w:tcPr>
          <w:p>
            <w:pPr>
              <w:ind w:left="400"/>
              <w:spacing w:after="0" w:line="202" w:lineRule="exact"/>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540" w:type="dxa"/>
            <w:vAlign w:val="bottom"/>
            <w:shd w:val="clear" w:color="auto" w:fill="DEEBF7"/>
          </w:tcPr>
          <w:p>
            <w:pPr>
              <w:ind w:left="600"/>
              <w:spacing w:after="0" w:line="202" w:lineRule="exact"/>
              <w:rPr>
                <w:sz w:val="20"/>
                <w:szCs w:val="20"/>
                <w:color w:val="auto"/>
              </w:rPr>
            </w:pPr>
            <w:r>
              <w:rPr>
                <w:rFonts w:ascii="Arial" w:cs="Arial" w:eastAsia="Arial" w:hAnsi="Arial"/>
                <w:sz w:val="18"/>
                <w:szCs w:val="18"/>
                <w:color w:val="auto"/>
              </w:rPr>
              <w:t>Receivables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8,884</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4,229</w:t>
            </w:r>
          </w:p>
        </w:tc>
      </w:tr>
      <w:tr>
        <w:trPr>
          <w:trHeight w:val="203"/>
        </w:trPr>
        <w:tc>
          <w:tcPr>
            <w:tcW w:w="6540" w:type="dxa"/>
            <w:vAlign w:val="bottom"/>
          </w:tcPr>
          <w:p>
            <w:pPr>
              <w:ind w:left="600"/>
              <w:spacing w:after="0" w:line="202" w:lineRule="exact"/>
              <w:rPr>
                <w:sz w:val="20"/>
                <w:szCs w:val="20"/>
                <w:color w:val="auto"/>
              </w:rPr>
            </w:pPr>
            <w:r>
              <w:rPr>
                <w:rFonts w:ascii="Arial" w:cs="Arial" w:eastAsia="Arial" w:hAnsi="Arial"/>
                <w:sz w:val="18"/>
                <w:szCs w:val="18"/>
                <w:color w:val="auto"/>
              </w:rPr>
              <w:t>Merchandise inventories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(42,702)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7,857</w:t>
            </w:r>
          </w:p>
        </w:tc>
      </w:tr>
      <w:tr>
        <w:trPr>
          <w:trHeight w:val="203"/>
        </w:trPr>
        <w:tc>
          <w:tcPr>
            <w:tcW w:w="6540" w:type="dxa"/>
            <w:vAlign w:val="bottom"/>
            <w:shd w:val="clear" w:color="auto" w:fill="DEEBF7"/>
          </w:tcPr>
          <w:p>
            <w:pPr>
              <w:ind w:left="600"/>
              <w:spacing w:after="0" w:line="202" w:lineRule="exact"/>
              <w:rPr>
                <w:sz w:val="20"/>
                <w:szCs w:val="20"/>
                <w:color w:val="auto"/>
              </w:rPr>
            </w:pPr>
            <w:r>
              <w:rPr>
                <w:rFonts w:ascii="Arial" w:cs="Arial" w:eastAsia="Arial" w:hAnsi="Arial"/>
                <w:sz w:val="18"/>
                <w:szCs w:val="18"/>
                <w:color w:val="auto"/>
              </w:rPr>
              <w:t>Prepaid expenses and other assets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(8,299)</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(1,673)</w:t>
            </w:r>
          </w:p>
        </w:tc>
      </w:tr>
      <w:tr>
        <w:trPr>
          <w:trHeight w:val="203"/>
        </w:trPr>
        <w:tc>
          <w:tcPr>
            <w:tcW w:w="6540" w:type="dxa"/>
            <w:vAlign w:val="bottom"/>
          </w:tcPr>
          <w:p>
            <w:pPr>
              <w:ind w:left="600"/>
              <w:spacing w:after="0" w:line="202" w:lineRule="exact"/>
              <w:rPr>
                <w:sz w:val="20"/>
                <w:szCs w:val="20"/>
                <w:color w:val="auto"/>
              </w:rPr>
            </w:pPr>
            <w:r>
              <w:rPr>
                <w:rFonts w:ascii="Arial" w:cs="Arial" w:eastAsia="Arial" w:hAnsi="Arial"/>
                <w:sz w:val="18"/>
                <w:szCs w:val="18"/>
                <w:color w:val="auto"/>
              </w:rPr>
              <w:t>Accounts payable and book overdrafts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30,577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(19,028)</w:t>
            </w:r>
          </w:p>
        </w:tc>
      </w:tr>
      <w:tr>
        <w:trPr>
          <w:trHeight w:val="203"/>
        </w:trPr>
        <w:tc>
          <w:tcPr>
            <w:tcW w:w="6540" w:type="dxa"/>
            <w:vAlign w:val="bottom"/>
            <w:shd w:val="clear" w:color="auto" w:fill="DEEBF7"/>
          </w:tcPr>
          <w:p>
            <w:pPr>
              <w:ind w:left="600"/>
              <w:spacing w:after="0" w:line="202" w:lineRule="exact"/>
              <w:rPr>
                <w:sz w:val="20"/>
                <w:szCs w:val="20"/>
                <w:color w:val="auto"/>
              </w:rPr>
            </w:pPr>
            <w:r>
              <w:rPr>
                <w:rFonts w:ascii="Arial" w:cs="Arial" w:eastAsia="Arial" w:hAnsi="Arial"/>
                <w:sz w:val="18"/>
                <w:szCs w:val="18"/>
                <w:color w:val="auto"/>
              </w:rPr>
              <w:t>Accrued salaries and employee benefits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(46,362)</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(51,130)</w:t>
            </w:r>
          </w:p>
        </w:tc>
      </w:tr>
      <w:tr>
        <w:trPr>
          <w:trHeight w:val="203"/>
        </w:trPr>
        <w:tc>
          <w:tcPr>
            <w:tcW w:w="654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 and other liabilities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11,559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12,426</w:t>
            </w:r>
          </w:p>
        </w:tc>
      </w:tr>
      <w:tr>
        <w:trPr>
          <w:trHeight w:val="203"/>
        </w:trPr>
        <w:tc>
          <w:tcPr>
            <w:tcW w:w="6540" w:type="dxa"/>
            <w:vAlign w:val="bottom"/>
            <w:shd w:val="clear" w:color="auto" w:fill="DEEBF7"/>
          </w:tcPr>
          <w:p>
            <w:pPr>
              <w:ind w:left="600"/>
              <w:spacing w:after="0" w:line="202" w:lineRule="exact"/>
              <w:rPr>
                <w:sz w:val="20"/>
                <w:szCs w:val="20"/>
                <w:color w:val="auto"/>
              </w:rPr>
            </w:pPr>
            <w:r>
              <w:rPr>
                <w:rFonts w:ascii="Arial" w:cs="Arial" w:eastAsia="Arial" w:hAnsi="Arial"/>
                <w:sz w:val="18"/>
                <w:szCs w:val="18"/>
                <w:color w:val="auto"/>
              </w:rPr>
              <w:t>Operating lease liabilities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(139,677)</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(103,780)</w:t>
            </w:r>
          </w:p>
        </w:tc>
      </w:tr>
      <w:tr>
        <w:trPr>
          <w:trHeight w:val="203"/>
        </w:trPr>
        <w:tc>
          <w:tcPr>
            <w:tcW w:w="6540" w:type="dxa"/>
            <w:vAlign w:val="bottom"/>
          </w:tcPr>
          <w:p>
            <w:pPr>
              <w:ind w:left="600"/>
              <w:spacing w:after="0" w:line="202" w:lineRule="exact"/>
              <w:rPr>
                <w:sz w:val="20"/>
                <w:szCs w:val="20"/>
                <w:color w:val="auto"/>
              </w:rPr>
            </w:pPr>
            <w:r>
              <w:rPr>
                <w:rFonts w:ascii="Arial" w:cs="Arial" w:eastAsia="Arial" w:hAnsi="Arial"/>
                <w:sz w:val="18"/>
                <w:szCs w:val="18"/>
                <w:color w:val="auto"/>
              </w:rPr>
              <w:t>Other long-term liabilities</w:t>
            </w:r>
          </w:p>
        </w:tc>
        <w:tc>
          <w:tcPr>
            <w:tcW w:w="1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664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w:t>
            </w:r>
          </w:p>
        </w:tc>
      </w:tr>
      <w:tr>
        <w:trPr>
          <w:trHeight w:val="196"/>
        </w:trPr>
        <w:tc>
          <w:tcPr>
            <w:tcW w:w="6540" w:type="dxa"/>
            <w:vAlign w:val="bottom"/>
            <w:tcBorders>
              <w:bottom w:val="single" w:sz="8" w:color="DEEBF7"/>
            </w:tcBorders>
            <w:shd w:val="clear" w:color="auto" w:fill="DEEBF7"/>
          </w:tcPr>
          <w:p>
            <w:pPr>
              <w:ind w:left="780"/>
              <w:spacing w:after="0" w:line="196" w:lineRule="exact"/>
              <w:rPr>
                <w:sz w:val="20"/>
                <w:szCs w:val="20"/>
                <w:color w:val="auto"/>
              </w:rPr>
            </w:pPr>
            <w:r>
              <w:rPr>
                <w:rFonts w:ascii="Arial" w:cs="Arial" w:eastAsia="Arial" w:hAnsi="Arial"/>
                <w:sz w:val="18"/>
                <w:szCs w:val="18"/>
                <w:color w:val="auto"/>
              </w:rPr>
              <w:t>Net cash used in operating activities</w:t>
            </w:r>
          </w:p>
        </w:tc>
        <w:tc>
          <w:tcPr>
            <w:tcW w:w="118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(30,969)</w:t>
            </w:r>
          </w:p>
        </w:tc>
        <w:tc>
          <w:tcPr>
            <w:tcW w:w="16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(15,454)</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54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Cash paid for fixed assets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(38,153)</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(28,412)</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Insurance recoveries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Proceeds from sale of assets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partial surrender of officers' life insurance</w:t>
            </w:r>
          </w:p>
        </w:tc>
        <w:tc>
          <w:tcPr>
            <w:tcW w:w="1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540" w:type="dxa"/>
            <w:vAlign w:val="bottom"/>
            <w:tcBorders>
              <w:bottom w:val="single" w:sz="8" w:color="DEEBF7"/>
            </w:tcBorders>
            <w:shd w:val="clear" w:color="auto" w:fill="DEEBF7"/>
          </w:tcPr>
          <w:p>
            <w:pPr>
              <w:ind w:left="780"/>
              <w:spacing w:after="0" w:line="196"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(37,849)</w:t>
            </w:r>
          </w:p>
        </w:tc>
        <w:tc>
          <w:tcPr>
            <w:tcW w:w="16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(27,133)</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54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Borrowings under long-term debt agreements</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50"/>
              <w:spacing w:after="0" w:line="202" w:lineRule="exact"/>
              <w:rPr>
                <w:sz w:val="20"/>
                <w:szCs w:val="20"/>
                <w:color w:val="auto"/>
              </w:rPr>
            </w:pPr>
            <w:r>
              <w:rPr>
                <w:rFonts w:ascii="Arial" w:cs="Arial" w:eastAsia="Arial" w:hAnsi="Arial"/>
                <w:sz w:val="18"/>
                <w:szCs w:val="18"/>
                <w:color w:val="auto"/>
              </w:rPr>
              <w:t>1,500,000</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Repayments of long-term debt</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Debt refinancing costs and original issue discount</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(28,442)</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Payments for finance lease liabilities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(1,143)</w:t>
            </w:r>
          </w:p>
        </w:tc>
      </w:tr>
      <w:tr>
        <w:trPr>
          <w:trHeight w:val="184"/>
        </w:trPr>
        <w:tc>
          <w:tcPr>
            <w:tcW w:w="6540" w:type="dxa"/>
            <w:vAlign w:val="bottom"/>
            <w:shd w:val="clear" w:color="auto" w:fill="DEEBF7"/>
          </w:tcPr>
          <w:p>
            <w:pPr>
              <w:ind w:left="200"/>
              <w:spacing w:after="0" w:line="183" w:lineRule="exact"/>
              <w:rPr>
                <w:sz w:val="20"/>
                <w:szCs w:val="20"/>
                <w:color w:val="auto"/>
              </w:rPr>
            </w:pPr>
            <w:r>
              <w:rPr>
                <w:rFonts w:ascii="Arial" w:cs="Arial" w:eastAsia="Arial" w:hAnsi="Arial"/>
                <w:sz w:val="18"/>
                <w:szCs w:val="18"/>
                <w:color w:val="auto"/>
              </w:rPr>
              <w:t>Proceeds from employee stock purchase plan and stock option</w:t>
            </w:r>
          </w:p>
        </w:tc>
        <w:tc>
          <w:tcPr>
            <w:tcW w:w="118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80" w:type="dxa"/>
            <w:vAlign w:val="bottom"/>
            <w:shd w:val="clear" w:color="auto" w:fill="DEEBF7"/>
          </w:tcPr>
          <w:p>
            <w:pPr>
              <w:spacing w:after="0"/>
              <w:rPr>
                <w:sz w:val="15"/>
                <w:szCs w:val="15"/>
                <w:color w:val="auto"/>
              </w:rPr>
            </w:pPr>
          </w:p>
        </w:tc>
        <w:tc>
          <w:tcPr>
            <w:tcW w:w="160" w:type="dxa"/>
            <w:vAlign w:val="bottom"/>
            <w:shd w:val="clear" w:color="auto" w:fill="DEEBF7"/>
          </w:tcPr>
          <w:p>
            <w:pPr>
              <w:spacing w:after="0"/>
              <w:rPr>
                <w:sz w:val="15"/>
                <w:szCs w:val="15"/>
                <w:color w:val="auto"/>
              </w:rPr>
            </w:pPr>
          </w:p>
        </w:tc>
        <w:tc>
          <w:tcPr>
            <w:tcW w:w="300" w:type="dxa"/>
            <w:vAlign w:val="bottom"/>
            <w:shd w:val="clear" w:color="auto" w:fill="DEEBF7"/>
          </w:tcPr>
          <w:p>
            <w:pPr>
              <w:spacing w:after="0"/>
              <w:rPr>
                <w:sz w:val="15"/>
                <w:szCs w:val="15"/>
                <w:color w:val="auto"/>
              </w:rPr>
            </w:pPr>
          </w:p>
        </w:tc>
        <w:tc>
          <w:tcPr>
            <w:tcW w:w="1380" w:type="dxa"/>
            <w:vAlign w:val="bottom"/>
            <w:shd w:val="clear" w:color="auto" w:fill="DEEBF7"/>
          </w:tcPr>
          <w:p>
            <w:pPr>
              <w:spacing w:after="0"/>
              <w:rPr>
                <w:sz w:val="15"/>
                <w:szCs w:val="15"/>
                <w:color w:val="auto"/>
              </w:rPr>
            </w:pPr>
          </w:p>
        </w:tc>
      </w:tr>
      <w:tr>
        <w:trPr>
          <w:trHeight w:val="221"/>
        </w:trPr>
        <w:tc>
          <w:tcPr>
            <w:tcW w:w="6540" w:type="dxa"/>
            <w:vAlign w:val="bottom"/>
            <w:shd w:val="clear" w:color="auto" w:fill="DEEBF7"/>
          </w:tcPr>
          <w:p>
            <w:pPr>
              <w:jc w:val="center"/>
              <w:ind w:right="4970"/>
              <w:spacing w:after="0"/>
              <w:rPr>
                <w:sz w:val="20"/>
                <w:szCs w:val="20"/>
                <w:color w:val="auto"/>
              </w:rPr>
            </w:pPr>
            <w:r>
              <w:rPr>
                <w:rFonts w:ascii="Arial" w:cs="Arial" w:eastAsia="Arial" w:hAnsi="Arial"/>
                <w:sz w:val="18"/>
                <w:szCs w:val="18"/>
                <w:color w:val="auto"/>
                <w:w w:val="99"/>
              </w:rPr>
              <w:t>exercises</w:t>
            </w:r>
          </w:p>
        </w:tc>
        <w:tc>
          <w:tcPr>
            <w:tcW w:w="1180" w:type="dxa"/>
            <w:vAlign w:val="bottom"/>
            <w:shd w:val="clear" w:color="auto" w:fill="DEEBF7"/>
          </w:tcPr>
          <w:p>
            <w:pPr>
              <w:spacing w:after="0"/>
              <w:rPr>
                <w:sz w:val="19"/>
                <w:szCs w:val="19"/>
                <w:color w:val="auto"/>
              </w:rPr>
            </w:pPr>
          </w:p>
        </w:tc>
        <w:tc>
          <w:tcPr>
            <w:tcW w:w="300" w:type="dxa"/>
            <w:vAlign w:val="bottom"/>
            <w:shd w:val="clear" w:color="auto" w:fill="DEEBF7"/>
          </w:tcPr>
          <w:p>
            <w:pPr>
              <w:spacing w:after="0"/>
              <w:rPr>
                <w:sz w:val="19"/>
                <w:szCs w:val="19"/>
                <w:color w:val="auto"/>
              </w:rPr>
            </w:pPr>
          </w:p>
        </w:tc>
        <w:tc>
          <w:tcPr>
            <w:tcW w:w="1380" w:type="dxa"/>
            <w:vAlign w:val="bottom"/>
            <w:shd w:val="clear" w:color="auto" w:fill="DEEBF7"/>
          </w:tcPr>
          <w:p>
            <w:pPr>
              <w:jc w:val="right"/>
              <w:ind w:right="50"/>
              <w:spacing w:after="0"/>
              <w:rPr>
                <w:sz w:val="20"/>
                <w:szCs w:val="20"/>
                <w:color w:val="auto"/>
              </w:rPr>
            </w:pPr>
            <w:r>
              <w:rPr>
                <w:rFonts w:ascii="Arial" w:cs="Arial" w:eastAsia="Arial" w:hAnsi="Arial"/>
                <w:sz w:val="18"/>
                <w:szCs w:val="18"/>
                <w:color w:val="auto"/>
              </w:rPr>
              <w:t>1,008</w:t>
            </w:r>
          </w:p>
        </w:tc>
        <w:tc>
          <w:tcPr>
            <w:tcW w:w="160" w:type="dxa"/>
            <w:vAlign w:val="bottom"/>
            <w:shd w:val="clear" w:color="auto" w:fill="DEEBF7"/>
          </w:tcPr>
          <w:p>
            <w:pPr>
              <w:spacing w:after="0"/>
              <w:rPr>
                <w:sz w:val="19"/>
                <w:szCs w:val="19"/>
                <w:color w:val="auto"/>
              </w:rPr>
            </w:pPr>
          </w:p>
        </w:tc>
        <w:tc>
          <w:tcPr>
            <w:tcW w:w="300" w:type="dxa"/>
            <w:vAlign w:val="bottom"/>
            <w:shd w:val="clear" w:color="auto" w:fill="DEEBF7"/>
          </w:tcPr>
          <w:p>
            <w:pPr>
              <w:spacing w:after="0"/>
              <w:rPr>
                <w:sz w:val="19"/>
                <w:szCs w:val="19"/>
                <w:color w:val="auto"/>
              </w:rPr>
            </w:pPr>
          </w:p>
        </w:tc>
        <w:tc>
          <w:tcPr>
            <w:tcW w:w="1380" w:type="dxa"/>
            <w:vAlign w:val="bottom"/>
            <w:shd w:val="clear" w:color="auto" w:fill="DEEBF7"/>
          </w:tcPr>
          <w:p>
            <w:pPr>
              <w:jc w:val="right"/>
              <w:ind w:right="30"/>
              <w:spacing w:after="0"/>
              <w:rPr>
                <w:sz w:val="20"/>
                <w:szCs w:val="20"/>
                <w:color w:val="auto"/>
              </w:rPr>
            </w:pPr>
            <w:r>
              <w:rPr>
                <w:rFonts w:ascii="Arial" w:cs="Arial" w:eastAsia="Arial" w:hAnsi="Arial"/>
                <w:sz w:val="18"/>
                <w:szCs w:val="18"/>
                <w:color w:val="auto"/>
              </w:rPr>
              <w:t>967</w:t>
            </w:r>
          </w:p>
        </w:tc>
      </w:tr>
      <w:tr>
        <w:trPr>
          <w:trHeight w:val="203"/>
        </w:trPr>
        <w:tc>
          <w:tcPr>
            <w:tcW w:w="6540" w:type="dxa"/>
            <w:vAlign w:val="bottom"/>
            <w:tcBorders>
              <w:bottom w:val="single" w:sz="8" w:color="DEEBF7"/>
            </w:tcBorders>
          </w:tcPr>
          <w:p>
            <w:pPr>
              <w:ind w:left="200"/>
              <w:spacing w:after="0" w:line="202" w:lineRule="exact"/>
              <w:rPr>
                <w:sz w:val="20"/>
                <w:szCs w:val="20"/>
                <w:color w:val="auto"/>
              </w:rPr>
            </w:pPr>
            <w:r>
              <w:rPr>
                <w:rFonts w:ascii="Arial" w:cs="Arial" w:eastAsia="Arial" w:hAnsi="Arial"/>
                <w:sz w:val="18"/>
                <w:szCs w:val="18"/>
                <w:color w:val="auto"/>
              </w:rPr>
              <w:t>Tax withholdings on stock-based awards</w:t>
            </w:r>
          </w:p>
        </w:tc>
        <w:tc>
          <w:tcPr>
            <w:tcW w:w="1180" w:type="dxa"/>
            <w:vAlign w:val="bottom"/>
            <w:tcBorders>
              <w:bottom w:val="single" w:sz="8" w:color="DEEBF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w:t>
            </w:r>
          </w:p>
        </w:tc>
        <w:tc>
          <w:tcPr>
            <w:tcW w:w="160" w:type="dxa"/>
            <w:vAlign w:val="bottom"/>
            <w:tcBorders>
              <w:bottom w:val="single" w:sz="8" w:color="DEEBF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w:t>
            </w:r>
          </w:p>
        </w:tc>
      </w:tr>
      <w:tr>
        <w:trPr>
          <w:trHeight w:val="196"/>
        </w:trPr>
        <w:tc>
          <w:tcPr>
            <w:tcW w:w="6540" w:type="dxa"/>
            <w:vAlign w:val="bottom"/>
            <w:tcBorders>
              <w:bottom w:val="single" w:sz="8" w:color="DEEBF7"/>
            </w:tcBorders>
            <w:shd w:val="clear" w:color="auto" w:fill="DEEBF7"/>
          </w:tcPr>
          <w:p>
            <w:pPr>
              <w:ind w:left="780"/>
              <w:spacing w:after="0" w:line="196"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(32,638)</w:t>
            </w:r>
          </w:p>
        </w:tc>
        <w:tc>
          <w:tcPr>
            <w:tcW w:w="160" w:type="dxa"/>
            <w:vAlign w:val="bottom"/>
            <w:tcBorders>
              <w:bottom w:val="single" w:sz="8" w:color="DEEBF7"/>
            </w:tcBorders>
            <w:shd w:val="clear" w:color="auto" w:fill="DEEBF7"/>
          </w:tcPr>
          <w:p>
            <w:pPr>
              <w:spacing w:after="0"/>
              <w:rPr>
                <w:sz w:val="17"/>
                <w:szCs w:val="17"/>
                <w:color w:val="auto"/>
              </w:rPr>
            </w:pPr>
          </w:p>
        </w:tc>
        <w:tc>
          <w:tcPr>
            <w:tcW w:w="300" w:type="dxa"/>
            <w:vAlign w:val="bottom"/>
            <w:tcBorders>
              <w:bottom w:val="single" w:sz="8" w:color="auto"/>
            </w:tcBorders>
            <w:shd w:val="clear" w:color="auto" w:fill="DEEBF7"/>
          </w:tcPr>
          <w:p>
            <w:pPr>
              <w:spacing w:after="0"/>
              <w:rPr>
                <w:sz w:val="17"/>
                <w:szCs w:val="17"/>
                <w:color w:val="auto"/>
              </w:rPr>
            </w:pPr>
          </w:p>
        </w:tc>
        <w:tc>
          <w:tcPr>
            <w:tcW w:w="1380" w:type="dxa"/>
            <w:vAlign w:val="bottom"/>
            <w:tcBorders>
              <w:bottom w:val="single" w:sz="8" w:color="auto"/>
            </w:tcBorders>
            <w:shd w:val="clear" w:color="auto" w:fill="DEEBF7"/>
          </w:tcPr>
          <w:p>
            <w:pPr>
              <w:jc w:val="right"/>
              <w:spacing w:after="0" w:line="196" w:lineRule="exact"/>
              <w:rPr>
                <w:sz w:val="20"/>
                <w:szCs w:val="20"/>
                <w:color w:val="auto"/>
              </w:rPr>
            </w:pPr>
            <w:r>
              <w:rPr>
                <w:rFonts w:ascii="Arial" w:cs="Arial" w:eastAsia="Arial" w:hAnsi="Arial"/>
                <w:sz w:val="18"/>
                <w:szCs w:val="18"/>
                <w:color w:val="auto"/>
              </w:rPr>
              <w:t>(334)</w:t>
            </w:r>
          </w:p>
        </w:tc>
      </w:tr>
      <w:tr>
        <w:trPr>
          <w:trHeight w:val="196"/>
        </w:trPr>
        <w:tc>
          <w:tcPr>
            <w:tcW w:w="6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540" w:type="dxa"/>
            <w:vAlign w:val="bottom"/>
            <w:shd w:val="clear" w:color="auto" w:fill="DEEBF7"/>
          </w:tcPr>
          <w:p>
            <w:pPr>
              <w:spacing w:after="0" w:line="202" w:lineRule="exact"/>
              <w:rPr>
                <w:sz w:val="20"/>
                <w:szCs w:val="20"/>
                <w:color w:val="auto"/>
              </w:rPr>
            </w:pPr>
            <w:r>
              <w:rPr>
                <w:rFonts w:ascii="Arial" w:cs="Arial" w:eastAsia="Arial" w:hAnsi="Arial"/>
                <w:sz w:val="18"/>
                <w:szCs w:val="18"/>
                <w:color w:val="auto"/>
              </w:rPr>
              <w:t>Net decrease in cash, cash equivalents and restricted cash</w:t>
            </w:r>
          </w:p>
        </w:tc>
        <w:tc>
          <w:tcPr>
            <w:tcW w:w="118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(101,456)</w:t>
            </w:r>
          </w:p>
        </w:tc>
        <w:tc>
          <w:tcPr>
            <w:tcW w:w="160" w:type="dxa"/>
            <w:vAlign w:val="bottom"/>
            <w:shd w:val="clear" w:color="auto" w:fill="DEEBF7"/>
          </w:tcPr>
          <w:p>
            <w:pPr>
              <w:spacing w:after="0"/>
              <w:rPr>
                <w:sz w:val="17"/>
                <w:szCs w:val="17"/>
                <w:color w:val="auto"/>
              </w:rPr>
            </w:pPr>
          </w:p>
        </w:tc>
        <w:tc>
          <w:tcPr>
            <w:tcW w:w="300" w:type="dxa"/>
            <w:vAlign w:val="bottom"/>
            <w:shd w:val="clear" w:color="auto" w:fill="DEEBF7"/>
          </w:tcPr>
          <w:p>
            <w:pPr>
              <w:spacing w:after="0"/>
              <w:rPr>
                <w:sz w:val="17"/>
                <w:szCs w:val="17"/>
                <w:color w:val="auto"/>
              </w:rPr>
            </w:pPr>
          </w:p>
        </w:tc>
        <w:tc>
          <w:tcPr>
            <w:tcW w:w="138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(42,921)</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269,412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181,665</w:t>
            </w:r>
          </w:p>
        </w:tc>
      </w:tr>
      <w:tr>
        <w:trPr>
          <w:trHeight w:val="216"/>
        </w:trPr>
        <w:tc>
          <w:tcPr>
            <w:tcW w:w="6540" w:type="dxa"/>
            <w:vAlign w:val="bottom"/>
            <w:shd w:val="clear" w:color="auto" w:fill="DEEBF7"/>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1480" w:type="dxa"/>
            <w:vAlign w:val="bottom"/>
            <w:gridSpan w:val="2"/>
            <w:shd w:val="clear" w:color="auto" w:fill="DEEBF7"/>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DEEBF7"/>
          </w:tcPr>
          <w:p>
            <w:pPr>
              <w:jc w:val="right"/>
              <w:ind w:right="50"/>
              <w:spacing w:after="0" w:line="196" w:lineRule="exact"/>
              <w:rPr>
                <w:sz w:val="20"/>
                <w:szCs w:val="20"/>
                <w:color w:val="auto"/>
              </w:rPr>
            </w:pPr>
            <w:r>
              <w:rPr>
                <w:rFonts w:ascii="Arial" w:cs="Arial" w:eastAsia="Arial" w:hAnsi="Arial"/>
                <w:sz w:val="18"/>
                <w:szCs w:val="18"/>
                <w:color w:val="auto"/>
              </w:rPr>
              <w:t>167,956</w:t>
            </w:r>
          </w:p>
        </w:tc>
        <w:tc>
          <w:tcPr>
            <w:tcW w:w="460" w:type="dxa"/>
            <w:vAlign w:val="bottom"/>
            <w:gridSpan w:val="2"/>
            <w:shd w:val="clear" w:color="auto" w:fill="DEEBF7"/>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DEEBF7"/>
          </w:tcPr>
          <w:p>
            <w:pPr>
              <w:jc w:val="right"/>
              <w:ind w:right="30"/>
              <w:spacing w:after="0" w:line="196" w:lineRule="exact"/>
              <w:rPr>
                <w:sz w:val="20"/>
                <w:szCs w:val="20"/>
                <w:color w:val="auto"/>
              </w:rPr>
            </w:pPr>
            <w:r>
              <w:rPr>
                <w:rFonts w:ascii="Arial" w:cs="Arial" w:eastAsia="Arial" w:hAnsi="Arial"/>
                <w:sz w:val="18"/>
                <w:szCs w:val="18"/>
                <w:color w:val="auto"/>
              </w:rPr>
              <w:t>138,744</w:t>
            </w:r>
          </w:p>
        </w:tc>
      </w:tr>
      <w:tr>
        <w:trPr>
          <w:trHeight w:val="20"/>
        </w:trPr>
        <w:tc>
          <w:tcPr>
            <w:tcW w:w="6540" w:type="dxa"/>
            <w:vAlign w:val="bottom"/>
            <w:tcBorders>
              <w:top w:val="single" w:sz="8" w:color="DEEBF7"/>
            </w:tcBorders>
            <w:shd w:val="clear" w:color="auto" w:fill="DEEBF7"/>
          </w:tcPr>
          <w:p>
            <w:pPr>
              <w:spacing w:after="0" w:line="20" w:lineRule="exact"/>
              <w:rPr>
                <w:sz w:val="1"/>
                <w:szCs w:val="1"/>
                <w:color w:val="auto"/>
              </w:rPr>
            </w:pPr>
          </w:p>
        </w:tc>
        <w:tc>
          <w:tcPr>
            <w:tcW w:w="1180" w:type="dxa"/>
            <w:vAlign w:val="bottom"/>
            <w:tcBorders>
              <w:top w:val="single" w:sz="8" w:color="DEEBF7"/>
            </w:tcBorders>
            <w:shd w:val="clear" w:color="auto" w:fill="DEEBF7"/>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EEBF7"/>
            </w:tcBorders>
            <w:shd w:val="clear" w:color="auto" w:fill="DEEBF7"/>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-2519680</wp:posOffset>
            </wp:positionV>
            <wp:extent cx="111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-1731010</wp:posOffset>
            </wp:positionV>
            <wp:extent cx="111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-706120</wp:posOffset>
            </wp:positionV>
            <wp:extent cx="13716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1" w:name="page12"/>
    <w:bookmarkEnd w:id="11"/>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following information provides definitions and reconciliations of the non-GAAP financial measures presented in this earnings release to the most directly comparable financial measures calculated and presented in accordance with generally accepted accounting principles (GAAP). The company has provided this non-GAAP financial information, which is not calculated or presented in accordance with GAAP, as information supplemental and in addition to the financial measures presented in this earnings release that are calculated and presented in accordance with GAAP. Such non-GAAP financial measures should not be considered superior to, as a substitute for or alternative to, and should be considered in conjunction with, the GAAP financial measures presented in this earnings release. The non-GAAP financial measures in this earnings release may differ from similarly 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Adjusted EBITDA is considered a non-GAAP financial measure under the Securities and Exchange Commission’s (SEC) rules because it excludes certain amounts included in net income calculated in accordance with GAAP. Management believes that Adjusted EBITDA is a meaningful measure to share with investors because it facilitates comparison of the current period performance with that of the comparable prior period. In addition, Adjusted EBITDA affords investors a view of what management considers to be Petco’s core operating performance as well as the ability to make a more informed assessment of such operating performance as compared with that of the prior period. Please see the company’s Annual Report on Form 10-K for the fiscal year ended January 31, 2026 filed with the SEC on March 13, 2026 for additional information on Adjusted EBITDA.</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table below reflects the calculation of Adjusted EBITDA for the thirteen weeks ended May 2, 2026 compared to the thirteen weeks ended May 3,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13 Weeks Ended</w:t>
            </w:r>
          </w:p>
        </w:tc>
        <w:tc>
          <w:tcPr>
            <w:tcW w:w="1340" w:type="dxa"/>
            <w:vAlign w:val="bottom"/>
            <w:tcBorders>
              <w:bottom w:val="single" w:sz="8" w:color="auto"/>
            </w:tcBorders>
          </w:tcPr>
          <w:p>
            <w:pPr>
              <w:spacing w:after="0"/>
              <w:rPr>
                <w:sz w:val="14"/>
                <w:szCs w:val="14"/>
                <w:color w:val="auto"/>
              </w:rPr>
            </w:pPr>
          </w:p>
        </w:tc>
      </w:tr>
      <w:tr>
        <w:trPr>
          <w:trHeight w:val="146"/>
        </w:trPr>
        <w:tc>
          <w:tcPr>
            <w:tcW w:w="6420" w:type="dxa"/>
            <w:vAlign w:val="bottom"/>
          </w:tcPr>
          <w:p>
            <w:pPr>
              <w:spacing w:after="0" w:line="147" w:lineRule="exact"/>
              <w:rPr>
                <w:sz w:val="20"/>
                <w:szCs w:val="20"/>
                <w:color w:val="auto"/>
              </w:rPr>
            </w:pPr>
            <w:r>
              <w:rPr>
                <w:rFonts w:ascii="Arial" w:cs="Arial" w:eastAsia="Arial" w:hAnsi="Arial"/>
                <w:sz w:val="14"/>
                <w:szCs w:val="14"/>
                <w:b w:val="1"/>
                <w:bCs w:val="1"/>
                <w:color w:val="auto"/>
              </w:rPr>
              <w:t>Reconciliation of Net Loss Attributable to Class A and B-1 Common</w:t>
            </w: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right"/>
              <w:ind w:right="713"/>
              <w:spacing w:after="0" w:line="147" w:lineRule="exact"/>
              <w:rPr>
                <w:sz w:val="20"/>
                <w:szCs w:val="20"/>
                <w:color w:val="auto"/>
              </w:rPr>
            </w:pPr>
            <w:r>
              <w:rPr>
                <w:rFonts w:ascii="Arial" w:cs="Arial" w:eastAsia="Arial" w:hAnsi="Arial"/>
                <w:sz w:val="14"/>
                <w:szCs w:val="14"/>
                <w:b w:val="1"/>
                <w:bCs w:val="1"/>
                <w:color w:val="auto"/>
              </w:rPr>
              <w:t>May 2,</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jc w:val="right"/>
              <w:ind w:right="712"/>
              <w:spacing w:after="0" w:line="147" w:lineRule="exact"/>
              <w:rPr>
                <w:sz w:val="20"/>
                <w:szCs w:val="20"/>
                <w:color w:val="auto"/>
              </w:rPr>
            </w:pPr>
            <w:r>
              <w:rPr>
                <w:rFonts w:ascii="Arial" w:cs="Arial" w:eastAsia="Arial" w:hAnsi="Arial"/>
                <w:sz w:val="14"/>
                <w:szCs w:val="14"/>
                <w:b w:val="1"/>
                <w:bCs w:val="1"/>
                <w:color w:val="auto"/>
              </w:rPr>
              <w:t>May 3,</w:t>
            </w:r>
          </w:p>
        </w:tc>
      </w:tr>
      <w:tr>
        <w:trPr>
          <w:trHeight w:val="171"/>
        </w:trPr>
        <w:tc>
          <w:tcPr>
            <w:tcW w:w="6420" w:type="dxa"/>
            <w:vAlign w:val="bottom"/>
          </w:tcPr>
          <w:p>
            <w:pPr>
              <w:spacing w:after="0"/>
              <w:rPr>
                <w:sz w:val="20"/>
                <w:szCs w:val="20"/>
                <w:color w:val="auto"/>
              </w:rPr>
            </w:pPr>
            <w:r>
              <w:rPr>
                <w:rFonts w:ascii="Arial" w:cs="Arial" w:eastAsia="Arial" w:hAnsi="Arial"/>
                <w:sz w:val="14"/>
                <w:szCs w:val="14"/>
                <w:b w:val="1"/>
                <w:bCs w:val="1"/>
                <w:color w:val="auto"/>
              </w:rPr>
              <w:t>Stockholders to Adjusted EBITDA</w:t>
            </w:r>
          </w:p>
        </w:tc>
        <w:tc>
          <w:tcPr>
            <w:tcW w:w="1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2025</w:t>
            </w:r>
          </w:p>
        </w:tc>
      </w:tr>
      <w:tr>
        <w:trPr>
          <w:trHeight w:val="196"/>
        </w:trPr>
        <w:tc>
          <w:tcPr>
            <w:tcW w:w="6420" w:type="dxa"/>
            <w:vAlign w:val="bottom"/>
            <w:shd w:val="clear" w:color="auto" w:fill="DEEBF7"/>
          </w:tcPr>
          <w:p>
            <w:pPr>
              <w:spacing w:after="0" w:line="196" w:lineRule="exact"/>
              <w:rPr>
                <w:sz w:val="20"/>
                <w:szCs w:val="20"/>
                <w:color w:val="auto"/>
              </w:rPr>
            </w:pPr>
            <w:r>
              <w:rPr>
                <w:rFonts w:ascii="Arial" w:cs="Arial" w:eastAsia="Arial" w:hAnsi="Arial"/>
                <w:sz w:val="18"/>
                <w:szCs w:val="18"/>
                <w:b w:val="1"/>
                <w:bCs w:val="1"/>
                <w:color w:val="auto"/>
              </w:rPr>
              <w:t>Net loss attributable to Class A and B-1 common stockholders</w:t>
            </w:r>
          </w:p>
        </w:tc>
        <w:tc>
          <w:tcPr>
            <w:tcW w:w="1400" w:type="dxa"/>
            <w:vAlign w:val="bottom"/>
            <w:gridSpan w:val="2"/>
            <w:shd w:val="clear" w:color="auto" w:fill="DEEBF7"/>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DEEBF7"/>
          </w:tcPr>
          <w:p>
            <w:pPr>
              <w:jc w:val="right"/>
              <w:ind w:right="93"/>
              <w:spacing w:after="0" w:line="196" w:lineRule="exact"/>
              <w:rPr>
                <w:sz w:val="20"/>
                <w:szCs w:val="20"/>
                <w:color w:val="auto"/>
              </w:rPr>
            </w:pPr>
            <w:r>
              <w:rPr>
                <w:rFonts w:ascii="Arial" w:cs="Arial" w:eastAsia="Arial" w:hAnsi="Arial"/>
                <w:sz w:val="18"/>
                <w:szCs w:val="18"/>
                <w:b w:val="1"/>
                <w:bCs w:val="1"/>
                <w:color w:val="auto"/>
              </w:rPr>
              <w:t>(15,146)</w:t>
            </w:r>
          </w:p>
        </w:tc>
        <w:tc>
          <w:tcPr>
            <w:tcW w:w="620" w:type="dxa"/>
            <w:vAlign w:val="bottom"/>
            <w:gridSpan w:val="2"/>
            <w:shd w:val="clear" w:color="auto" w:fill="DEEBF7"/>
          </w:tcPr>
          <w:p>
            <w:pPr>
              <w:jc w:val="right"/>
              <w:ind w:right="34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DEEBF7"/>
          </w:tcPr>
          <w:p>
            <w:pPr>
              <w:jc w:val="right"/>
              <w:ind w:right="92"/>
              <w:spacing w:after="0" w:line="196" w:lineRule="exact"/>
              <w:rPr>
                <w:sz w:val="20"/>
                <w:szCs w:val="20"/>
                <w:color w:val="auto"/>
              </w:rPr>
            </w:pPr>
            <w:r>
              <w:rPr>
                <w:rFonts w:ascii="Arial" w:cs="Arial" w:eastAsia="Arial" w:hAnsi="Arial"/>
                <w:sz w:val="18"/>
                <w:szCs w:val="18"/>
                <w:b w:val="1"/>
                <w:bCs w:val="1"/>
                <w:color w:val="auto"/>
              </w:rPr>
              <w:t>(11,661)</w:t>
            </w: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Add (deduct):</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42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460" w:type="dxa"/>
            <w:vAlign w:val="bottom"/>
            <w:shd w:val="clear" w:color="auto" w:fill="DEEBF7"/>
          </w:tcPr>
          <w:p>
            <w:pPr>
              <w:jc w:val="right"/>
              <w:ind w:right="173"/>
              <w:spacing w:after="0" w:line="202" w:lineRule="exact"/>
              <w:rPr>
                <w:sz w:val="20"/>
                <w:szCs w:val="20"/>
                <w:color w:val="auto"/>
              </w:rPr>
            </w:pPr>
            <w:r>
              <w:rPr>
                <w:rFonts w:ascii="Arial" w:cs="Arial" w:eastAsia="Arial" w:hAnsi="Arial"/>
                <w:sz w:val="18"/>
                <w:szCs w:val="18"/>
                <w:color w:val="auto"/>
              </w:rPr>
              <w:t>31,288</w:t>
            </w:r>
          </w:p>
        </w:tc>
        <w:tc>
          <w:tcPr>
            <w:tcW w:w="180" w:type="dxa"/>
            <w:vAlign w:val="bottom"/>
            <w:shd w:val="clear" w:color="auto" w:fill="DEEBF7"/>
          </w:tcPr>
          <w:p>
            <w:pPr>
              <w:spacing w:after="0"/>
              <w:rPr>
                <w:sz w:val="17"/>
                <w:szCs w:val="17"/>
                <w:color w:val="auto"/>
              </w:rPr>
            </w:pPr>
          </w:p>
        </w:tc>
        <w:tc>
          <w:tcPr>
            <w:tcW w:w="440" w:type="dxa"/>
            <w:vAlign w:val="bottom"/>
            <w:shd w:val="clear" w:color="auto" w:fill="DEEBF7"/>
          </w:tcPr>
          <w:p>
            <w:pPr>
              <w:spacing w:after="0"/>
              <w:rPr>
                <w:sz w:val="17"/>
                <w:szCs w:val="17"/>
                <w:color w:val="auto"/>
              </w:rPr>
            </w:pPr>
          </w:p>
        </w:tc>
        <w:tc>
          <w:tcPr>
            <w:tcW w:w="1340" w:type="dxa"/>
            <w:vAlign w:val="bottom"/>
            <w:shd w:val="clear" w:color="auto" w:fill="DEEBF7"/>
          </w:tcPr>
          <w:p>
            <w:pPr>
              <w:jc w:val="right"/>
              <w:ind w:right="172"/>
              <w:spacing w:after="0" w:line="202" w:lineRule="exact"/>
              <w:rPr>
                <w:sz w:val="20"/>
                <w:szCs w:val="20"/>
                <w:color w:val="auto"/>
              </w:rPr>
            </w:pPr>
            <w:r>
              <w:rPr>
                <w:rFonts w:ascii="Arial" w:cs="Arial" w:eastAsia="Arial" w:hAnsi="Arial"/>
                <w:sz w:val="18"/>
                <w:szCs w:val="18"/>
                <w:color w:val="auto"/>
              </w:rPr>
              <w:t>32,135</w:t>
            </w:r>
          </w:p>
        </w:tc>
      </w:tr>
      <w:tr>
        <w:trPr>
          <w:trHeight w:val="203"/>
        </w:trPr>
        <w:tc>
          <w:tcPr>
            <w:tcW w:w="6420" w:type="dxa"/>
            <w:vAlign w:val="bottom"/>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2,199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495</w:t>
            </w:r>
          </w:p>
        </w:tc>
      </w:tr>
      <w:tr>
        <w:trPr>
          <w:trHeight w:val="203"/>
        </w:trPr>
        <w:tc>
          <w:tcPr>
            <w:tcW w:w="642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460" w:type="dxa"/>
            <w:vAlign w:val="bottom"/>
            <w:shd w:val="clear" w:color="auto" w:fill="DEEBF7"/>
          </w:tcPr>
          <w:p>
            <w:pPr>
              <w:jc w:val="right"/>
              <w:ind w:right="173"/>
              <w:spacing w:after="0" w:line="202" w:lineRule="exact"/>
              <w:rPr>
                <w:sz w:val="20"/>
                <w:szCs w:val="20"/>
                <w:color w:val="auto"/>
              </w:rPr>
            </w:pPr>
            <w:r>
              <w:rPr>
                <w:rFonts w:ascii="Arial" w:cs="Arial" w:eastAsia="Arial" w:hAnsi="Arial"/>
                <w:sz w:val="18"/>
                <w:szCs w:val="18"/>
                <w:color w:val="auto"/>
              </w:rPr>
              <w:t>49,041</w:t>
            </w:r>
          </w:p>
        </w:tc>
        <w:tc>
          <w:tcPr>
            <w:tcW w:w="180" w:type="dxa"/>
            <w:vAlign w:val="bottom"/>
            <w:shd w:val="clear" w:color="auto" w:fill="DEEBF7"/>
          </w:tcPr>
          <w:p>
            <w:pPr>
              <w:spacing w:after="0"/>
              <w:rPr>
                <w:sz w:val="17"/>
                <w:szCs w:val="17"/>
                <w:color w:val="auto"/>
              </w:rPr>
            </w:pPr>
          </w:p>
        </w:tc>
        <w:tc>
          <w:tcPr>
            <w:tcW w:w="440" w:type="dxa"/>
            <w:vAlign w:val="bottom"/>
            <w:shd w:val="clear" w:color="auto" w:fill="DEEBF7"/>
          </w:tcPr>
          <w:p>
            <w:pPr>
              <w:spacing w:after="0"/>
              <w:rPr>
                <w:sz w:val="17"/>
                <w:szCs w:val="17"/>
                <w:color w:val="auto"/>
              </w:rPr>
            </w:pPr>
          </w:p>
        </w:tc>
        <w:tc>
          <w:tcPr>
            <w:tcW w:w="1340" w:type="dxa"/>
            <w:vAlign w:val="bottom"/>
            <w:shd w:val="clear" w:color="auto" w:fill="DEEBF7"/>
          </w:tcPr>
          <w:p>
            <w:pPr>
              <w:jc w:val="right"/>
              <w:ind w:right="172"/>
              <w:spacing w:after="0" w:line="202" w:lineRule="exact"/>
              <w:rPr>
                <w:sz w:val="20"/>
                <w:szCs w:val="20"/>
                <w:color w:val="auto"/>
              </w:rPr>
            </w:pPr>
            <w:r>
              <w:rPr>
                <w:rFonts w:ascii="Arial" w:cs="Arial" w:eastAsia="Arial" w:hAnsi="Arial"/>
                <w:sz w:val="18"/>
                <w:szCs w:val="18"/>
                <w:color w:val="auto"/>
              </w:rPr>
              <w:t>49,811</w:t>
            </w:r>
          </w:p>
        </w:tc>
      </w:tr>
      <w:tr>
        <w:trPr>
          <w:trHeight w:val="203"/>
        </w:trPr>
        <w:tc>
          <w:tcPr>
            <w:tcW w:w="6420" w:type="dxa"/>
            <w:vAlign w:val="bottom"/>
          </w:tcPr>
          <w:p>
            <w:pPr>
              <w:ind w:left="200"/>
              <w:spacing w:after="0" w:line="202" w:lineRule="exact"/>
              <w:rPr>
                <w:sz w:val="20"/>
                <w:szCs w:val="20"/>
                <w:color w:val="auto"/>
              </w:rPr>
            </w:pPr>
            <w:r>
              <w:rPr>
                <w:rFonts w:ascii="Arial" w:cs="Arial" w:eastAsia="Arial" w:hAnsi="Arial"/>
                <w:sz w:val="18"/>
                <w:szCs w:val="18"/>
                <w:color w:val="auto"/>
              </w:rPr>
              <w:t>Income from equity method investees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(5,555)</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(4,610)</w:t>
            </w:r>
          </w:p>
        </w:tc>
      </w:tr>
      <w:tr>
        <w:trPr>
          <w:trHeight w:val="203"/>
        </w:trPr>
        <w:tc>
          <w:tcPr>
            <w:tcW w:w="642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Loss on extinguishment and modification of debt</w:t>
            </w:r>
          </w:p>
        </w:tc>
        <w:tc>
          <w:tcPr>
            <w:tcW w:w="108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460" w:type="dxa"/>
            <w:vAlign w:val="bottom"/>
            <w:shd w:val="clear" w:color="auto" w:fill="DEEBF7"/>
          </w:tcPr>
          <w:p>
            <w:pPr>
              <w:jc w:val="right"/>
              <w:ind w:right="173"/>
              <w:spacing w:after="0" w:line="202" w:lineRule="exact"/>
              <w:rPr>
                <w:sz w:val="20"/>
                <w:szCs w:val="20"/>
                <w:color w:val="auto"/>
              </w:rPr>
            </w:pPr>
            <w:r>
              <w:rPr>
                <w:rFonts w:ascii="Arial" w:cs="Arial" w:eastAsia="Arial" w:hAnsi="Arial"/>
                <w:sz w:val="18"/>
                <w:szCs w:val="18"/>
                <w:color w:val="auto"/>
              </w:rPr>
              <w:t>11,840</w:t>
            </w:r>
          </w:p>
        </w:tc>
        <w:tc>
          <w:tcPr>
            <w:tcW w:w="180" w:type="dxa"/>
            <w:vAlign w:val="bottom"/>
            <w:shd w:val="clear" w:color="auto" w:fill="DEEBF7"/>
          </w:tcPr>
          <w:p>
            <w:pPr>
              <w:spacing w:after="0"/>
              <w:rPr>
                <w:sz w:val="17"/>
                <w:szCs w:val="17"/>
                <w:color w:val="auto"/>
              </w:rPr>
            </w:pPr>
          </w:p>
        </w:tc>
        <w:tc>
          <w:tcPr>
            <w:tcW w:w="440" w:type="dxa"/>
            <w:vAlign w:val="bottom"/>
            <w:shd w:val="clear" w:color="auto" w:fill="DEEBF7"/>
          </w:tcPr>
          <w:p>
            <w:pPr>
              <w:spacing w:after="0"/>
              <w:rPr>
                <w:sz w:val="17"/>
                <w:szCs w:val="17"/>
                <w:color w:val="auto"/>
              </w:rPr>
            </w:pPr>
          </w:p>
        </w:tc>
        <w:tc>
          <w:tcPr>
            <w:tcW w:w="1340" w:type="dxa"/>
            <w:vAlign w:val="bottom"/>
            <w:shd w:val="clear" w:color="auto" w:fill="DEEBF7"/>
          </w:tcPr>
          <w:p>
            <w:pPr>
              <w:jc w:val="right"/>
              <w:ind w:right="172"/>
              <w:spacing w:after="0" w:line="202" w:lineRule="exact"/>
              <w:rPr>
                <w:sz w:val="20"/>
                <w:szCs w:val="20"/>
                <w:color w:val="auto"/>
              </w:rPr>
            </w:pPr>
            <w:r>
              <w:rPr>
                <w:rFonts w:ascii="Arial" w:cs="Arial" w:eastAsia="Arial" w:hAnsi="Arial"/>
                <w:sz w:val="18"/>
                <w:szCs w:val="18"/>
                <w:color w:val="auto"/>
              </w:rPr>
              <w:t>—</w:t>
            </w:r>
          </w:p>
        </w:tc>
      </w:tr>
      <w:tr>
        <w:trPr>
          <w:trHeight w:val="203"/>
        </w:trPr>
        <w:tc>
          <w:tcPr>
            <w:tcW w:w="642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9,451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9,420</w:t>
            </w:r>
          </w:p>
        </w:tc>
      </w:tr>
      <w:tr>
        <w:trPr>
          <w:trHeight w:val="203"/>
        </w:trPr>
        <w:tc>
          <w:tcPr>
            <w:tcW w:w="642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Mexico joint venture EBITDA (1)</w:t>
            </w:r>
          </w:p>
        </w:tc>
        <w:tc>
          <w:tcPr>
            <w:tcW w:w="108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460" w:type="dxa"/>
            <w:vAlign w:val="bottom"/>
            <w:shd w:val="clear" w:color="auto" w:fill="DEEBF7"/>
          </w:tcPr>
          <w:p>
            <w:pPr>
              <w:jc w:val="right"/>
              <w:ind w:right="173"/>
              <w:spacing w:after="0" w:line="202" w:lineRule="exact"/>
              <w:rPr>
                <w:sz w:val="20"/>
                <w:szCs w:val="20"/>
                <w:color w:val="auto"/>
              </w:rPr>
            </w:pPr>
            <w:r>
              <w:rPr>
                <w:rFonts w:ascii="Arial" w:cs="Arial" w:eastAsia="Arial" w:hAnsi="Arial"/>
                <w:sz w:val="18"/>
                <w:szCs w:val="18"/>
                <w:color w:val="auto"/>
              </w:rPr>
              <w:t>12,916</w:t>
            </w:r>
          </w:p>
        </w:tc>
        <w:tc>
          <w:tcPr>
            <w:tcW w:w="180" w:type="dxa"/>
            <w:vAlign w:val="bottom"/>
            <w:shd w:val="clear" w:color="auto" w:fill="DEEBF7"/>
          </w:tcPr>
          <w:p>
            <w:pPr>
              <w:spacing w:after="0"/>
              <w:rPr>
                <w:sz w:val="17"/>
                <w:szCs w:val="17"/>
                <w:color w:val="auto"/>
              </w:rPr>
            </w:pPr>
          </w:p>
        </w:tc>
        <w:tc>
          <w:tcPr>
            <w:tcW w:w="440" w:type="dxa"/>
            <w:vAlign w:val="bottom"/>
            <w:shd w:val="clear" w:color="auto" w:fill="DEEBF7"/>
          </w:tcPr>
          <w:p>
            <w:pPr>
              <w:spacing w:after="0"/>
              <w:rPr>
                <w:sz w:val="17"/>
                <w:szCs w:val="17"/>
                <w:color w:val="auto"/>
              </w:rPr>
            </w:pPr>
          </w:p>
        </w:tc>
        <w:tc>
          <w:tcPr>
            <w:tcW w:w="1340" w:type="dxa"/>
            <w:vAlign w:val="bottom"/>
            <w:shd w:val="clear" w:color="auto" w:fill="DEEBF7"/>
          </w:tcPr>
          <w:p>
            <w:pPr>
              <w:jc w:val="right"/>
              <w:ind w:right="172"/>
              <w:spacing w:after="0" w:line="202" w:lineRule="exact"/>
              <w:rPr>
                <w:sz w:val="20"/>
                <w:szCs w:val="20"/>
                <w:color w:val="auto"/>
              </w:rPr>
            </w:pPr>
            <w:r>
              <w:rPr>
                <w:rFonts w:ascii="Arial" w:cs="Arial" w:eastAsia="Arial" w:hAnsi="Arial"/>
                <w:sz w:val="18"/>
                <w:szCs w:val="18"/>
                <w:color w:val="auto"/>
              </w:rPr>
              <w:t>10,198</w:t>
            </w:r>
          </w:p>
        </w:tc>
      </w:tr>
      <w:tr>
        <w:trPr>
          <w:trHeight w:val="203"/>
        </w:trPr>
        <w:tc>
          <w:tcPr>
            <w:tcW w:w="6420" w:type="dxa"/>
            <w:vAlign w:val="bottom"/>
          </w:tcPr>
          <w:p>
            <w:pPr>
              <w:ind w:left="200"/>
              <w:spacing w:after="0" w:line="202" w:lineRule="exact"/>
              <w:rPr>
                <w:sz w:val="20"/>
                <w:szCs w:val="20"/>
                <w:color w:val="auto"/>
              </w:rPr>
            </w:pPr>
            <w:r>
              <w:rPr>
                <w:rFonts w:ascii="Arial" w:cs="Arial" w:eastAsia="Arial" w:hAnsi="Arial"/>
                <w:sz w:val="18"/>
                <w:szCs w:val="18"/>
                <w:color w:val="auto"/>
              </w:rPr>
              <w:t>Other costs (2)</w:t>
            </w:r>
          </w:p>
        </w:tc>
        <w:tc>
          <w:tcPr>
            <w:tcW w:w="1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1,297</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3,661</w:t>
            </w:r>
          </w:p>
        </w:tc>
      </w:tr>
      <w:tr>
        <w:trPr>
          <w:trHeight w:val="216"/>
        </w:trPr>
        <w:tc>
          <w:tcPr>
            <w:tcW w:w="6420" w:type="dxa"/>
            <w:vAlign w:val="bottom"/>
            <w:shd w:val="clear" w:color="auto" w:fill="DEEBF7"/>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1080" w:type="dxa"/>
            <w:vAlign w:val="bottom"/>
            <w:shd w:val="clear" w:color="auto" w:fill="DEEBF7"/>
          </w:tcPr>
          <w:p>
            <w:pPr>
              <w:spacing w:after="0"/>
              <w:rPr>
                <w:sz w:val="18"/>
                <w:szCs w:val="18"/>
                <w:color w:val="auto"/>
              </w:rPr>
            </w:pPr>
          </w:p>
        </w:tc>
        <w:tc>
          <w:tcPr>
            <w:tcW w:w="320" w:type="dxa"/>
            <w:vAlign w:val="bottom"/>
            <w:shd w:val="clear" w:color="auto" w:fill="DEEBF7"/>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DEEBF7"/>
          </w:tcPr>
          <w:p>
            <w:pPr>
              <w:jc w:val="right"/>
              <w:ind w:right="173"/>
              <w:spacing w:after="0" w:line="196" w:lineRule="exact"/>
              <w:rPr>
                <w:sz w:val="20"/>
                <w:szCs w:val="20"/>
                <w:color w:val="auto"/>
              </w:rPr>
            </w:pPr>
            <w:r>
              <w:rPr>
                <w:rFonts w:ascii="Arial" w:cs="Arial" w:eastAsia="Arial" w:hAnsi="Arial"/>
                <w:sz w:val="18"/>
                <w:szCs w:val="18"/>
                <w:b w:val="1"/>
                <w:bCs w:val="1"/>
                <w:color w:val="auto"/>
              </w:rPr>
              <w:t>97,331</w:t>
            </w:r>
          </w:p>
        </w:tc>
        <w:tc>
          <w:tcPr>
            <w:tcW w:w="620" w:type="dxa"/>
            <w:vAlign w:val="bottom"/>
            <w:gridSpan w:val="2"/>
            <w:shd w:val="clear" w:color="auto" w:fill="DEEBF7"/>
          </w:tcPr>
          <w:p>
            <w:pPr>
              <w:jc w:val="right"/>
              <w:ind w:right="34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DEEBF7"/>
          </w:tcPr>
          <w:p>
            <w:pPr>
              <w:jc w:val="right"/>
              <w:ind w:right="172"/>
              <w:spacing w:after="0" w:line="196" w:lineRule="exact"/>
              <w:rPr>
                <w:sz w:val="20"/>
                <w:szCs w:val="20"/>
                <w:color w:val="auto"/>
              </w:rPr>
            </w:pPr>
            <w:r>
              <w:rPr>
                <w:rFonts w:ascii="Arial" w:cs="Arial" w:eastAsia="Arial" w:hAnsi="Arial"/>
                <w:sz w:val="18"/>
                <w:szCs w:val="18"/>
                <w:b w:val="1"/>
                <w:bCs w:val="1"/>
                <w:color w:val="auto"/>
              </w:rPr>
              <w:t>89,449</w:t>
            </w:r>
          </w:p>
        </w:tc>
      </w:tr>
      <w:tr>
        <w:trPr>
          <w:trHeight w:val="20"/>
        </w:trPr>
        <w:tc>
          <w:tcPr>
            <w:tcW w:w="6420" w:type="dxa"/>
            <w:vAlign w:val="bottom"/>
            <w:tcBorders>
              <w:top w:val="single" w:sz="8" w:color="DEEBF7"/>
            </w:tcBorders>
            <w:shd w:val="clear" w:color="auto" w:fill="DEEBF7"/>
          </w:tcPr>
          <w:p>
            <w:pPr>
              <w:spacing w:after="0" w:line="20" w:lineRule="exact"/>
              <w:rPr>
                <w:sz w:val="1"/>
                <w:szCs w:val="1"/>
                <w:color w:val="auto"/>
              </w:rPr>
            </w:pPr>
          </w:p>
        </w:tc>
        <w:tc>
          <w:tcPr>
            <w:tcW w:w="1080" w:type="dxa"/>
            <w:vAlign w:val="bottom"/>
            <w:tcBorders>
              <w:top w:val="single" w:sz="8" w:color="DEEBF7"/>
            </w:tcBorders>
            <w:shd w:val="clear" w:color="auto" w:fill="DEEBF7"/>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EEBF7"/>
            </w:tcBorders>
            <w:shd w:val="clear" w:color="auto" w:fill="DEEBF7"/>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6420" w:type="dxa"/>
            <w:vAlign w:val="bottom"/>
          </w:tcPr>
          <w:p>
            <w:pPr>
              <w:spacing w:after="0" w:line="183" w:lineRule="exact"/>
              <w:rPr>
                <w:sz w:val="20"/>
                <w:szCs w:val="20"/>
                <w:color w:val="auto"/>
              </w:rPr>
            </w:pPr>
            <w:r>
              <w:rPr>
                <w:rFonts w:ascii="Arial" w:cs="Arial" w:eastAsia="Arial" w:hAnsi="Arial"/>
                <w:sz w:val="18"/>
                <w:szCs w:val="18"/>
                <w:color w:val="auto"/>
              </w:rPr>
              <w:t>Net sales</w:t>
            </w:r>
          </w:p>
        </w:tc>
        <w:tc>
          <w:tcPr>
            <w:tcW w:w="1080" w:type="dxa"/>
            <w:vAlign w:val="bottom"/>
          </w:tcPr>
          <w:p>
            <w:pPr>
              <w:spacing w:after="0"/>
              <w:rPr>
                <w:sz w:val="15"/>
                <w:szCs w:val="15"/>
                <w:color w:val="auto"/>
              </w:rPr>
            </w:pP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3"/>
              <w:spacing w:after="0" w:line="183" w:lineRule="exact"/>
              <w:rPr>
                <w:sz w:val="20"/>
                <w:szCs w:val="20"/>
                <w:color w:val="auto"/>
              </w:rPr>
            </w:pPr>
            <w:r>
              <w:rPr>
                <w:rFonts w:ascii="Arial" w:cs="Arial" w:eastAsia="Arial" w:hAnsi="Arial"/>
                <w:sz w:val="18"/>
                <w:szCs w:val="18"/>
                <w:color w:val="auto"/>
              </w:rPr>
              <w:t>1,496,732</w:t>
            </w:r>
          </w:p>
        </w:tc>
        <w:tc>
          <w:tcPr>
            <w:tcW w:w="620" w:type="dxa"/>
            <w:vAlign w:val="bottom"/>
            <w:gridSpan w:val="2"/>
          </w:tcPr>
          <w:p>
            <w:pPr>
              <w:jc w:val="right"/>
              <w:ind w:right="340"/>
              <w:spacing w:after="0" w:line="18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2"/>
              <w:spacing w:after="0" w:line="183" w:lineRule="exact"/>
              <w:rPr>
                <w:sz w:val="20"/>
                <w:szCs w:val="20"/>
                <w:color w:val="auto"/>
              </w:rPr>
            </w:pPr>
            <w:r>
              <w:rPr>
                <w:rFonts w:ascii="Arial" w:cs="Arial" w:eastAsia="Arial" w:hAnsi="Arial"/>
                <w:sz w:val="18"/>
                <w:szCs w:val="18"/>
                <w:color w:val="auto"/>
              </w:rPr>
              <w:t>1,493,399</w:t>
            </w:r>
          </w:p>
        </w:tc>
      </w:tr>
      <w:tr>
        <w:trPr>
          <w:trHeight w:val="203"/>
        </w:trPr>
        <w:tc>
          <w:tcPr>
            <w:tcW w:w="6420" w:type="dxa"/>
            <w:vAlign w:val="bottom"/>
            <w:shd w:val="clear" w:color="auto" w:fill="DEEBF7"/>
          </w:tcPr>
          <w:p>
            <w:pPr>
              <w:spacing w:after="0" w:line="202" w:lineRule="exact"/>
              <w:rPr>
                <w:sz w:val="20"/>
                <w:szCs w:val="20"/>
                <w:color w:val="auto"/>
              </w:rPr>
            </w:pPr>
            <w:r>
              <w:rPr>
                <w:rFonts w:ascii="Arial" w:cs="Arial" w:eastAsia="Arial" w:hAnsi="Arial"/>
                <w:sz w:val="18"/>
                <w:szCs w:val="18"/>
                <w:color w:val="auto"/>
              </w:rPr>
              <w:t>Net margin (3)</w:t>
            </w:r>
          </w:p>
        </w:tc>
        <w:tc>
          <w:tcPr>
            <w:tcW w:w="108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146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DEEBF7"/>
          </w:tcPr>
          <w:p>
            <w:pPr>
              <w:spacing w:after="0"/>
              <w:rPr>
                <w:sz w:val="17"/>
                <w:szCs w:val="17"/>
                <w:color w:val="auto"/>
              </w:rPr>
            </w:pPr>
          </w:p>
        </w:tc>
        <w:tc>
          <w:tcPr>
            <w:tcW w:w="440" w:type="dxa"/>
            <w:vAlign w:val="bottom"/>
            <w:shd w:val="clear" w:color="auto" w:fill="DEEBF7"/>
          </w:tcPr>
          <w:p>
            <w:pPr>
              <w:spacing w:after="0"/>
              <w:rPr>
                <w:sz w:val="17"/>
                <w:szCs w:val="17"/>
                <w:color w:val="auto"/>
              </w:rPr>
            </w:pPr>
          </w:p>
        </w:tc>
        <w:tc>
          <w:tcPr>
            <w:tcW w:w="1340" w:type="dxa"/>
            <w:vAlign w:val="bottom"/>
            <w:shd w:val="clear" w:color="auto" w:fill="DEEBF7"/>
          </w:tcPr>
          <w:p>
            <w:pPr>
              <w:jc w:val="right"/>
              <w:spacing w:after="0" w:line="202" w:lineRule="exact"/>
              <w:rPr>
                <w:sz w:val="20"/>
                <w:szCs w:val="20"/>
                <w:color w:val="auto"/>
              </w:rPr>
            </w:pPr>
            <w:r>
              <w:rPr>
                <w:rFonts w:ascii="Arial" w:cs="Arial" w:eastAsia="Arial" w:hAnsi="Arial"/>
                <w:sz w:val="18"/>
                <w:szCs w:val="18"/>
                <w:color w:val="auto"/>
              </w:rPr>
              <w:t>(0.8%)</w:t>
            </w:r>
          </w:p>
        </w:tc>
      </w:tr>
      <w:tr>
        <w:trPr>
          <w:trHeight w:val="239"/>
        </w:trPr>
        <w:tc>
          <w:tcPr>
            <w:tcW w:w="64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-433705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-416560</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ind w:left="380" w:right="20" w:hanging="372"/>
        <w:spacing w:after="0" w:line="243"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Mexico joint venture EBITDA represents 50 percent of the entity’s operating results for all periods, as adjusted to reflect the results on a basis comparable to Adjusted EBITDA. In the financial statements, this joint venture is accounted for as an equity method investment and reported net of depreciation and income taxes because such a presentation would not reflect the adjustments made in the calculation of Adjusted EBITDA, we include the 50 percent interest in the company’s Mexico joint venture on an Adjusted EBITDA basis to ensure consistency. The table below presents a reconciliation of Mexico joint venture net income to Mexico joint venture EBITDA.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13 Weeks Ended</w:t>
            </w:r>
          </w:p>
        </w:tc>
        <w:tc>
          <w:tcPr>
            <w:tcW w:w="1180" w:type="dxa"/>
            <w:vAlign w:val="bottom"/>
            <w:tcBorders>
              <w:bottom w:val="single" w:sz="8" w:color="auto"/>
            </w:tcBorders>
          </w:tcPr>
          <w:p>
            <w:pPr>
              <w:spacing w:after="0"/>
              <w:rPr>
                <w:sz w:val="14"/>
                <w:szCs w:val="14"/>
                <w:color w:val="auto"/>
              </w:rPr>
            </w:pPr>
          </w:p>
        </w:tc>
      </w:tr>
      <w:tr>
        <w:trPr>
          <w:trHeight w:val="146"/>
        </w:trPr>
        <w:tc>
          <w:tcPr>
            <w:tcW w:w="5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2,</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right"/>
              <w:ind w:right="594"/>
              <w:spacing w:after="0" w:line="147" w:lineRule="exact"/>
              <w:rPr>
                <w:sz w:val="20"/>
                <w:szCs w:val="20"/>
                <w:color w:val="auto"/>
              </w:rPr>
            </w:pPr>
            <w:r>
              <w:rPr>
                <w:rFonts w:ascii="Arial" w:cs="Arial" w:eastAsia="Arial" w:hAnsi="Arial"/>
                <w:sz w:val="14"/>
                <w:szCs w:val="14"/>
                <w:b w:val="1"/>
                <w:bCs w:val="1"/>
                <w:color w:val="auto"/>
              </w:rPr>
              <w:t>May 3,</w:t>
            </w:r>
          </w:p>
        </w:tc>
      </w:t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r>
      <w:tr>
        <w:trPr>
          <w:trHeight w:val="196"/>
        </w:trPr>
        <w:tc>
          <w:tcPr>
            <w:tcW w:w="5080" w:type="dxa"/>
            <w:vAlign w:val="bottom"/>
            <w:shd w:val="clear" w:color="auto" w:fill="DEEBF7"/>
          </w:tcPr>
          <w:p>
            <w:pPr>
              <w:spacing w:after="0" w:line="196" w:lineRule="exact"/>
              <w:rPr>
                <w:sz w:val="20"/>
                <w:szCs w:val="20"/>
                <w:color w:val="auto"/>
              </w:rPr>
            </w:pPr>
            <w:r>
              <w:rPr>
                <w:rFonts w:ascii="Arial" w:cs="Arial" w:eastAsia="Arial" w:hAnsi="Arial"/>
                <w:sz w:val="18"/>
                <w:szCs w:val="18"/>
                <w:color w:val="auto"/>
              </w:rPr>
              <w:t>Net income</w:t>
            </w:r>
          </w:p>
        </w:tc>
        <w:tc>
          <w:tcPr>
            <w:tcW w:w="3640" w:type="dxa"/>
            <w:vAlign w:val="bottom"/>
            <w:gridSpan w:val="2"/>
            <w:shd w:val="clear" w:color="auto" w:fill="DEEBF7"/>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DEEBF7"/>
          </w:tcPr>
          <w:p>
            <w:pPr>
              <w:jc w:val="right"/>
              <w:ind w:right="52"/>
              <w:spacing w:after="0" w:line="196" w:lineRule="exact"/>
              <w:rPr>
                <w:sz w:val="20"/>
                <w:szCs w:val="20"/>
                <w:color w:val="auto"/>
              </w:rPr>
            </w:pPr>
            <w:r>
              <w:rPr>
                <w:rFonts w:ascii="Arial" w:cs="Arial" w:eastAsia="Arial" w:hAnsi="Arial"/>
                <w:sz w:val="18"/>
                <w:szCs w:val="18"/>
                <w:color w:val="auto"/>
                <w:w w:val="94"/>
              </w:rPr>
              <w:t>11,104</w:t>
            </w:r>
          </w:p>
        </w:tc>
        <w:tc>
          <w:tcPr>
            <w:tcW w:w="660" w:type="dxa"/>
            <w:vAlign w:val="bottom"/>
            <w:gridSpan w:val="2"/>
            <w:shd w:val="clear" w:color="auto" w:fill="DEEBF7"/>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DEEBF7"/>
          </w:tcPr>
          <w:p>
            <w:pPr>
              <w:jc w:val="right"/>
              <w:ind w:right="34"/>
              <w:spacing w:after="0" w:line="196" w:lineRule="exact"/>
              <w:rPr>
                <w:sz w:val="20"/>
                <w:szCs w:val="20"/>
                <w:color w:val="auto"/>
              </w:rPr>
            </w:pPr>
            <w:r>
              <w:rPr>
                <w:rFonts w:ascii="Arial" w:cs="Arial" w:eastAsia="Arial" w:hAnsi="Arial"/>
                <w:sz w:val="18"/>
                <w:szCs w:val="18"/>
                <w:color w:val="auto"/>
              </w:rPr>
              <w:t>9,220</w:t>
            </w: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8,306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6,597</w:t>
            </w:r>
          </w:p>
        </w:tc>
      </w:tr>
      <w:tr>
        <w:trPr>
          <w:trHeight w:val="203"/>
        </w:trPr>
        <w:tc>
          <w:tcPr>
            <w:tcW w:w="5080" w:type="dxa"/>
            <w:vAlign w:val="bottom"/>
            <w:shd w:val="clear" w:color="auto" w:fill="DEEBF7"/>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2640" w:type="dxa"/>
            <w:vAlign w:val="bottom"/>
            <w:shd w:val="clear" w:color="auto" w:fill="DEEBF7"/>
          </w:tcPr>
          <w:p>
            <w:pPr>
              <w:spacing w:after="0"/>
              <w:rPr>
                <w:sz w:val="17"/>
                <w:szCs w:val="17"/>
                <w:color w:val="auto"/>
              </w:rPr>
            </w:pPr>
          </w:p>
        </w:tc>
        <w:tc>
          <w:tcPr>
            <w:tcW w:w="1000" w:type="dxa"/>
            <w:vAlign w:val="bottom"/>
            <w:shd w:val="clear" w:color="auto" w:fill="DEEBF7"/>
          </w:tcPr>
          <w:p>
            <w:pPr>
              <w:spacing w:after="0"/>
              <w:rPr>
                <w:sz w:val="17"/>
                <w:szCs w:val="17"/>
                <w:color w:val="auto"/>
              </w:rPr>
            </w:pPr>
          </w:p>
        </w:tc>
        <w:tc>
          <w:tcPr>
            <w:tcW w:w="680" w:type="dxa"/>
            <w:vAlign w:val="bottom"/>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5,194</w:t>
            </w:r>
          </w:p>
        </w:tc>
        <w:tc>
          <w:tcPr>
            <w:tcW w:w="160" w:type="dxa"/>
            <w:vAlign w:val="bottom"/>
            <w:shd w:val="clear" w:color="auto" w:fill="DEEBF7"/>
          </w:tcPr>
          <w:p>
            <w:pPr>
              <w:spacing w:after="0"/>
              <w:rPr>
                <w:sz w:val="17"/>
                <w:szCs w:val="17"/>
                <w:color w:val="auto"/>
              </w:rPr>
            </w:pPr>
          </w:p>
        </w:tc>
        <w:tc>
          <w:tcPr>
            <w:tcW w:w="50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4"/>
              <w:spacing w:after="0" w:line="202" w:lineRule="exact"/>
              <w:rPr>
                <w:sz w:val="20"/>
                <w:szCs w:val="20"/>
                <w:color w:val="auto"/>
              </w:rPr>
            </w:pPr>
            <w:r>
              <w:rPr>
                <w:rFonts w:ascii="Arial" w:cs="Arial" w:eastAsia="Arial" w:hAnsi="Arial"/>
                <w:sz w:val="18"/>
                <w:szCs w:val="18"/>
                <w:color w:val="auto"/>
              </w:rPr>
              <w:t>4,166</w:t>
            </w: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loss (gain)</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144</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5080" w:type="dxa"/>
            <w:vAlign w:val="bottom"/>
            <w:tcBorders>
              <w:bottom w:val="single" w:sz="8" w:color="DEEBF7"/>
            </w:tcBorders>
            <w:shd w:val="clear" w:color="auto" w:fill="DEEBF7"/>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2640" w:type="dxa"/>
            <w:vAlign w:val="bottom"/>
            <w:tcBorders>
              <w:bottom w:val="single" w:sz="8" w:color="DEEBF7"/>
            </w:tcBorders>
            <w:shd w:val="clear" w:color="auto" w:fill="DEEBF7"/>
          </w:tcPr>
          <w:p>
            <w:pPr>
              <w:spacing w:after="0"/>
              <w:rPr>
                <w:sz w:val="17"/>
                <w:szCs w:val="17"/>
                <w:color w:val="auto"/>
              </w:rPr>
            </w:pPr>
          </w:p>
        </w:tc>
        <w:tc>
          <w:tcPr>
            <w:tcW w:w="1000" w:type="dxa"/>
            <w:vAlign w:val="bottom"/>
            <w:tcBorders>
              <w:bottom w:val="single" w:sz="8" w:color="auto"/>
            </w:tcBorders>
            <w:shd w:val="clear" w:color="auto" w:fill="DEEBF7"/>
          </w:tcPr>
          <w:p>
            <w:pPr>
              <w:spacing w:after="0"/>
              <w:rPr>
                <w:sz w:val="17"/>
                <w:szCs w:val="17"/>
                <w:color w:val="auto"/>
              </w:rPr>
            </w:pPr>
          </w:p>
        </w:tc>
        <w:tc>
          <w:tcPr>
            <w:tcW w:w="680" w:type="dxa"/>
            <w:vAlign w:val="bottom"/>
            <w:tcBorders>
              <w:bottom w:val="single" w:sz="8" w:color="auto"/>
            </w:tcBorders>
            <w:shd w:val="clear" w:color="auto" w:fill="DEEBF7"/>
          </w:tcPr>
          <w:p>
            <w:pPr>
              <w:jc w:val="right"/>
              <w:ind w:right="52"/>
              <w:spacing w:after="0" w:line="202" w:lineRule="exact"/>
              <w:rPr>
                <w:sz w:val="20"/>
                <w:szCs w:val="20"/>
                <w:color w:val="auto"/>
              </w:rPr>
            </w:pPr>
            <w:r>
              <w:rPr>
                <w:rFonts w:ascii="Arial" w:cs="Arial" w:eastAsia="Arial" w:hAnsi="Arial"/>
                <w:sz w:val="18"/>
                <w:szCs w:val="18"/>
                <w:color w:val="auto"/>
              </w:rPr>
              <w:t>1,083</w:t>
            </w:r>
          </w:p>
        </w:tc>
        <w:tc>
          <w:tcPr>
            <w:tcW w:w="160" w:type="dxa"/>
            <w:vAlign w:val="bottom"/>
            <w:tcBorders>
              <w:bottom w:val="single" w:sz="8" w:color="DEEBF7"/>
            </w:tcBorders>
            <w:shd w:val="clear" w:color="auto" w:fill="DEEBF7"/>
          </w:tcPr>
          <w:p>
            <w:pPr>
              <w:spacing w:after="0"/>
              <w:rPr>
                <w:sz w:val="17"/>
                <w:szCs w:val="17"/>
                <w:color w:val="auto"/>
              </w:rPr>
            </w:pPr>
          </w:p>
        </w:tc>
        <w:tc>
          <w:tcPr>
            <w:tcW w:w="500" w:type="dxa"/>
            <w:vAlign w:val="bottom"/>
            <w:tcBorders>
              <w:bottom w:val="single" w:sz="8" w:color="auto"/>
            </w:tcBorders>
            <w:shd w:val="clear" w:color="auto" w:fill="DEEBF7"/>
          </w:tcPr>
          <w:p>
            <w:pPr>
              <w:spacing w:after="0"/>
              <w:rPr>
                <w:sz w:val="17"/>
                <w:szCs w:val="17"/>
                <w:color w:val="auto"/>
              </w:rPr>
            </w:pPr>
          </w:p>
        </w:tc>
        <w:tc>
          <w:tcPr>
            <w:tcW w:w="1180" w:type="dxa"/>
            <w:vAlign w:val="bottom"/>
            <w:tcBorders>
              <w:bottom w:val="single" w:sz="8" w:color="auto"/>
            </w:tcBorders>
            <w:shd w:val="clear" w:color="auto" w:fill="DEEBF7"/>
          </w:tcPr>
          <w:p>
            <w:pPr>
              <w:jc w:val="right"/>
              <w:ind w:right="34"/>
              <w:spacing w:after="0" w:line="202" w:lineRule="exact"/>
              <w:rPr>
                <w:sz w:val="20"/>
                <w:szCs w:val="20"/>
                <w:color w:val="auto"/>
              </w:rPr>
            </w:pPr>
            <w:r>
              <w:rPr>
                <w:rFonts w:ascii="Arial" w:cs="Arial" w:eastAsia="Arial" w:hAnsi="Arial"/>
                <w:sz w:val="18"/>
                <w:szCs w:val="18"/>
                <w:color w:val="auto"/>
              </w:rPr>
              <w:t>704</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3640" w:type="dxa"/>
            <w:vAlign w:val="bottom"/>
            <w:gridSpan w:val="2"/>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96" w:lineRule="exact"/>
              <w:rPr>
                <w:sz w:val="20"/>
                <w:szCs w:val="20"/>
                <w:color w:val="auto"/>
              </w:rPr>
            </w:pPr>
            <w:r>
              <w:rPr>
                <w:rFonts w:ascii="Arial" w:cs="Arial" w:eastAsia="Arial" w:hAnsi="Arial"/>
                <w:sz w:val="18"/>
                <w:szCs w:val="18"/>
                <w:color w:val="auto"/>
                <w:w w:val="94"/>
              </w:rPr>
              <w:t>25,831</w:t>
            </w:r>
          </w:p>
        </w:tc>
        <w:tc>
          <w:tcPr>
            <w:tcW w:w="6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20,395</w:t>
            </w:r>
          </w:p>
        </w:tc>
      </w:tr>
      <w:tr>
        <w:trPr>
          <w:trHeight w:val="20"/>
        </w:trPr>
        <w:tc>
          <w:tcPr>
            <w:tcW w:w="5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6"/>
        </w:trPr>
        <w:tc>
          <w:tcPr>
            <w:tcW w:w="5080" w:type="dxa"/>
            <w:vAlign w:val="bottom"/>
            <w:shd w:val="clear" w:color="auto" w:fill="DEEBF7"/>
          </w:tcPr>
          <w:p>
            <w:pPr>
              <w:spacing w:after="0" w:line="196" w:lineRule="exact"/>
              <w:rPr>
                <w:sz w:val="20"/>
                <w:szCs w:val="20"/>
                <w:color w:val="auto"/>
              </w:rPr>
            </w:pPr>
            <w:r>
              <w:rPr>
                <w:rFonts w:ascii="Arial" w:cs="Arial" w:eastAsia="Arial" w:hAnsi="Arial"/>
                <w:sz w:val="18"/>
                <w:szCs w:val="18"/>
                <w:b w:val="1"/>
                <w:bCs w:val="1"/>
                <w:color w:val="auto"/>
              </w:rPr>
              <w:t>50% of EBITDA</w:t>
            </w:r>
          </w:p>
        </w:tc>
        <w:tc>
          <w:tcPr>
            <w:tcW w:w="3640" w:type="dxa"/>
            <w:vAlign w:val="bottom"/>
            <w:gridSpan w:val="2"/>
            <w:shd w:val="clear" w:color="auto" w:fill="DEEBF7"/>
          </w:tcPr>
          <w:p>
            <w:pPr>
              <w:jc w:val="right"/>
              <w:ind w:right="828"/>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DEEBF7"/>
          </w:tcPr>
          <w:p>
            <w:pPr>
              <w:jc w:val="right"/>
              <w:ind w:right="52"/>
              <w:spacing w:after="0" w:line="196" w:lineRule="exact"/>
              <w:rPr>
                <w:sz w:val="20"/>
                <w:szCs w:val="20"/>
                <w:color w:val="auto"/>
              </w:rPr>
            </w:pPr>
            <w:r>
              <w:rPr>
                <w:rFonts w:ascii="Arial" w:cs="Arial" w:eastAsia="Arial" w:hAnsi="Arial"/>
                <w:sz w:val="18"/>
                <w:szCs w:val="18"/>
                <w:b w:val="1"/>
                <w:bCs w:val="1"/>
                <w:color w:val="auto"/>
                <w:w w:val="94"/>
              </w:rPr>
              <w:t>12,916</w:t>
            </w:r>
          </w:p>
        </w:tc>
        <w:tc>
          <w:tcPr>
            <w:tcW w:w="660" w:type="dxa"/>
            <w:vAlign w:val="bottom"/>
            <w:gridSpan w:val="2"/>
            <w:shd w:val="clear" w:color="auto" w:fill="DEEBF7"/>
          </w:tcPr>
          <w:p>
            <w:pPr>
              <w:jc w:val="right"/>
              <w:ind w:right="40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EEBF7"/>
          </w:tcPr>
          <w:p>
            <w:pPr>
              <w:jc w:val="right"/>
              <w:ind w:right="34"/>
              <w:spacing w:after="0" w:line="196" w:lineRule="exact"/>
              <w:rPr>
                <w:sz w:val="20"/>
                <w:szCs w:val="20"/>
                <w:color w:val="auto"/>
              </w:rPr>
            </w:pPr>
            <w:r>
              <w:rPr>
                <w:rFonts w:ascii="Arial" w:cs="Arial" w:eastAsia="Arial" w:hAnsi="Arial"/>
                <w:sz w:val="18"/>
                <w:szCs w:val="18"/>
                <w:b w:val="1"/>
                <w:bCs w:val="1"/>
                <w:color w:val="auto"/>
              </w:rPr>
              <w:t>10,198</w:t>
            </w:r>
          </w:p>
        </w:tc>
      </w:tr>
      <w:tr>
        <w:trPr>
          <w:trHeight w:val="20"/>
        </w:trPr>
        <w:tc>
          <w:tcPr>
            <w:tcW w:w="5080" w:type="dxa"/>
            <w:vAlign w:val="bottom"/>
            <w:tcBorders>
              <w:top w:val="single" w:sz="8" w:color="DEEBF7"/>
            </w:tcBorders>
            <w:shd w:val="clear" w:color="auto" w:fill="DEEBF7"/>
          </w:tcPr>
          <w:p>
            <w:pPr>
              <w:spacing w:after="0" w:line="20" w:lineRule="exact"/>
              <w:rPr>
                <w:sz w:val="1"/>
                <w:szCs w:val="1"/>
                <w:color w:val="auto"/>
              </w:rPr>
            </w:pPr>
          </w:p>
        </w:tc>
        <w:tc>
          <w:tcPr>
            <w:tcW w:w="2640" w:type="dxa"/>
            <w:vAlign w:val="bottom"/>
            <w:tcBorders>
              <w:top w:val="single" w:sz="8" w:color="DEEBF7"/>
            </w:tcBorders>
            <w:shd w:val="clear" w:color="auto" w:fill="DEEBF7"/>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EEBF7"/>
            </w:tcBorders>
            <w:shd w:val="clear" w:color="auto" w:fill="DEEBF7"/>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-299720</wp:posOffset>
            </wp:positionV>
            <wp:extent cx="111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7" w:lineRule="exact"/>
        <w:rPr>
          <w:sz w:val="20"/>
          <w:szCs w:val="20"/>
          <w:color w:val="auto"/>
        </w:rPr>
      </w:pPr>
    </w:p>
    <w:p>
      <w:pPr>
        <w:ind w:left="380" w:right="340" w:hanging="372"/>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103" w:lineRule="exact"/>
        <w:rPr>
          <w:rFonts w:ascii="Arial" w:cs="Arial" w:eastAsia="Arial" w:hAnsi="Arial"/>
          <w:sz w:val="14"/>
          <w:szCs w:val="14"/>
          <w:color w:val="auto"/>
        </w:rPr>
      </w:pPr>
    </w:p>
    <w:p>
      <w:pPr>
        <w:ind w:left="380" w:right="80" w:hanging="372"/>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define net margin as net loss attributable to Class A and B-1 common stockholders divided by net sales and Adjusted EBITDA margin as Adjusted EBITDA divided by net sales.</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Free Cash Flow</w:t>
      </w:r>
    </w:p>
    <w:p>
      <w:pPr>
        <w:spacing w:after="0" w:line="150"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Free Cash Flow is a non-GAAP financial measure that is calculated as net cash provided by operating activities less cash paid for fixed assets. Management believes that Free Cash Flow, which measures the ability to generate additional cash from business operations, is an important financial measure for use in evaluating the company’s financial performance.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The table below reflects the calculation of Free Cash Flow for the thirteen weeks ended May 2, 2026 compared to the thirteen weeks ended May 3,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13 Weeks Ended</w:t>
            </w:r>
          </w:p>
        </w:tc>
        <w:tc>
          <w:tcPr>
            <w:tcW w:w="1180" w:type="dxa"/>
            <w:vAlign w:val="bottom"/>
            <w:tcBorders>
              <w:bottom w:val="single" w:sz="8" w:color="auto"/>
            </w:tcBorders>
          </w:tcPr>
          <w:p>
            <w:pPr>
              <w:spacing w:after="0"/>
              <w:rPr>
                <w:sz w:val="14"/>
                <w:szCs w:val="14"/>
                <w:color w:val="auto"/>
              </w:rPr>
            </w:pPr>
          </w:p>
        </w:tc>
      </w:tr>
      <w:tr>
        <w:trPr>
          <w:trHeight w:val="146"/>
        </w:trPr>
        <w:tc>
          <w:tcPr>
            <w:tcW w:w="5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ind w:right="599"/>
              <w:spacing w:after="0" w:line="147" w:lineRule="exact"/>
              <w:rPr>
                <w:sz w:val="20"/>
                <w:szCs w:val="20"/>
                <w:color w:val="auto"/>
              </w:rPr>
            </w:pPr>
            <w:r>
              <w:rPr>
                <w:rFonts w:ascii="Arial" w:cs="Arial" w:eastAsia="Arial" w:hAnsi="Arial"/>
                <w:sz w:val="14"/>
                <w:szCs w:val="14"/>
                <w:b w:val="1"/>
                <w:bCs w:val="1"/>
                <w:color w:val="auto"/>
              </w:rPr>
              <w:t>May 2,</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right"/>
              <w:ind w:right="597"/>
              <w:spacing w:after="0" w:line="147" w:lineRule="exact"/>
              <w:rPr>
                <w:sz w:val="20"/>
                <w:szCs w:val="20"/>
                <w:color w:val="auto"/>
              </w:rPr>
            </w:pPr>
            <w:r>
              <w:rPr>
                <w:rFonts w:ascii="Arial" w:cs="Arial" w:eastAsia="Arial" w:hAnsi="Arial"/>
                <w:sz w:val="14"/>
                <w:szCs w:val="14"/>
                <w:b w:val="1"/>
                <w:bCs w:val="1"/>
                <w:color w:val="auto"/>
              </w:rPr>
              <w:t>May 3,</w:t>
            </w:r>
          </w:p>
        </w:tc>
      </w:tr>
      <w:tr>
        <w:trPr>
          <w:trHeight w:val="17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2025</w:t>
            </w:r>
          </w:p>
        </w:tc>
      </w:tr>
      <w:tr>
        <w:trPr>
          <w:trHeight w:val="196"/>
        </w:trPr>
        <w:tc>
          <w:tcPr>
            <w:tcW w:w="5300" w:type="dxa"/>
            <w:vAlign w:val="bottom"/>
            <w:shd w:val="clear" w:color="auto" w:fill="DEEBF7"/>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740" w:type="dxa"/>
            <w:vAlign w:val="bottom"/>
            <w:gridSpan w:val="2"/>
            <w:shd w:val="clear" w:color="auto" w:fill="DEEBF7"/>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DEEBF7"/>
          </w:tcPr>
          <w:p>
            <w:pPr>
              <w:jc w:val="right"/>
              <w:spacing w:after="0" w:line="196" w:lineRule="exact"/>
              <w:rPr>
                <w:sz w:val="20"/>
                <w:szCs w:val="20"/>
                <w:color w:val="auto"/>
              </w:rPr>
            </w:pPr>
            <w:r>
              <w:rPr>
                <w:rFonts w:ascii="Arial" w:cs="Arial" w:eastAsia="Arial" w:hAnsi="Arial"/>
                <w:sz w:val="18"/>
                <w:szCs w:val="18"/>
                <w:color w:val="auto"/>
              </w:rPr>
              <w:t>(30,969)</w:t>
            </w:r>
          </w:p>
        </w:tc>
        <w:tc>
          <w:tcPr>
            <w:tcW w:w="660" w:type="dxa"/>
            <w:vAlign w:val="bottom"/>
            <w:gridSpan w:val="2"/>
            <w:shd w:val="clear" w:color="auto" w:fill="DEEBF7"/>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DEEBF7"/>
          </w:tcPr>
          <w:p>
            <w:pPr>
              <w:jc w:val="right"/>
              <w:spacing w:after="0" w:line="196" w:lineRule="exact"/>
              <w:rPr>
                <w:sz w:val="20"/>
                <w:szCs w:val="20"/>
                <w:color w:val="auto"/>
              </w:rPr>
            </w:pPr>
            <w:r>
              <w:rPr>
                <w:rFonts w:ascii="Arial" w:cs="Arial" w:eastAsia="Arial" w:hAnsi="Arial"/>
                <w:sz w:val="18"/>
                <w:szCs w:val="18"/>
                <w:color w:val="auto"/>
              </w:rPr>
              <w:t>(15,454)</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Cash paid for fixed assets</w:t>
            </w:r>
          </w:p>
        </w:tc>
        <w:tc>
          <w:tcPr>
            <w:tcW w:w="2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(38,153)</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(28,412)</w:t>
            </w:r>
          </w:p>
        </w:tc>
      </w:tr>
      <w:tr>
        <w:trPr>
          <w:trHeight w:val="196"/>
        </w:trPr>
        <w:tc>
          <w:tcPr>
            <w:tcW w:w="5300" w:type="dxa"/>
            <w:vAlign w:val="bottom"/>
            <w:shd w:val="clear" w:color="auto" w:fill="DEEBF7"/>
          </w:tcPr>
          <w:p>
            <w:pPr>
              <w:ind w:left="200"/>
              <w:spacing w:after="0" w:line="196" w:lineRule="exact"/>
              <w:rPr>
                <w:sz w:val="20"/>
                <w:szCs w:val="20"/>
                <w:color w:val="auto"/>
              </w:rPr>
            </w:pPr>
            <w:r>
              <w:rPr>
                <w:rFonts w:ascii="Arial" w:cs="Arial" w:eastAsia="Arial" w:hAnsi="Arial"/>
                <w:sz w:val="18"/>
                <w:szCs w:val="18"/>
                <w:b w:val="1"/>
                <w:bCs w:val="1"/>
                <w:color w:val="auto"/>
              </w:rPr>
              <w:t>Free Cash Flow</w:t>
            </w:r>
          </w:p>
        </w:tc>
        <w:tc>
          <w:tcPr>
            <w:tcW w:w="2740" w:type="dxa"/>
            <w:vAlign w:val="bottom"/>
            <w:gridSpan w:val="2"/>
            <w:shd w:val="clear" w:color="auto" w:fill="DEEBF7"/>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DEEBF7"/>
          </w:tcPr>
          <w:p>
            <w:pPr>
              <w:jc w:val="right"/>
              <w:spacing w:after="0" w:line="196" w:lineRule="exact"/>
              <w:rPr>
                <w:sz w:val="20"/>
                <w:szCs w:val="20"/>
                <w:color w:val="auto"/>
              </w:rPr>
            </w:pPr>
            <w:r>
              <w:rPr>
                <w:rFonts w:ascii="Arial" w:cs="Arial" w:eastAsia="Arial" w:hAnsi="Arial"/>
                <w:sz w:val="18"/>
                <w:szCs w:val="18"/>
                <w:b w:val="1"/>
                <w:bCs w:val="1"/>
                <w:color w:val="auto"/>
              </w:rPr>
              <w:t>(69,122)</w:t>
            </w:r>
          </w:p>
        </w:tc>
        <w:tc>
          <w:tcPr>
            <w:tcW w:w="660" w:type="dxa"/>
            <w:vAlign w:val="bottom"/>
            <w:gridSpan w:val="2"/>
            <w:shd w:val="clear" w:color="auto" w:fill="DEEBF7"/>
          </w:tcPr>
          <w:p>
            <w:pPr>
              <w:jc w:val="right"/>
              <w:ind w:right="40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EEBF7"/>
          </w:tcPr>
          <w:p>
            <w:pPr>
              <w:jc w:val="right"/>
              <w:spacing w:after="0" w:line="196" w:lineRule="exact"/>
              <w:rPr>
                <w:sz w:val="20"/>
                <w:szCs w:val="20"/>
                <w:color w:val="auto"/>
              </w:rPr>
            </w:pPr>
            <w:r>
              <w:rPr>
                <w:rFonts w:ascii="Arial" w:cs="Arial" w:eastAsia="Arial" w:hAnsi="Arial"/>
                <w:sz w:val="18"/>
                <w:szCs w:val="18"/>
                <w:b w:val="1"/>
                <w:bCs w:val="1"/>
                <w:color w:val="auto"/>
              </w:rPr>
              <w:t>(43,866)</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Net Debt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reflects the calculation for net debt as of May 2, 2026 compared to January 31, 2026 and May 3,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May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May 3,</w:t>
            </w:r>
          </w:p>
        </w:tc>
      </w:tr>
      <w:tr>
        <w:trPr>
          <w:trHeight w:val="171"/>
        </w:trPr>
        <w:tc>
          <w:tcPr>
            <w:tcW w:w="54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196"/>
        </w:trPr>
        <w:tc>
          <w:tcPr>
            <w:tcW w:w="5480" w:type="dxa"/>
            <w:vAlign w:val="bottom"/>
            <w:shd w:val="clear" w:color="auto" w:fill="DEEBF7"/>
          </w:tcPr>
          <w:p>
            <w:pPr>
              <w:spacing w:after="0" w:line="196" w:lineRule="exact"/>
              <w:rPr>
                <w:sz w:val="20"/>
                <w:szCs w:val="20"/>
                <w:color w:val="auto"/>
              </w:rPr>
            </w:pPr>
            <w:r>
              <w:rPr>
                <w:rFonts w:ascii="Arial" w:cs="Arial" w:eastAsia="Arial" w:hAnsi="Arial"/>
                <w:sz w:val="18"/>
                <w:szCs w:val="18"/>
                <w:color w:val="auto"/>
              </w:rPr>
              <w:t>Total debt:</w:t>
            </w:r>
          </w:p>
        </w:tc>
        <w:tc>
          <w:tcPr>
            <w:tcW w:w="1160" w:type="dxa"/>
            <w:vAlign w:val="bottom"/>
            <w:shd w:val="clear" w:color="auto" w:fill="DEEBF7"/>
          </w:tcPr>
          <w:p>
            <w:pPr>
              <w:spacing w:after="0"/>
              <w:rPr>
                <w:sz w:val="17"/>
                <w:szCs w:val="17"/>
                <w:color w:val="auto"/>
              </w:rPr>
            </w:pPr>
          </w:p>
        </w:tc>
        <w:tc>
          <w:tcPr>
            <w:tcW w:w="260" w:type="dxa"/>
            <w:vAlign w:val="bottom"/>
            <w:shd w:val="clear" w:color="auto" w:fill="DEEBF7"/>
          </w:tcPr>
          <w:p>
            <w:pPr>
              <w:spacing w:after="0"/>
              <w:rPr>
                <w:sz w:val="17"/>
                <w:szCs w:val="17"/>
                <w:color w:val="auto"/>
              </w:rPr>
            </w:pPr>
          </w:p>
        </w:tc>
        <w:tc>
          <w:tcPr>
            <w:tcW w:w="1180" w:type="dxa"/>
            <w:vAlign w:val="bottom"/>
            <w:shd w:val="clear" w:color="auto" w:fill="DEEBF7"/>
          </w:tcPr>
          <w:p>
            <w:pPr>
              <w:spacing w:after="0"/>
              <w:rPr>
                <w:sz w:val="17"/>
                <w:szCs w:val="17"/>
                <w:color w:val="auto"/>
              </w:rPr>
            </w:pPr>
          </w:p>
        </w:tc>
        <w:tc>
          <w:tcPr>
            <w:tcW w:w="14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1260" w:type="dxa"/>
            <w:vAlign w:val="bottom"/>
            <w:shd w:val="clear" w:color="auto" w:fill="DEEBF7"/>
          </w:tcPr>
          <w:p>
            <w:pPr>
              <w:spacing w:after="0"/>
              <w:rPr>
                <w:sz w:val="17"/>
                <w:szCs w:val="17"/>
                <w:color w:val="auto"/>
              </w:rPr>
            </w:pPr>
          </w:p>
        </w:tc>
        <w:tc>
          <w:tcPr>
            <w:tcW w:w="140" w:type="dxa"/>
            <w:vAlign w:val="bottom"/>
            <w:shd w:val="clear" w:color="auto" w:fill="DEEBF7"/>
          </w:tcPr>
          <w:p>
            <w:pPr>
              <w:spacing w:after="0"/>
              <w:rPr>
                <w:sz w:val="17"/>
                <w:szCs w:val="17"/>
                <w:color w:val="auto"/>
              </w:rPr>
            </w:pPr>
          </w:p>
        </w:tc>
        <w:tc>
          <w:tcPr>
            <w:tcW w:w="280" w:type="dxa"/>
            <w:vAlign w:val="bottom"/>
            <w:shd w:val="clear" w:color="auto" w:fill="DEEBF7"/>
          </w:tcPr>
          <w:p>
            <w:pPr>
              <w:spacing w:after="0"/>
              <w:rPr>
                <w:sz w:val="17"/>
                <w:szCs w:val="17"/>
                <w:color w:val="auto"/>
              </w:rPr>
            </w:pPr>
          </w:p>
        </w:tc>
        <w:tc>
          <w:tcPr>
            <w:tcW w:w="1160" w:type="dxa"/>
            <w:vAlign w:val="bottom"/>
            <w:shd w:val="clear" w:color="auto" w:fill="DEEBF7"/>
          </w:tcPr>
          <w:p>
            <w:pPr>
              <w:spacing w:after="0"/>
              <w:rPr>
                <w:sz w:val="17"/>
                <w:szCs w:val="17"/>
                <w:color w:val="auto"/>
              </w:rPr>
            </w:pPr>
          </w:p>
        </w:tc>
      </w:tr>
      <w:tr>
        <w:trPr>
          <w:trHeight w:val="184"/>
        </w:trPr>
        <w:tc>
          <w:tcPr>
            <w:tcW w:w="5480" w:type="dxa"/>
            <w:vAlign w:val="bottom"/>
          </w:tcPr>
          <w:p>
            <w:pPr>
              <w:ind w:left="180"/>
              <w:spacing w:after="0" w:line="183" w:lineRule="exact"/>
              <w:rPr>
                <w:sz w:val="20"/>
                <w:szCs w:val="20"/>
                <w:color w:val="auto"/>
              </w:rPr>
            </w:pPr>
            <w:r>
              <w:rPr>
                <w:rFonts w:ascii="Arial" w:cs="Arial" w:eastAsia="Arial" w:hAnsi="Arial"/>
                <w:sz w:val="18"/>
                <w:szCs w:val="18"/>
                <w:color w:val="auto"/>
              </w:rPr>
              <w:t>Senior secured credit facilities, net, including current</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1"/>
        </w:trPr>
        <w:tc>
          <w:tcPr>
            <w:tcW w:w="5480" w:type="dxa"/>
            <w:vAlign w:val="bottom"/>
          </w:tcPr>
          <w:p>
            <w:pPr>
              <w:ind w:left="320"/>
              <w:spacing w:after="0"/>
              <w:rPr>
                <w:sz w:val="20"/>
                <w:szCs w:val="20"/>
                <w:color w:val="auto"/>
              </w:rPr>
            </w:pPr>
            <w:r>
              <w:rPr>
                <w:rFonts w:ascii="Arial" w:cs="Arial" w:eastAsia="Arial" w:hAnsi="Arial"/>
                <w:sz w:val="18"/>
                <w:szCs w:val="18"/>
                <w:color w:val="auto"/>
              </w:rPr>
              <w:t>portion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883,116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1,488,527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1,579,338</w:t>
            </w:r>
          </w:p>
        </w:tc>
      </w:tr>
      <w:tr>
        <w:trPr>
          <w:trHeight w:val="203"/>
        </w:trPr>
        <w:tc>
          <w:tcPr>
            <w:tcW w:w="5480" w:type="dxa"/>
            <w:vAlign w:val="bottom"/>
            <w:shd w:val="clear" w:color="auto" w:fill="DEEBF7"/>
          </w:tcPr>
          <w:p>
            <w:pPr>
              <w:ind w:left="180"/>
              <w:spacing w:after="0" w:line="202" w:lineRule="exact"/>
              <w:rPr>
                <w:sz w:val="20"/>
                <w:szCs w:val="20"/>
                <w:color w:val="auto"/>
              </w:rPr>
            </w:pPr>
            <w:r>
              <w:rPr>
                <w:rFonts w:ascii="Arial" w:cs="Arial" w:eastAsia="Arial" w:hAnsi="Arial"/>
                <w:sz w:val="18"/>
                <w:szCs w:val="18"/>
                <w:color w:val="auto"/>
              </w:rPr>
              <w:t>Senior notes, net</w:t>
            </w:r>
          </w:p>
        </w:tc>
        <w:tc>
          <w:tcPr>
            <w:tcW w:w="1160" w:type="dxa"/>
            <w:vAlign w:val="bottom"/>
            <w:shd w:val="clear" w:color="auto" w:fill="DEEBF7"/>
          </w:tcPr>
          <w:p>
            <w:pPr>
              <w:spacing w:after="0"/>
              <w:rPr>
                <w:sz w:val="17"/>
                <w:szCs w:val="17"/>
                <w:color w:val="auto"/>
              </w:rPr>
            </w:pPr>
          </w:p>
        </w:tc>
        <w:tc>
          <w:tcPr>
            <w:tcW w:w="26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5"/>
              <w:spacing w:after="0" w:line="202" w:lineRule="exact"/>
              <w:rPr>
                <w:sz w:val="20"/>
                <w:szCs w:val="20"/>
                <w:color w:val="auto"/>
              </w:rPr>
            </w:pPr>
            <w:r>
              <w:rPr>
                <w:rFonts w:ascii="Arial" w:cs="Arial" w:eastAsia="Arial" w:hAnsi="Arial"/>
                <w:sz w:val="18"/>
                <w:szCs w:val="18"/>
                <w:color w:val="auto"/>
              </w:rPr>
              <w:t>590,146</w:t>
            </w:r>
          </w:p>
        </w:tc>
        <w:tc>
          <w:tcPr>
            <w:tcW w:w="14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1260" w:type="dxa"/>
            <w:vAlign w:val="bottom"/>
            <w:shd w:val="clear" w:color="auto" w:fill="DEEBF7"/>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DEEBF7"/>
          </w:tcPr>
          <w:p>
            <w:pPr>
              <w:spacing w:after="0"/>
              <w:rPr>
                <w:sz w:val="17"/>
                <w:szCs w:val="17"/>
                <w:color w:val="auto"/>
              </w:rPr>
            </w:pPr>
          </w:p>
        </w:tc>
        <w:tc>
          <w:tcPr>
            <w:tcW w:w="280" w:type="dxa"/>
            <w:vAlign w:val="bottom"/>
            <w:shd w:val="clear" w:color="auto" w:fill="DEEBF7"/>
          </w:tcPr>
          <w:p>
            <w:pPr>
              <w:spacing w:after="0"/>
              <w:rPr>
                <w:sz w:val="17"/>
                <w:szCs w:val="17"/>
                <w:color w:val="auto"/>
              </w:rPr>
            </w:pPr>
          </w:p>
        </w:tc>
        <w:tc>
          <w:tcPr>
            <w:tcW w:w="1160" w:type="dxa"/>
            <w:vAlign w:val="bottom"/>
            <w:shd w:val="clear" w:color="auto" w:fill="DEEBF7"/>
          </w:tcPr>
          <w:p>
            <w:pPr>
              <w:jc w:val="right"/>
              <w:ind w:right="35"/>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ind w:left="180"/>
              <w:spacing w:after="0" w:line="202" w:lineRule="exact"/>
              <w:rPr>
                <w:sz w:val="20"/>
                <w:szCs w:val="20"/>
                <w:color w:val="auto"/>
              </w:rPr>
            </w:pPr>
            <w:r>
              <w:rPr>
                <w:rFonts w:ascii="Arial" w:cs="Arial" w:eastAsia="Arial" w:hAnsi="Arial"/>
                <w:sz w:val="18"/>
                <w:szCs w:val="18"/>
                <w:color w:val="auto"/>
              </w:rPr>
              <w:t>Finance leases, including current portion</w:t>
            </w:r>
          </w:p>
        </w:tc>
        <w:tc>
          <w:tcPr>
            <w:tcW w:w="1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8,886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9,683</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13,203</w:t>
            </w:r>
          </w:p>
        </w:tc>
      </w:tr>
      <w:tr>
        <w:trPr>
          <w:trHeight w:val="196"/>
        </w:trPr>
        <w:tc>
          <w:tcPr>
            <w:tcW w:w="5480" w:type="dxa"/>
            <w:vAlign w:val="bottom"/>
            <w:shd w:val="clear" w:color="auto" w:fill="DEEBF7"/>
          </w:tcPr>
          <w:p>
            <w:pPr>
              <w:ind w:left="340"/>
              <w:spacing w:after="0" w:line="196" w:lineRule="exact"/>
              <w:rPr>
                <w:sz w:val="20"/>
                <w:szCs w:val="20"/>
                <w:color w:val="auto"/>
              </w:rPr>
            </w:pPr>
            <w:r>
              <w:rPr>
                <w:rFonts w:ascii="Arial" w:cs="Arial" w:eastAsia="Arial" w:hAnsi="Arial"/>
                <w:sz w:val="18"/>
                <w:szCs w:val="18"/>
                <w:color w:val="auto"/>
              </w:rPr>
              <w:t>Total debt</w:t>
            </w:r>
          </w:p>
        </w:tc>
        <w:tc>
          <w:tcPr>
            <w:tcW w:w="1160" w:type="dxa"/>
            <w:vAlign w:val="bottom"/>
            <w:shd w:val="clear" w:color="auto" w:fill="DEEBF7"/>
          </w:tcPr>
          <w:p>
            <w:pPr>
              <w:spacing w:after="0"/>
              <w:rPr>
                <w:sz w:val="17"/>
                <w:szCs w:val="17"/>
                <w:color w:val="auto"/>
              </w:rPr>
            </w:pPr>
          </w:p>
        </w:tc>
        <w:tc>
          <w:tcPr>
            <w:tcW w:w="260" w:type="dxa"/>
            <w:vAlign w:val="bottom"/>
            <w:shd w:val="clear" w:color="auto" w:fill="DEEBF7"/>
          </w:tcPr>
          <w:p>
            <w:pPr>
              <w:spacing w:after="0"/>
              <w:rPr>
                <w:sz w:val="17"/>
                <w:szCs w:val="17"/>
                <w:color w:val="auto"/>
              </w:rPr>
            </w:pPr>
          </w:p>
        </w:tc>
        <w:tc>
          <w:tcPr>
            <w:tcW w:w="118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color w:val="auto"/>
              </w:rPr>
              <w:t>1,482,148</w:t>
            </w:r>
          </w:p>
        </w:tc>
        <w:tc>
          <w:tcPr>
            <w:tcW w:w="140" w:type="dxa"/>
            <w:vAlign w:val="bottom"/>
            <w:shd w:val="clear" w:color="auto" w:fill="DEEBF7"/>
          </w:tcPr>
          <w:p>
            <w:pPr>
              <w:spacing w:after="0"/>
              <w:rPr>
                <w:sz w:val="17"/>
                <w:szCs w:val="17"/>
                <w:color w:val="auto"/>
              </w:rPr>
            </w:pPr>
          </w:p>
        </w:tc>
        <w:tc>
          <w:tcPr>
            <w:tcW w:w="180" w:type="dxa"/>
            <w:vAlign w:val="bottom"/>
            <w:shd w:val="clear" w:color="auto" w:fill="DEEBF7"/>
          </w:tcPr>
          <w:p>
            <w:pPr>
              <w:spacing w:after="0"/>
              <w:rPr>
                <w:sz w:val="17"/>
                <w:szCs w:val="17"/>
                <w:color w:val="auto"/>
              </w:rPr>
            </w:pPr>
          </w:p>
        </w:tc>
        <w:tc>
          <w:tcPr>
            <w:tcW w:w="126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color w:val="auto"/>
              </w:rPr>
              <w:t>1,498,210</w:t>
            </w:r>
          </w:p>
        </w:tc>
        <w:tc>
          <w:tcPr>
            <w:tcW w:w="140" w:type="dxa"/>
            <w:vAlign w:val="bottom"/>
            <w:shd w:val="clear" w:color="auto" w:fill="DEEBF7"/>
          </w:tcPr>
          <w:p>
            <w:pPr>
              <w:spacing w:after="0"/>
              <w:rPr>
                <w:sz w:val="17"/>
                <w:szCs w:val="17"/>
                <w:color w:val="auto"/>
              </w:rPr>
            </w:pPr>
          </w:p>
        </w:tc>
        <w:tc>
          <w:tcPr>
            <w:tcW w:w="280" w:type="dxa"/>
            <w:vAlign w:val="bottom"/>
            <w:shd w:val="clear" w:color="auto" w:fill="DEEBF7"/>
          </w:tcPr>
          <w:p>
            <w:pPr>
              <w:spacing w:after="0"/>
              <w:rPr>
                <w:sz w:val="17"/>
                <w:szCs w:val="17"/>
                <w:color w:val="auto"/>
              </w:rPr>
            </w:pPr>
          </w:p>
        </w:tc>
        <w:tc>
          <w:tcPr>
            <w:tcW w:w="116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color w:val="auto"/>
              </w:rPr>
              <w:t>1,592,541</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Less: cash and cash equivalents</w:t>
            </w:r>
          </w:p>
        </w:tc>
        <w:tc>
          <w:tcPr>
            <w:tcW w:w="1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(166,804)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(256,736)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(133,343)</w:t>
            </w:r>
          </w:p>
        </w:tc>
      </w:tr>
      <w:tr>
        <w:trPr>
          <w:trHeight w:val="216"/>
        </w:trPr>
        <w:tc>
          <w:tcPr>
            <w:tcW w:w="5480" w:type="dxa"/>
            <w:vAlign w:val="bottom"/>
            <w:shd w:val="clear" w:color="auto" w:fill="DEEBF7"/>
          </w:tcPr>
          <w:p>
            <w:pPr>
              <w:ind w:left="340"/>
              <w:spacing w:after="0" w:line="196" w:lineRule="exact"/>
              <w:rPr>
                <w:sz w:val="20"/>
                <w:szCs w:val="20"/>
                <w:color w:val="auto"/>
              </w:rPr>
            </w:pPr>
            <w:r>
              <w:rPr>
                <w:rFonts w:ascii="Arial" w:cs="Arial" w:eastAsia="Arial" w:hAnsi="Arial"/>
                <w:sz w:val="18"/>
                <w:szCs w:val="18"/>
                <w:b w:val="1"/>
                <w:bCs w:val="1"/>
                <w:color w:val="auto"/>
              </w:rPr>
              <w:t>Net Debt</w:t>
            </w:r>
          </w:p>
        </w:tc>
        <w:tc>
          <w:tcPr>
            <w:tcW w:w="1420" w:type="dxa"/>
            <w:vAlign w:val="bottom"/>
            <w:gridSpan w:val="2"/>
            <w:shd w:val="clear" w:color="auto" w:fill="DEEBF7"/>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b w:val="1"/>
                <w:bCs w:val="1"/>
                <w:color w:val="auto"/>
              </w:rPr>
              <w:t>1,315,344</w:t>
            </w:r>
          </w:p>
        </w:tc>
        <w:tc>
          <w:tcPr>
            <w:tcW w:w="320" w:type="dxa"/>
            <w:vAlign w:val="bottom"/>
            <w:gridSpan w:val="2"/>
            <w:shd w:val="clear" w:color="auto" w:fill="DEEBF7"/>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b w:val="1"/>
                <w:bCs w:val="1"/>
                <w:color w:val="auto"/>
              </w:rPr>
              <w:t>1,241,474</w:t>
            </w:r>
          </w:p>
        </w:tc>
        <w:tc>
          <w:tcPr>
            <w:tcW w:w="420" w:type="dxa"/>
            <w:vAlign w:val="bottom"/>
            <w:gridSpan w:val="2"/>
            <w:shd w:val="clear" w:color="auto" w:fill="DEEBF7"/>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EEBF7"/>
          </w:tcPr>
          <w:p>
            <w:pPr>
              <w:jc w:val="right"/>
              <w:ind w:right="35"/>
              <w:spacing w:after="0" w:line="196" w:lineRule="exact"/>
              <w:rPr>
                <w:sz w:val="20"/>
                <w:szCs w:val="20"/>
                <w:color w:val="auto"/>
              </w:rPr>
            </w:pPr>
            <w:r>
              <w:rPr>
                <w:rFonts w:ascii="Arial" w:cs="Arial" w:eastAsia="Arial" w:hAnsi="Arial"/>
                <w:sz w:val="18"/>
                <w:szCs w:val="18"/>
                <w:b w:val="1"/>
                <w:bCs w:val="1"/>
                <w:color w:val="auto"/>
              </w:rPr>
              <w:t>1,459,198</w:t>
            </w:r>
          </w:p>
        </w:tc>
      </w:tr>
      <w:tr>
        <w:trPr>
          <w:trHeight w:val="20"/>
        </w:trPr>
        <w:tc>
          <w:tcPr>
            <w:tcW w:w="5480" w:type="dxa"/>
            <w:vAlign w:val="bottom"/>
            <w:tcBorders>
              <w:top w:val="single" w:sz="8" w:color="DEEBF7"/>
            </w:tcBorders>
            <w:shd w:val="clear" w:color="auto" w:fill="DEEBF7"/>
          </w:tcPr>
          <w:p>
            <w:pPr>
              <w:spacing w:after="0" w:line="20" w:lineRule="exact"/>
              <w:rPr>
                <w:sz w:val="1"/>
                <w:szCs w:val="1"/>
                <w:color w:val="auto"/>
              </w:rPr>
            </w:pPr>
          </w:p>
        </w:tc>
        <w:tc>
          <w:tcPr>
            <w:tcW w:w="1160" w:type="dxa"/>
            <w:vAlign w:val="bottom"/>
            <w:tcBorders>
              <w:top w:val="single" w:sz="8" w:color="DEEBF7"/>
            </w:tcBorders>
            <w:shd w:val="clear" w:color="auto" w:fill="DEEB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93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1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2026-06-03T15:17:06Z</dcterms:created>
  <dcterms:modified xsi:type="dcterms:W3CDTF">2026-06-03T15:17:06Z</dcterms:modified>
</cp:coreProperties>
</file>