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Romanko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PETCO HEALTH AND WELLNESS COMPANY,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INC., 10850 VIA FRONTERA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Petco Health &amp; Wellness Company, Inc.</w:t>
              </w:r>
            </w:hyperlink>
            <w:r>
              <w:rPr/>
              <w:t xml:space="preserve"> [ </w:t>
            </w:r>
            <w:r>
              <w:rPr>
                <w:rFonts w:ascii="Times;serif" w:hAnsi="Times;serif"/>
                <w:color w:val="0000FF"/>
                <w:sz w:val="24"/>
                <w:shd w:fill="FFFFFF" w:val="clear"/>
              </w:rPr>
              <w:t>WOOF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965"/>
        <w:gridCol w:w="447"/>
        <w:gridCol w:w="663"/>
        <w:gridCol w:w="1310"/>
        <w:gridCol w:w="987"/>
        <w:gridCol w:w="91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90,138</w:t>
            </w:r>
            <w:r>
              <w:rPr>
                <w:rFonts w:ascii="Times;serif" w:hAnsi="Times;serif"/>
                <w:color w:val="008000"/>
                <w:position w:val="7"/>
                <w:sz w:val="16"/>
                <w:sz w:val="20"/>
                <w:shd w:fill="FFFFFF" w:val="clear"/>
              </w:rPr>
              <w:t>(1)</w:t>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2.52</w:t>
            </w:r>
          </w:p>
        </w:tc>
        <w:tc>
          <w:tcPr>
            <w:tcW w:w="13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1,100,807</w:t>
            </w:r>
            <w:r>
              <w:rPr>
                <w:rFonts w:ascii="Times;serif" w:hAnsi="Times;serif"/>
                <w:color w:val="008000"/>
                <w:position w:val="7"/>
                <w:sz w:val="16"/>
                <w:sz w:val="20"/>
                <w:shd w:fill="FFFFFF" w:val="clear"/>
              </w:rPr>
              <w:t>(2)</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reflects the withholding of restricted stock units ("RSUs") in satisfaction of the Reporting Person's tax liability. The RSUs were granted to the Reporting Person on March 4, 2025 pursuant to the Petco Health and Wellness Company, Inc. 2021 Equity Incentive Plan (as amended, the "2021 Plan"), and a portion vested on September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653,965 outstanding RSUs granted under the 2021 Plan. Each RSU represents the right to receive one share of Class A common stock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Customer and Product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Giovanni Insana,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0945" TargetMode="External"/><Relationship Id="rId5" Type="http://schemas.openxmlformats.org/officeDocument/2006/relationships/hyperlink" Target="http://www.sec.gov/cgi-bin/browse-edgar?action=getcompany&amp;CIK=0001826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3602</Characters>
  <CharactersWithSpaces>4196</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