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620" w:hanging="3892"/>
        <w:spacing w:after="0" w:line="305"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July 31, 2021</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p>
      <w:pPr>
        <w:spacing w:after="0" w:line="19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73" w:lineRule="exact"/>
        <w:rPr>
          <w:sz w:val="24"/>
          <w:szCs w:val="24"/>
          <w:color w:val="auto"/>
        </w:rPr>
      </w:pPr>
    </w:p>
    <w:p>
      <w:pPr>
        <w:sectPr>
          <w:pgSz w:w="11900" w:h="16838" w:orient="portrait"/>
          <w:cols w:equalWidth="0" w:num="2">
            <w:col w:w="7220" w:space="720"/>
            <w:col w:w="3300"/>
          </w:cols>
          <w:pgMar w:left="320" w:top="422"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5"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Class A Common Stock, par value $0.001 per share</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WOOF</w:t>
            </w:r>
          </w:p>
        </w:tc>
        <w:tc>
          <w:tcPr>
            <w:tcW w:w="100" w:type="dxa"/>
            <w:vAlign w:val="bottom"/>
          </w:tcPr>
          <w:p>
            <w:pPr>
              <w:spacing w:after="0"/>
              <w:rPr>
                <w:sz w:val="16"/>
                <w:szCs w:val="16"/>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Class A Common Stock outstanding as of August 25, 2021 was 226,491,943.</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Class B-1 Common Stock outstanding as of August 25, 2021 was 37,790,781.</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Class B-2 Common Stock outstanding as of August 25, 2021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gridSpan w:val="7"/>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w:t>
              </w:r>
            </w:hyperlink>
          </w:p>
        </w:tc>
        <w:tc>
          <w:tcPr>
            <w:tcW w:w="50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 Members' Equity</w:t>
              </w:r>
            </w:hyperlink>
          </w:p>
        </w:tc>
        <w:tc>
          <w:tcPr>
            <w:tcW w:w="4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3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OTHER INFORMATION</w:t>
              </w:r>
            </w:hyperlink>
          </w:p>
        </w:tc>
        <w:tc>
          <w:tcPr>
            <w:tcW w:w="74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750"/>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8"/>
          </w:tcPr>
          <w:p>
            <w:pPr>
              <w:ind w:left="4420"/>
              <w:spacing w:after="0"/>
              <w:rPr>
                <w:sz w:val="20"/>
                <w:szCs w:val="20"/>
                <w:color w:val="auto"/>
              </w:rPr>
            </w:pPr>
            <w:r>
              <w:rPr>
                <w:rFonts w:ascii="Arial" w:cs="Arial" w:eastAsia="Arial" w:hAnsi="Arial"/>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7"/>
              </w:rPr>
              <w:t>July 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January 30,</w:t>
            </w:r>
          </w:p>
        </w:tc>
        <w:tc>
          <w:tcPr>
            <w:tcW w:w="0" w:type="dxa"/>
            <w:vAlign w:val="bottom"/>
          </w:tcPr>
          <w:p>
            <w:pPr>
              <w:spacing w:after="0"/>
              <w:rPr>
                <w:sz w:val="1"/>
                <w:szCs w:val="1"/>
                <w:color w:val="auto"/>
              </w:rPr>
            </w:pPr>
          </w:p>
        </w:tc>
      </w:tr>
      <w:tr>
        <w:trPr>
          <w:trHeight w:val="153"/>
        </w:trPr>
        <w:tc>
          <w:tcPr>
            <w:tcW w:w="7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8"/>
              <w:spacing w:after="0" w:line="155" w:lineRule="exact"/>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203,404</w:t>
            </w:r>
          </w:p>
        </w:tc>
        <w:tc>
          <w:tcPr>
            <w:tcW w:w="1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Receivables, less allowance for credit losses ($1,802 and $3,267, respectively)</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39,889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Merchandise inventories, net</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628,491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41,990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40,032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30,381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944,155</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777,549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Fixed assets</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1,586,677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1,487,987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(932,283)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(860,440)</w:t>
            </w:r>
          </w:p>
        </w:tc>
        <w:tc>
          <w:tcPr>
            <w:tcW w:w="0" w:type="dxa"/>
            <w:vAlign w:val="bottom"/>
          </w:tcPr>
          <w:p>
            <w:pPr>
              <w:spacing w:after="0"/>
              <w:rPr>
                <w:sz w:val="1"/>
                <w:szCs w:val="1"/>
                <w:color w:val="auto"/>
              </w:rPr>
            </w:pPr>
          </w:p>
        </w:tc>
      </w:tr>
      <w:tr>
        <w:trPr>
          <w:trHeight w:val="156"/>
        </w:trPr>
        <w:tc>
          <w:tcPr>
            <w:tcW w:w="768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Fixed assets, net</w:t>
            </w:r>
          </w:p>
        </w:tc>
        <w:tc>
          <w:tcPr>
            <w:tcW w:w="2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654,394</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627,547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1,314,533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1,328,108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2,182,465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Trade name</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Other intangible assets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24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(4,251)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55"/>
        </w:trPr>
        <w:tc>
          <w:tcPr>
            <w:tcW w:w="768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Other intangible assets, net</w:t>
            </w:r>
          </w:p>
        </w:tc>
        <w:tc>
          <w:tcPr>
            <w:tcW w:w="2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542</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194,092</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137,474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6,315,181</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Accounts payable and book overdrafts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406,685</w:t>
            </w:r>
          </w:p>
        </w:tc>
        <w:tc>
          <w:tcPr>
            <w:tcW w:w="180" w:type="dxa"/>
            <w:vAlign w:val="bottom"/>
          </w:tcPr>
          <w:p>
            <w:pPr>
              <w:spacing w:after="0"/>
              <w:rPr>
                <w:sz w:val="14"/>
                <w:szCs w:val="14"/>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339,485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salaries and employee benefits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123,721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210,517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145,846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248,631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258,289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Current portion of long-term debt and other lease liabilities</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1,009,789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875,307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tcPr>
          <w:p>
            <w:pPr>
              <w:spacing w:after="0" w:line="155" w:lineRule="exact"/>
              <w:rPr>
                <w:sz w:val="20"/>
                <w:szCs w:val="20"/>
                <w:color w:val="auto"/>
              </w:rPr>
            </w:pPr>
            <w:r>
              <w:rPr>
                <w:rFonts w:ascii="Arial" w:cs="Arial" w:eastAsia="Arial" w:hAnsi="Arial"/>
                <w:sz w:val="14"/>
                <w:szCs w:val="14"/>
                <w:color w:val="auto"/>
              </w:rPr>
              <w:t>Senior secured credit facilities, net, excluding current portion</w:t>
            </w:r>
          </w:p>
        </w:tc>
        <w:tc>
          <w:tcPr>
            <w:tcW w:w="2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1,646,463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1,646,281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liabilities, excluding current portion</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1,070,063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Deferred taxes, net</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293,611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280,920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135,873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4,155,799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4,020,437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 (Notes 3, 4 and 8)</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400"/>
              <w:spacing w:after="0" w:line="149" w:lineRule="exact"/>
              <w:rPr>
                <w:sz w:val="20"/>
                <w:szCs w:val="20"/>
                <w:color w:val="auto"/>
              </w:rPr>
            </w:pPr>
            <w:r>
              <w:rPr>
                <w:rFonts w:ascii="Arial" w:cs="Arial" w:eastAsia="Arial" w:hAnsi="Arial"/>
                <w:sz w:val="14"/>
                <w:szCs w:val="14"/>
                <w:color w:val="auto"/>
              </w:rPr>
              <w:t>Issued and outstanding - 226.5 million shares as of July 31, 2021</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and 226.4 million shares as of January 30, 2021</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80" w:type="dxa"/>
            <w:vAlign w:val="bottom"/>
          </w:tcPr>
          <w:p>
            <w:pPr>
              <w:ind w:left="26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2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80" w:type="dxa"/>
            <w:vAlign w:val="bottom"/>
          </w:tcPr>
          <w:p>
            <w:pPr>
              <w:ind w:left="26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tcPr>
          <w:p>
            <w:pPr>
              <w:ind w:left="400"/>
              <w:spacing w:after="0"/>
              <w:rPr>
                <w:sz w:val="20"/>
                <w:szCs w:val="20"/>
                <w:color w:val="auto"/>
              </w:rPr>
            </w:pPr>
            <w:r>
              <w:rPr>
                <w:rFonts w:ascii="Arial" w:cs="Arial" w:eastAsia="Arial" w:hAnsi="Arial"/>
                <w:sz w:val="14"/>
                <w:szCs w:val="14"/>
                <w:color w:val="auto"/>
              </w:rPr>
              <w:t>Issued and outstanding - none</w:t>
            </w:r>
          </w:p>
        </w:tc>
        <w:tc>
          <w:tcPr>
            <w:tcW w:w="24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paid-in-capital</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2,115,220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2,092,110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Retained earnings (accumulated deficit)</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60,420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(22,251)</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(1,272)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2,174,632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2,068,848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(15,250)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2,159,382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2,055,265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6,315,181</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5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2"/>
              <w:spacing w:after="0" w:line="133" w:lineRule="exact"/>
              <w:rPr>
                <w:sz w:val="20"/>
                <w:szCs w:val="20"/>
                <w:color w:val="auto"/>
              </w:rPr>
            </w:pPr>
            <w:r>
              <w:rPr>
                <w:rFonts w:ascii="Arial" w:cs="Arial" w:eastAsia="Arial" w:hAnsi="Arial"/>
                <w:sz w:val="14"/>
                <w:szCs w:val="14"/>
                <w:b w:val="1"/>
                <w:bCs w:val="1"/>
                <w:color w:val="auto"/>
              </w:rPr>
              <w:t>August 1,</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2"/>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r>
      <w:tr>
        <w:trPr>
          <w:trHeight w:val="171"/>
        </w:trPr>
        <w:tc>
          <w:tcPr>
            <w:tcW w:w="502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1,208,971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2,849,528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2,322,492</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835,124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1,326,457</w:t>
            </w:r>
          </w:p>
        </w:tc>
        <w:tc>
          <w:tcPr>
            <w:tcW w:w="10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1,196,395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996,035</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464,706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1,075,178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914,623</w:t>
            </w:r>
          </w:p>
        </w:tc>
        <w:tc>
          <w:tcPr>
            <w:tcW w:w="10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81,412</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115,301</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(45,162)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(45,162)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02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w:t>
            </w: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20" w:type="dxa"/>
            <w:vAlign w:val="bottom"/>
          </w:tcPr>
          <w:p>
            <w:pPr>
              <w:ind w:left="640"/>
              <w:spacing w:after="0"/>
              <w:rPr>
                <w:sz w:val="20"/>
                <w:szCs w:val="20"/>
                <w:color w:val="auto"/>
              </w:rPr>
            </w:pPr>
            <w:r>
              <w:rPr>
                <w:rFonts w:ascii="Arial" w:cs="Arial" w:eastAsia="Arial" w:hAnsi="Arial"/>
                <w:sz w:val="18"/>
                <w:szCs w:val="18"/>
                <w:color w:val="auto"/>
              </w:rPr>
              <w:t>from equity method investees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105,840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(33,606)</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(5,597)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r>
      <w:tr>
        <w:trPr>
          <w:trHeight w:val="223"/>
        </w:trPr>
        <w:tc>
          <w:tcPr>
            <w:tcW w:w="5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(3,205)</w:t>
            </w:r>
          </w:p>
        </w:tc>
      </w:tr>
      <w:tr>
        <w:trPr>
          <w:trHeight w:val="209"/>
        </w:trPr>
        <w:tc>
          <w:tcPr>
            <w:tcW w:w="5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 attributable to Class A and B-1</w:t>
            </w:r>
          </w:p>
        </w:tc>
        <w:tc>
          <w:tcPr>
            <w:tcW w:w="8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stockholders</w:t>
            </w: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75,111</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82,671</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(23,727)</w:t>
            </w:r>
          </w:p>
        </w:tc>
      </w:tr>
      <w:tr>
        <w:trPr>
          <w:trHeight w:val="230"/>
        </w:trPr>
        <w:tc>
          <w:tcPr>
            <w:tcW w:w="5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Class A and B-1 common share (1):</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5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(loss) per Class A and B-1 common share (1):</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264,216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264,216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209,015</w:t>
            </w:r>
          </w:p>
        </w:tc>
        <w:tc>
          <w:tcPr>
            <w:tcW w:w="100" w:type="dxa"/>
            <w:vAlign w:val="bottom"/>
          </w:tcPr>
          <w:p>
            <w:pPr>
              <w:spacing w:after="0"/>
              <w:rPr>
                <w:sz w:val="19"/>
                <w:szCs w:val="19"/>
                <w:color w:val="auto"/>
              </w:rPr>
            </w:pPr>
          </w:p>
        </w:tc>
      </w:tr>
      <w:tr>
        <w:trPr>
          <w:trHeight w:val="24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265,217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209,015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265,123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209,015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0" w:lineRule="exact"/>
        <w:rPr>
          <w:sz w:val="20"/>
          <w:szCs w:val="20"/>
          <w:color w:val="auto"/>
        </w:rPr>
      </w:pPr>
    </w:p>
    <w:p>
      <w:pPr>
        <w:ind w:left="500" w:right="20" w:hanging="492"/>
        <w:spacing w:after="0" w:line="25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periods prior to the Company’s conversion to a Delaware corporation have been retrospectively adjusted to give effect to the organizational transactions described in Note 1. See Note 7 for further discussion.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58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July 31,</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3"/>
              <w:spacing w:after="0" w:line="133" w:lineRule="exact"/>
              <w:rPr>
                <w:sz w:val="20"/>
                <w:szCs w:val="20"/>
                <w:color w:val="auto"/>
              </w:rPr>
            </w:pPr>
            <w:r>
              <w:rPr>
                <w:rFonts w:ascii="Arial" w:cs="Arial" w:eastAsia="Arial" w:hAnsi="Arial"/>
                <w:sz w:val="14"/>
                <w:szCs w:val="14"/>
                <w:b w:val="1"/>
                <w:bCs w:val="1"/>
                <w:color w:val="auto"/>
              </w:rPr>
              <w:t>August 1,</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3"/>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r>
      <w:tr>
        <w:trPr>
          <w:trHeight w:val="171"/>
        </w:trPr>
        <w:tc>
          <w:tcPr>
            <w:tcW w:w="58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(3,205)</w:t>
            </w:r>
          </w:p>
        </w:tc>
      </w:tr>
      <w:tr>
        <w:trPr>
          <w:trHeight w:val="20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Class A and B-1</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(23,727)</w:t>
            </w:r>
          </w:p>
        </w:tc>
      </w:tr>
      <w:tr>
        <w:trPr>
          <w:trHeight w:val="229"/>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(4,689)</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Losses on derivatives reclassified to income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(27,933)</w:t>
            </w: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Comprehensive loss attributable to noncontrolling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(3,205)</w:t>
            </w:r>
          </w:p>
        </w:tc>
      </w:tr>
      <w:tr>
        <w:trPr>
          <w:trHeight w:val="20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Class A and</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B-1 common stockholders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82,674</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(24,728)</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STOCKHOLDERS’ /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6"/>
          </w:tcPr>
          <w:p>
            <w:pPr>
              <w:ind w:left="240"/>
              <w:spacing w:after="0"/>
              <w:rPr>
                <w:sz w:val="20"/>
                <w:szCs w:val="20"/>
                <w:color w:val="auto"/>
              </w:rPr>
            </w:pPr>
            <w:r>
              <w:rPr>
                <w:rFonts w:ascii="Arial" w:cs="Arial" w:eastAsia="Arial" w:hAnsi="Arial"/>
                <w:sz w:val="11"/>
                <w:szCs w:val="11"/>
                <w:b w:val="1"/>
                <w:bCs w:val="1"/>
                <w:color w:val="auto"/>
                <w:w w:val="98"/>
              </w:rPr>
              <w:t>Common stock</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1"/>
                <w:szCs w:val="11"/>
                <w:color w:val="auto"/>
              </w:rPr>
            </w:pPr>
          </w:p>
        </w:tc>
        <w:tc>
          <w:tcPr>
            <w:tcW w:w="78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1"/>
              </w:rPr>
              <w:t>Class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Class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deficit)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360"/>
              <w:spacing w:after="0" w:line="122" w:lineRule="exact"/>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Members’</w:t>
            </w:r>
          </w:p>
        </w:tc>
        <w:tc>
          <w:tcPr>
            <w:tcW w:w="6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B-1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B-2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retained</w:t>
            </w:r>
          </w:p>
        </w:tc>
        <w:tc>
          <w:tcPr>
            <w:tcW w:w="80" w:type="dxa"/>
            <w:vAlign w:val="bottom"/>
          </w:tcPr>
          <w:p>
            <w:pPr>
              <w:spacing w:after="0"/>
              <w:rPr>
                <w:sz w:val="10"/>
                <w:szCs w:val="10"/>
                <w:color w:val="auto"/>
              </w:rPr>
            </w:pPr>
          </w:p>
        </w:tc>
        <w:tc>
          <w:tcPr>
            <w:tcW w:w="78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w w:val="94"/>
              </w:rPr>
              <w:t>comprehensive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stockholders’</w:t>
            </w:r>
          </w:p>
        </w:tc>
        <w:tc>
          <w:tcPr>
            <w:tcW w:w="60" w:type="dxa"/>
            <w:vAlign w:val="bottom"/>
          </w:tcPr>
          <w:p>
            <w:pPr>
              <w:spacing w:after="0"/>
              <w:rPr>
                <w:sz w:val="10"/>
                <w:szCs w:val="10"/>
                <w:color w:val="auto"/>
              </w:rPr>
            </w:pPr>
          </w:p>
        </w:tc>
        <w:tc>
          <w:tcPr>
            <w:tcW w:w="8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9"/>
              </w:rPr>
              <w:t>interest (1)</w:t>
            </w:r>
          </w:p>
        </w:tc>
        <w:tc>
          <w:tcPr>
            <w:tcW w:w="200" w:type="dxa"/>
            <w:vAlign w:val="bottom"/>
            <w:tcBorders>
              <w:bottom w:val="single" w:sz="8" w:color="CFF0FC"/>
            </w:tcBorders>
            <w:gridSpan w:val="2"/>
          </w:tcPr>
          <w:p>
            <w:pPr>
              <w:spacing w:after="0"/>
              <w:rPr>
                <w:sz w:val="11"/>
                <w:szCs w:val="11"/>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4"/>
              </w:rPr>
              <w:t>(shares)</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6"/>
              </w:rPr>
              <w:t>earnings (1)</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72"/>
              </w:rPr>
              <w:t>loss</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equity</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interest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January 30, 2021</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226,424</w:t>
            </w:r>
          </w:p>
        </w:tc>
        <w:tc>
          <w:tcPr>
            <w:tcW w:w="620" w:type="dxa"/>
            <w:vAlign w:val="bottom"/>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620" w:type="dxa"/>
            <w:vAlign w:val="bottom"/>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264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2,092,110</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1"/>
                <w:szCs w:val="11"/>
                <w:color w:val="auto"/>
                <w:w w:val="97"/>
              </w:rPr>
              <w:t>$</w:t>
            </w:r>
          </w:p>
        </w:tc>
        <w:tc>
          <w:tcPr>
            <w:tcW w:w="68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(22,251)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(1,275)</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2,068,848</w:t>
            </w: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w w:val="97"/>
              </w:rPr>
              <w:t>$</w:t>
            </w: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(13,583)</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2,055,265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240" w:type="dxa"/>
            <w:vAlign w:val="bottom"/>
            <w:gridSpan w:val="56"/>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(Note 7)</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11,604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11,604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7,560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7,560</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(1,411)</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240" w:type="dxa"/>
            <w:vAlign w:val="bottom"/>
            <w:gridSpan w:val="56"/>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(786)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(786)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Issuance of restricted stock awards</w:t>
            </w:r>
          </w:p>
        </w:tc>
        <w:tc>
          <w:tcPr>
            <w:tcW w:w="50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spacing w:after="0"/>
              <w:rPr>
                <w:sz w:val="11"/>
                <w:szCs w:val="11"/>
                <w:color w:val="auto"/>
              </w:rPr>
            </w:pPr>
          </w:p>
        </w:tc>
        <w:tc>
          <w:tcPr>
            <w:tcW w:w="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55</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tcPr>
          <w:p>
            <w:pPr>
              <w:spacing w:after="0"/>
              <w:rPr>
                <w:sz w:val="20"/>
                <w:szCs w:val="20"/>
                <w:color w:val="auto"/>
              </w:rPr>
            </w:pPr>
            <w:r>
              <w:rPr>
                <w:rFonts w:ascii="Arial" w:cs="Arial" w:eastAsia="Arial" w:hAnsi="Arial"/>
                <w:sz w:val="11"/>
                <w:szCs w:val="11"/>
                <w:b w:val="1"/>
                <w:bCs w:val="1"/>
                <w:color w:val="auto"/>
              </w:rPr>
              <w:t>Balance at May 1, 2021</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1"/>
                <w:szCs w:val="11"/>
                <w:color w:val="auto"/>
              </w:rPr>
              <w:t>226,479</w:t>
            </w:r>
          </w:p>
        </w:tc>
        <w:tc>
          <w:tcPr>
            <w:tcW w:w="620" w:type="dxa"/>
            <w:vAlign w:val="bottom"/>
            <w:gridSpan w:val="4"/>
          </w:tcPr>
          <w:p>
            <w:pPr>
              <w:jc w:val="right"/>
              <w:ind w:right="20"/>
              <w:spacing w:after="0"/>
              <w:rPr>
                <w:sz w:val="20"/>
                <w:szCs w:val="20"/>
                <w:color w:val="auto"/>
              </w:rPr>
            </w:pPr>
            <w:r>
              <w:rPr>
                <w:rFonts w:ascii="Arial" w:cs="Arial" w:eastAsia="Arial" w:hAnsi="Arial"/>
                <w:sz w:val="11"/>
                <w:szCs w:val="11"/>
                <w:color w:val="auto"/>
              </w:rPr>
              <w:t>37,791</w:t>
            </w:r>
          </w:p>
        </w:tc>
        <w:tc>
          <w:tcPr>
            <w:tcW w:w="620" w:type="dxa"/>
            <w:vAlign w:val="bottom"/>
            <w:gridSpan w:val="4"/>
          </w:tcPr>
          <w:p>
            <w:pPr>
              <w:jc w:val="right"/>
              <w:ind w:right="20"/>
              <w:spacing w:after="0"/>
              <w:rPr>
                <w:sz w:val="20"/>
                <w:szCs w:val="20"/>
                <w:color w:val="auto"/>
              </w:rPr>
            </w:pPr>
            <w:r>
              <w:rPr>
                <w:rFonts w:ascii="Arial" w:cs="Arial" w:eastAsia="Arial" w:hAnsi="Arial"/>
                <w:sz w:val="11"/>
                <w:szCs w:val="11"/>
                <w:color w:val="auto"/>
              </w:rPr>
              <w:t>37,791</w:t>
            </w:r>
          </w:p>
        </w:tc>
        <w:tc>
          <w:tcPr>
            <w:tcW w:w="2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264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2,103,714</w:t>
            </w:r>
          </w:p>
        </w:tc>
        <w:tc>
          <w:tcPr>
            <w:tcW w:w="280" w:type="dxa"/>
            <w:vAlign w:val="bottom"/>
            <w:gridSpan w:val="3"/>
          </w:tcPr>
          <w:p>
            <w:pPr>
              <w:ind w:left="200"/>
              <w:spacing w:after="0"/>
              <w:rPr>
                <w:sz w:val="20"/>
                <w:szCs w:val="20"/>
                <w:color w:val="auto"/>
              </w:rPr>
            </w:pPr>
            <w:r>
              <w:rPr>
                <w:rFonts w:ascii="Arial" w:cs="Arial" w:eastAsia="Arial" w:hAnsi="Arial"/>
                <w:sz w:val="11"/>
                <w:szCs w:val="11"/>
                <w:color w:val="auto"/>
                <w:w w:val="97"/>
              </w:rPr>
              <w:t>$</w:t>
            </w:r>
          </w:p>
        </w:tc>
        <w:tc>
          <w:tcPr>
            <w:tcW w:w="680" w:type="dxa"/>
            <w:vAlign w:val="bottom"/>
            <w:gridSpan w:val="3"/>
          </w:tcPr>
          <w:p>
            <w:pPr>
              <w:jc w:val="right"/>
              <w:ind w:right="80"/>
              <w:spacing w:after="0"/>
              <w:rPr>
                <w:sz w:val="20"/>
                <w:szCs w:val="20"/>
                <w:color w:val="auto"/>
              </w:rPr>
            </w:pPr>
            <w:r>
              <w:rPr>
                <w:rFonts w:ascii="Arial" w:cs="Arial" w:eastAsia="Arial" w:hAnsi="Arial"/>
                <w:sz w:val="11"/>
                <w:szCs w:val="11"/>
                <w:color w:val="auto"/>
              </w:rPr>
              <w:t>(14,691)</w:t>
            </w:r>
          </w:p>
        </w:tc>
        <w:tc>
          <w:tcPr>
            <w:tcW w:w="18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1"/>
                <w:szCs w:val="11"/>
                <w:color w:val="auto"/>
              </w:rPr>
              <w:t>(2,061)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2,087,226</w:t>
            </w:r>
          </w:p>
        </w:tc>
        <w:tc>
          <w:tcPr>
            <w:tcW w:w="14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1"/>
                <w:szCs w:val="11"/>
                <w:color w:val="auto"/>
                <w:w w:val="97"/>
              </w:rPr>
              <w:t>$</w:t>
            </w: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(14,994)</w:t>
            </w:r>
          </w:p>
        </w:tc>
        <w:tc>
          <w:tcPr>
            <w:tcW w:w="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2,072,232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580" w:type="dxa"/>
            <w:vAlign w:val="bottom"/>
            <w:tcBorders>
              <w:top w:val="single" w:sz="8" w:color="CFF0FC"/>
            </w:tcBorders>
            <w:gridSpan w:val="2"/>
            <w:shd w:val="clear" w:color="auto" w:fill="CFF0FC"/>
          </w:tcPr>
          <w:p>
            <w:pPr>
              <w:spacing w:after="0" w:line="106" w:lineRule="exact"/>
              <w:rPr>
                <w:sz w:val="20"/>
                <w:szCs w:val="20"/>
                <w:color w:val="auto"/>
              </w:rPr>
            </w:pPr>
            <w:r>
              <w:rPr>
                <w:rFonts w:ascii="Arial" w:cs="Arial" w:eastAsia="Arial" w:hAnsi="Arial"/>
                <w:sz w:val="11"/>
                <w:szCs w:val="11"/>
                <w:color w:val="auto"/>
              </w:rPr>
              <w:t>Equity-based compensation expense</w:t>
            </w:r>
          </w:p>
        </w:tc>
        <w:tc>
          <w:tcPr>
            <w:tcW w:w="640" w:type="dxa"/>
            <w:vAlign w:val="bottom"/>
            <w:tcBorders>
              <w:top w:val="single" w:sz="8" w:color="auto"/>
            </w:tcBorders>
            <w:gridSpan w:val="4"/>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48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420" w:type="dxa"/>
            <w:vAlign w:val="bottom"/>
            <w:tcBorders>
              <w:top w:val="single" w:sz="8" w:color="auto"/>
            </w:tcBorders>
            <w:gridSpan w:val="2"/>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420" w:type="dxa"/>
            <w:vAlign w:val="bottom"/>
            <w:tcBorders>
              <w:top w:val="single" w:sz="8" w:color="auto"/>
            </w:tcBorders>
            <w:gridSpan w:val="2"/>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64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3"/>
            <w:shd w:val="clear" w:color="auto" w:fill="CFF0FC"/>
          </w:tcPr>
          <w:p>
            <w:pPr>
              <w:spacing w:after="0"/>
              <w:rPr>
                <w:sz w:val="9"/>
                <w:szCs w:val="9"/>
                <w:color w:val="auto"/>
              </w:rPr>
            </w:pPr>
          </w:p>
        </w:tc>
        <w:tc>
          <w:tcPr>
            <w:tcW w:w="64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64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70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3"/>
            <w:shd w:val="clear" w:color="auto" w:fill="CFF0FC"/>
          </w:tcPr>
          <w:p>
            <w:pPr>
              <w:spacing w:after="0"/>
              <w:rPr>
                <w:sz w:val="9"/>
                <w:szCs w:val="9"/>
                <w:color w:val="auto"/>
              </w:rPr>
            </w:pPr>
          </w:p>
        </w:tc>
        <w:tc>
          <w:tcPr>
            <w:tcW w:w="64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700" w:type="dxa"/>
            <w:vAlign w:val="bottom"/>
            <w:tcBorders>
              <w:top w:val="single" w:sz="8" w:color="auto"/>
            </w:tcBorders>
            <w:gridSpan w:val="3"/>
            <w:shd w:val="clear" w:color="auto" w:fill="CFF0FC"/>
          </w:tcPr>
          <w:p>
            <w:pPr>
              <w:spacing w:after="0"/>
              <w:rPr>
                <w:sz w:val="9"/>
                <w:szCs w:val="9"/>
                <w:color w:val="auto"/>
              </w:rPr>
            </w:pPr>
          </w:p>
        </w:tc>
        <w:tc>
          <w:tcPr>
            <w:tcW w:w="200" w:type="dxa"/>
            <w:vAlign w:val="bottom"/>
            <w:tcBorders>
              <w:top w:val="single" w:sz="8" w:color="CFF0FC"/>
            </w:tcBorders>
            <w:gridSpan w:val="2"/>
            <w:shd w:val="clear" w:color="auto" w:fill="CFF0FC"/>
          </w:tcPr>
          <w:p>
            <w:pPr>
              <w:spacing w:after="0"/>
              <w:rPr>
                <w:sz w:val="9"/>
                <w:szCs w:val="9"/>
                <w:color w:val="auto"/>
              </w:rPr>
            </w:pPr>
          </w:p>
        </w:tc>
        <w:tc>
          <w:tcPr>
            <w:tcW w:w="640" w:type="dxa"/>
            <w:vAlign w:val="bottom"/>
            <w:tcBorders>
              <w:top w:val="single" w:sz="8" w:color="auto"/>
            </w:tcBorders>
            <w:gridSpan w:val="2"/>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7)</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11,506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11,506</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20"/>
                <w:szCs w:val="20"/>
                <w:color w:val="auto"/>
              </w:rPr>
            </w:pPr>
            <w:r>
              <w:rPr>
                <w:rFonts w:ascii="Arial" w:cs="Arial" w:eastAsia="Arial" w:hAnsi="Arial"/>
                <w:sz w:val="11"/>
                <w:szCs w:val="11"/>
                <w:color w:val="auto"/>
              </w:rPr>
              <w:t>Net income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75,111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75,111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1"/>
                <w:szCs w:val="11"/>
                <w:color w:val="auto"/>
              </w:rPr>
              <w:t>(256)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74,855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240" w:type="dxa"/>
            <w:vAlign w:val="bottom"/>
            <w:gridSpan w:val="56"/>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789</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789</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Issuance of common stock</w:t>
            </w:r>
          </w:p>
        </w:tc>
        <w:tc>
          <w:tcPr>
            <w:tcW w:w="5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12</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July 31, 2021</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spacing w:after="0"/>
              <w:rPr>
                <w:sz w:val="11"/>
                <w:szCs w:val="11"/>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226,491</w:t>
            </w:r>
          </w:p>
        </w:tc>
        <w:tc>
          <w:tcPr>
            <w:tcW w:w="200" w:type="dxa"/>
            <w:vAlign w:val="bottom"/>
            <w:gridSpan w:val="2"/>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200" w:type="dxa"/>
            <w:vAlign w:val="bottom"/>
            <w:gridSpan w:val="2"/>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200" w:type="dxa"/>
            <w:vAlign w:val="bottom"/>
            <w:gridSpan w:val="2"/>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264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2,115,220</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60,420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(1,272)</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2,174,632</w:t>
            </w: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w w:val="97"/>
              </w:rPr>
              <w:t>$</w:t>
            </w: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(15,250)</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2,159,382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ind w:left="240"/>
              <w:spacing w:after="0"/>
              <w:rPr>
                <w:sz w:val="20"/>
                <w:szCs w:val="20"/>
                <w:color w:val="auto"/>
              </w:rPr>
            </w:pPr>
            <w:r>
              <w:rPr>
                <w:rFonts w:ascii="Arial" w:cs="Arial" w:eastAsia="Arial" w:hAnsi="Arial"/>
                <w:sz w:val="11"/>
                <w:szCs w:val="11"/>
                <w:b w:val="1"/>
                <w:bCs w:val="1"/>
                <w:color w:val="auto"/>
                <w:w w:val="98"/>
              </w:rPr>
              <w:t>Common stock</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5"/>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1"/>
              </w:rPr>
              <w:t>Class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1"/>
              </w:rPr>
              <w:t>Class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4"/>
          </w:tcPr>
          <w:p>
            <w:pPr>
              <w:jc w:val="right"/>
              <w:ind w:right="16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4"/>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420"/>
              <w:spacing w:after="0" w:line="122" w:lineRule="exact"/>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tcPr>
          <w:p>
            <w:pPr>
              <w:jc w:val="right"/>
              <w:ind w:right="240"/>
              <w:spacing w:after="0" w:line="122" w:lineRule="exact"/>
              <w:rPr>
                <w:sz w:val="20"/>
                <w:szCs w:val="20"/>
                <w:color w:val="auto"/>
              </w:rPr>
            </w:pPr>
            <w:r>
              <w:rPr>
                <w:rFonts w:ascii="Arial" w:cs="Arial" w:eastAsia="Arial" w:hAnsi="Arial"/>
                <w:sz w:val="11"/>
                <w:szCs w:val="11"/>
                <w:b w:val="1"/>
                <w:bCs w:val="1"/>
                <w:color w:val="auto"/>
                <w:w w:val="89"/>
              </w:rPr>
              <w:t>Members’</w:t>
            </w:r>
          </w:p>
        </w:tc>
        <w:tc>
          <w:tcPr>
            <w:tcW w:w="60" w:type="dxa"/>
            <w:vAlign w:val="bottom"/>
          </w:tcPr>
          <w:p>
            <w:pPr>
              <w:spacing w:after="0"/>
              <w:rPr>
                <w:sz w:val="10"/>
                <w:szCs w:val="10"/>
                <w:color w:val="auto"/>
              </w:rPr>
            </w:pPr>
          </w:p>
        </w:tc>
        <w:tc>
          <w:tcPr>
            <w:tcW w:w="4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B-1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B-2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4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8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comprehensive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members’</w:t>
            </w:r>
          </w:p>
        </w:tc>
        <w:tc>
          <w:tcPr>
            <w:tcW w:w="92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85"/>
              </w:rPr>
              <w:t>interest (1)</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4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(shares)</w:t>
            </w:r>
          </w:p>
        </w:tc>
        <w:tc>
          <w:tcPr>
            <w:tcW w:w="6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(shares)</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w w:val="89"/>
              </w:rPr>
              <w:t>deficit (1)</w:t>
            </w:r>
          </w:p>
        </w:tc>
        <w:tc>
          <w:tcPr>
            <w:tcW w:w="200" w:type="dxa"/>
            <w:vAlign w:val="bottom"/>
            <w:tcBorders>
              <w:bottom w:val="single" w:sz="8" w:color="CFF0FC"/>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81"/>
              </w:rPr>
              <w:t>loss</w:t>
            </w:r>
          </w:p>
        </w:tc>
        <w:tc>
          <w:tcPr>
            <w:tcW w:w="16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6"/>
              </w:rPr>
              <w:t>equity</w:t>
            </w:r>
          </w:p>
        </w:tc>
        <w:tc>
          <w:tcPr>
            <w:tcW w:w="200" w:type="dxa"/>
            <w:vAlign w:val="bottom"/>
            <w:tcBorders>
              <w:bottom w:val="single" w:sz="8" w:color="CFF0FC"/>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0"/>
              </w:rPr>
              <w:t>interest</w:t>
            </w:r>
          </w:p>
        </w:tc>
        <w:tc>
          <w:tcPr>
            <w:tcW w:w="20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8"/>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February 1, 2020</w:t>
            </w:r>
          </w:p>
        </w:tc>
        <w:tc>
          <w:tcPr>
            <w:tcW w:w="620" w:type="dxa"/>
            <w:vAlign w:val="bottom"/>
            <w:gridSpan w:val="3"/>
            <w:shd w:val="clear" w:color="auto" w:fill="CFF0FC"/>
          </w:tcPr>
          <w:p>
            <w:pPr>
              <w:ind w:left="560"/>
              <w:spacing w:after="0"/>
              <w:rPr>
                <w:sz w:val="20"/>
                <w:szCs w:val="20"/>
                <w:color w:val="auto"/>
              </w:rPr>
            </w:pPr>
            <w:r>
              <w:rPr>
                <w:rFonts w:ascii="Arial" w:cs="Arial" w:eastAsia="Arial" w:hAnsi="Arial"/>
                <w:sz w:val="10"/>
                <w:szCs w:val="10"/>
                <w:color w:val="auto"/>
                <w:w w:val="71"/>
              </w:rPr>
              <w: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1,358,130</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(780,466)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(8,273)</w:t>
            </w:r>
          </w:p>
        </w:tc>
        <w:tc>
          <w:tcPr>
            <w:tcW w:w="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569,391</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(8,330)</w:t>
            </w:r>
          </w:p>
        </w:tc>
        <w:tc>
          <w:tcPr>
            <w:tcW w:w="1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561,061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240" w:type="dxa"/>
            <w:vAlign w:val="bottom"/>
            <w:gridSpan w:val="56"/>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(Note 7)</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2,305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2,305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(31,168)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(31,168)</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(2,204)</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(33,372)</w:t>
            </w:r>
          </w:p>
        </w:tc>
        <w:tc>
          <w:tcPr>
            <w:tcW w:w="0" w:type="dxa"/>
            <w:vAlign w:val="bottom"/>
          </w:tcPr>
          <w:p>
            <w:pPr>
              <w:spacing w:after="0"/>
              <w:rPr>
                <w:sz w:val="1"/>
                <w:szCs w:val="1"/>
                <w:color w:val="auto"/>
              </w:rPr>
            </w:pPr>
          </w:p>
        </w:tc>
      </w:tr>
      <w:tr>
        <w:trPr>
          <w:trHeight w:val="125"/>
        </w:trPr>
        <w:tc>
          <w:tcPr>
            <w:tcW w:w="11240" w:type="dxa"/>
            <w:vAlign w:val="bottom"/>
            <w:gridSpan w:val="56"/>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(4,970)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(4,970)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(4,970)</w:t>
            </w:r>
          </w:p>
        </w:tc>
        <w:tc>
          <w:tcPr>
            <w:tcW w:w="0" w:type="dxa"/>
            <w:vAlign w:val="bottom"/>
          </w:tcPr>
          <w:p>
            <w:pPr>
              <w:spacing w:after="0"/>
              <w:rPr>
                <w:sz w:val="1"/>
                <w:szCs w:val="1"/>
                <w:color w:val="auto"/>
              </w:rPr>
            </w:pPr>
          </w:p>
        </w:tc>
      </w:tr>
      <w:tr>
        <w:trPr>
          <w:trHeight w:val="125"/>
        </w:trPr>
        <w:tc>
          <w:tcPr>
            <w:tcW w:w="11240" w:type="dxa"/>
            <w:vAlign w:val="bottom"/>
            <w:gridSpan w:val="56"/>
            <w:shd w:val="clear" w:color="auto" w:fill="CFF0FC"/>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of tax</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(52)</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(52)</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25"/>
        </w:trPr>
        <w:tc>
          <w:tcPr>
            <w:tcW w:w="11240" w:type="dxa"/>
            <w:vAlign w:val="bottom"/>
            <w:gridSpan w:val="56"/>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0" w:type="dxa"/>
            <w:vAlign w:val="bottom"/>
          </w:tcPr>
          <w:p>
            <w:pPr>
              <w:spacing w:after="0"/>
              <w:rPr>
                <w:sz w:val="1"/>
                <w:szCs w:val="1"/>
                <w:color w:val="auto"/>
              </w:rPr>
            </w:pPr>
          </w:p>
        </w:tc>
      </w:tr>
      <w:tr>
        <w:trPr>
          <w:trHeight w:val="131"/>
        </w:trPr>
        <w:tc>
          <w:tcPr>
            <w:tcW w:w="208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income, net of tax</w:t>
            </w:r>
          </w:p>
        </w:tc>
        <w:tc>
          <w:tcPr>
            <w:tcW w:w="50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w w:val="90"/>
              </w:rPr>
              <w:t>—</w:t>
            </w:r>
          </w:p>
        </w:tc>
        <w:tc>
          <w:tcPr>
            <w:tcW w:w="6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6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May 2, 2020</w:t>
            </w:r>
          </w:p>
        </w:tc>
        <w:tc>
          <w:tcPr>
            <w:tcW w:w="620" w:type="dxa"/>
            <w:vAlign w:val="bottom"/>
            <w:gridSpan w:val="3"/>
            <w:shd w:val="clear" w:color="auto" w:fill="CFF0FC"/>
          </w:tcPr>
          <w:p>
            <w:pPr>
              <w:ind w:left="560"/>
              <w:spacing w:after="0"/>
              <w:rPr>
                <w:sz w:val="20"/>
                <w:szCs w:val="20"/>
                <w:color w:val="auto"/>
              </w:rPr>
            </w:pPr>
            <w:r>
              <w:rPr>
                <w:rFonts w:ascii="Arial" w:cs="Arial" w:eastAsia="Arial" w:hAnsi="Arial"/>
                <w:sz w:val="10"/>
                <w:szCs w:val="10"/>
                <w:color w:val="auto"/>
                <w:w w:val="71"/>
              </w:rPr>
              <w: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1,360,435</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(811,634)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(11,567)</w:t>
            </w:r>
          </w:p>
        </w:tc>
        <w:tc>
          <w:tcPr>
            <w:tcW w:w="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537,234</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(10,534)</w:t>
            </w:r>
          </w:p>
        </w:tc>
        <w:tc>
          <w:tcPr>
            <w:tcW w:w="1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526,700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Equity-based compensation expense</w:t>
            </w:r>
          </w:p>
        </w:tc>
        <w:tc>
          <w:tcPr>
            <w:tcW w:w="56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80" w:type="dxa"/>
            <w:vAlign w:val="bottom"/>
            <w:vMerge w:val="continue"/>
          </w:tcPr>
          <w:p>
            <w:pPr>
              <w:spacing w:after="0"/>
              <w:rPr>
                <w:sz w:val="9"/>
                <w:szCs w:val="9"/>
                <w:color w:val="auto"/>
              </w:rPr>
            </w:pPr>
          </w:p>
        </w:tc>
        <w:tc>
          <w:tcPr>
            <w:tcW w:w="9160" w:type="dxa"/>
            <w:vAlign w:val="bottom"/>
            <w:gridSpan w:val="55"/>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(Note 7)</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2,312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2,312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FF0FC"/>
          </w:tcPr>
          <w:p>
            <w:pPr>
              <w:spacing w:after="0"/>
              <w:rPr>
                <w:sz w:val="20"/>
                <w:szCs w:val="20"/>
                <w:color w:val="auto"/>
              </w:rPr>
            </w:pPr>
            <w:r>
              <w:rPr>
                <w:rFonts w:ascii="Arial" w:cs="Arial" w:eastAsia="Arial" w:hAnsi="Arial"/>
                <w:sz w:val="11"/>
                <w:szCs w:val="11"/>
                <w:color w:val="auto"/>
              </w:rPr>
              <w:t>Repurchase of equity</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gridSpan w:val="4"/>
            <w:shd w:val="clear" w:color="auto" w:fill="CFF0FC"/>
          </w:tcPr>
          <w:p>
            <w:pPr>
              <w:jc w:val="right"/>
              <w:ind w:right="100"/>
              <w:spacing w:after="0"/>
              <w:rPr>
                <w:sz w:val="20"/>
                <w:szCs w:val="20"/>
                <w:color w:val="auto"/>
              </w:rPr>
            </w:pPr>
            <w:r>
              <w:rPr>
                <w:rFonts w:ascii="Arial" w:cs="Arial" w:eastAsia="Arial" w:hAnsi="Arial"/>
                <w:sz w:val="11"/>
                <w:szCs w:val="11"/>
                <w:color w:val="auto"/>
              </w:rPr>
              <w:t>(104)</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(104)</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20"/>
                <w:szCs w:val="20"/>
                <w:color w:val="auto"/>
              </w:rPr>
            </w:pPr>
            <w:r>
              <w:rPr>
                <w:rFonts w:ascii="Arial" w:cs="Arial" w:eastAsia="Arial" w:hAnsi="Arial"/>
                <w:sz w:val="11"/>
                <w:szCs w:val="11"/>
                <w:color w:val="auto"/>
              </w:rPr>
              <w:t>Net income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7,441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(1,001)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240" w:type="dxa"/>
            <w:vAlign w:val="bottom"/>
            <w:gridSpan w:val="56"/>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240" w:type="dxa"/>
            <w:vAlign w:val="bottom"/>
            <w:gridSpan w:val="56"/>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rPr>
                <w:sz w:val="20"/>
                <w:szCs w:val="20"/>
                <w:color w:val="auto"/>
              </w:rPr>
            </w:pPr>
            <w:r>
              <w:rPr>
                <w:rFonts w:ascii="Arial" w:cs="Arial" w:eastAsia="Arial" w:hAnsi="Arial"/>
                <w:sz w:val="11"/>
                <w:szCs w:val="11"/>
                <w:color w:val="auto"/>
              </w:rPr>
              <w:t>net of tax</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5"/>
        </w:trPr>
        <w:tc>
          <w:tcPr>
            <w:tcW w:w="11240" w:type="dxa"/>
            <w:vAlign w:val="bottom"/>
            <w:gridSpan w:val="56"/>
            <w:shd w:val="clear" w:color="auto" w:fill="CFF0FC"/>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0" w:type="dxa"/>
            <w:vAlign w:val="bottom"/>
          </w:tcPr>
          <w:p>
            <w:pPr>
              <w:spacing w:after="0"/>
              <w:rPr>
                <w:sz w:val="1"/>
                <w:szCs w:val="1"/>
                <w:color w:val="auto"/>
              </w:rPr>
            </w:pPr>
          </w:p>
        </w:tc>
      </w:tr>
      <w:tr>
        <w:trPr>
          <w:trHeight w:val="131"/>
        </w:trPr>
        <w:tc>
          <w:tcPr>
            <w:tcW w:w="208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2,021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2,021</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20"/>
                <w:szCs w:val="20"/>
                <w:color w:val="auto"/>
              </w:rPr>
            </w:pPr>
            <w:r>
              <w:rPr>
                <w:rFonts w:ascii="Arial" w:cs="Arial" w:eastAsia="Arial" w:hAnsi="Arial"/>
                <w:sz w:val="11"/>
                <w:szCs w:val="11"/>
                <w:b w:val="1"/>
                <w:bCs w:val="1"/>
                <w:color w:val="auto"/>
              </w:rPr>
              <w:t>Balance at August 1, 2020</w:t>
            </w:r>
          </w:p>
        </w:tc>
        <w:tc>
          <w:tcPr>
            <w:tcW w:w="620" w:type="dxa"/>
            <w:vAlign w:val="bottom"/>
            <w:gridSpan w:val="3"/>
          </w:tcPr>
          <w:p>
            <w:pPr>
              <w:ind w:left="560"/>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1,362,643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(804,193)</w:t>
            </w:r>
          </w:p>
        </w:tc>
        <w:tc>
          <w:tcPr>
            <w:tcW w:w="12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(9,274)</w:t>
            </w:r>
          </w:p>
        </w:tc>
        <w:tc>
          <w:tcPr>
            <w:tcW w:w="8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549,176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2"/>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(11,535)</w:t>
            </w:r>
          </w:p>
        </w:tc>
        <w:tc>
          <w:tcPr>
            <w:tcW w:w="160" w:type="dxa"/>
            <w:vAlign w:val="bottom"/>
          </w:tcPr>
          <w:p>
            <w:pPr>
              <w:spacing w:after="0"/>
              <w:rPr>
                <w:sz w:val="11"/>
                <w:szCs w:val="11"/>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537,641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4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000" w:type="dxa"/>
            <w:vAlign w:val="bottom"/>
            <w:tcBorders>
              <w:bottom w:val="single" w:sz="8" w:color="auto"/>
            </w:tcBorders>
            <w:gridSpan w:val="5"/>
          </w:tcPr>
          <w:p>
            <w:pPr>
              <w:spacing w:after="0"/>
              <w:rPr>
                <w:sz w:val="6"/>
                <w:szCs w:val="6"/>
                <w:color w:val="auto"/>
              </w:rPr>
            </w:pPr>
          </w:p>
        </w:tc>
        <w:tc>
          <w:tcPr>
            <w:tcW w:w="8240" w:type="dxa"/>
            <w:vAlign w:val="bottom"/>
            <w:gridSpan w:val="51"/>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Balances prior to the Company's conversion to a Delaware corporation were reclassified to additional paid-in capital to give effect to the organizational transactions described in Note 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Twenty-six weeks ended</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right"/>
              <w:ind w:right="860"/>
              <w:spacing w:after="0" w:line="124" w:lineRule="exact"/>
              <w:rPr>
                <w:sz w:val="20"/>
                <w:szCs w:val="20"/>
                <w:color w:val="auto"/>
              </w:rPr>
            </w:pPr>
            <w:r>
              <w:rPr>
                <w:rFonts w:ascii="Arial" w:cs="Arial" w:eastAsia="Arial" w:hAnsi="Arial"/>
                <w:sz w:val="13"/>
                <w:szCs w:val="13"/>
                <w:b w:val="1"/>
                <w:bCs w:val="1"/>
                <w:color w:val="auto"/>
              </w:rPr>
              <w:t>July 31,</w:t>
            </w:r>
          </w:p>
        </w:tc>
        <w:tc>
          <w:tcPr>
            <w:tcW w:w="500" w:type="dxa"/>
            <w:vAlign w:val="bottom"/>
          </w:tcPr>
          <w:p>
            <w:pPr>
              <w:spacing w:after="0"/>
              <w:rPr>
                <w:sz w:val="10"/>
                <w:szCs w:val="10"/>
                <w:color w:val="auto"/>
              </w:rPr>
            </w:pPr>
          </w:p>
        </w:tc>
        <w:tc>
          <w:tcPr>
            <w:tcW w:w="1060" w:type="dxa"/>
            <w:vAlign w:val="bottom"/>
          </w:tcPr>
          <w:p>
            <w:pPr>
              <w:jc w:val="right"/>
              <w:ind w:right="453"/>
              <w:spacing w:after="0" w:line="124" w:lineRule="exact"/>
              <w:rPr>
                <w:sz w:val="20"/>
                <w:szCs w:val="20"/>
                <w:color w:val="auto"/>
              </w:rPr>
            </w:pPr>
            <w:r>
              <w:rPr>
                <w:rFonts w:ascii="Arial" w:cs="Arial" w:eastAsia="Arial" w:hAnsi="Arial"/>
                <w:sz w:val="13"/>
                <w:szCs w:val="13"/>
                <w:b w:val="1"/>
                <w:bCs w:val="1"/>
                <w:color w:val="auto"/>
                <w:w w:val="87"/>
              </w:rPr>
              <w:t>August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02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2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1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2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81,004</w:t>
            </w:r>
          </w:p>
        </w:tc>
        <w:tc>
          <w:tcPr>
            <w:tcW w:w="300" w:type="dxa"/>
            <w:vAlign w:val="bottom"/>
          </w:tcPr>
          <w:p>
            <w:pPr>
              <w:spacing w:after="0"/>
              <w:rPr>
                <w:sz w:val="14"/>
                <w:szCs w:val="14"/>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(26,932)</w:t>
            </w:r>
          </w:p>
        </w:tc>
        <w:tc>
          <w:tcPr>
            <w:tcW w:w="0" w:type="dxa"/>
            <w:vAlign w:val="bottom"/>
          </w:tcPr>
          <w:p>
            <w:pPr>
              <w:spacing w:after="0"/>
              <w:rPr>
                <w:sz w:val="1"/>
                <w:szCs w:val="1"/>
                <w:color w:val="auto"/>
              </w:rPr>
            </w:pPr>
          </w:p>
        </w:tc>
      </w:tr>
      <w:tr>
        <w:trPr>
          <w:trHeight w:val="151"/>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income (loss) to net cash used in operating</w:t>
            </w:r>
          </w:p>
        </w:tc>
        <w:tc>
          <w:tcPr>
            <w:tcW w:w="1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2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activities:</w:t>
            </w:r>
          </w:p>
        </w:tc>
        <w:tc>
          <w:tcPr>
            <w:tcW w:w="1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82,845</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86,038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discounts and issuance costs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3,369</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500"/>
              <w:spacing w:after="0"/>
              <w:rPr>
                <w:sz w:val="20"/>
                <w:szCs w:val="20"/>
                <w:color w:val="auto"/>
              </w:rPr>
            </w:pPr>
            <w:r>
              <w:rPr>
                <w:rFonts w:ascii="Arial" w:cs="Arial" w:eastAsia="Arial" w:hAnsi="Arial"/>
                <w:sz w:val="13"/>
                <w:szCs w:val="13"/>
                <w:color w:val="auto"/>
              </w:rPr>
              <w:t>Provision for deferred taxes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12,691</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(21,753)</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Equity-based compensation</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23,110</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50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2,690</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6,261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and modification of debt</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20,838</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20" w:type="dxa"/>
            <w:vAlign w:val="bottom"/>
          </w:tcPr>
          <w:p>
            <w:pPr>
              <w:ind w:left="500"/>
              <w:spacing w:after="0"/>
              <w:rPr>
                <w:sz w:val="20"/>
                <w:szCs w:val="20"/>
                <w:color w:val="auto"/>
              </w:rPr>
            </w:pPr>
            <w:r>
              <w:rPr>
                <w:rFonts w:ascii="Arial" w:cs="Arial" w:eastAsia="Arial" w:hAnsi="Arial"/>
                <w:sz w:val="13"/>
                <w:szCs w:val="13"/>
                <w:color w:val="auto"/>
              </w:rPr>
              <w:t>Income from equity method investees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(4,854)</w:t>
            </w: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(1,077)</w:t>
            </w:r>
          </w:p>
        </w:tc>
        <w:tc>
          <w:tcPr>
            <w:tcW w:w="0" w:type="dxa"/>
            <w:vAlign w:val="bottom"/>
          </w:tcPr>
          <w:p>
            <w:pPr>
              <w:spacing w:after="0"/>
              <w:rPr>
                <w:sz w:val="1"/>
                <w:szCs w:val="1"/>
                <w:color w:val="auto"/>
              </w:rPr>
            </w:pPr>
          </w:p>
        </w:tc>
      </w:tr>
      <w:tr>
        <w:trPr>
          <w:trHeight w:val="151"/>
        </w:trPr>
        <w:tc>
          <w:tcPr>
            <w:tcW w:w="60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Amounts reclassified out of accumulated other comprehensive income</w:t>
            </w:r>
          </w:p>
        </w:tc>
        <w:tc>
          <w:tcPr>
            <w:tcW w:w="1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2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(Note 5)</w:t>
            </w:r>
          </w:p>
        </w:tc>
        <w:tc>
          <w:tcPr>
            <w:tcW w:w="1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500"/>
              <w:spacing w:after="0"/>
              <w:rPr>
                <w:sz w:val="20"/>
                <w:szCs w:val="20"/>
                <w:color w:val="auto"/>
              </w:rPr>
            </w:pPr>
            <w:r>
              <w:rPr>
                <w:rFonts w:ascii="Arial" w:cs="Arial" w:eastAsia="Arial" w:hAnsi="Arial"/>
                <w:sz w:val="13"/>
                <w:szCs w:val="13"/>
                <w:color w:val="auto"/>
              </w:rPr>
              <w:t>Change in contingent consideration obligation</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operating lease costs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210,490</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216,729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500"/>
              <w:spacing w:after="0"/>
              <w:rPr>
                <w:sz w:val="20"/>
                <w:szCs w:val="20"/>
                <w:color w:val="auto"/>
              </w:rPr>
            </w:pPr>
            <w:r>
              <w:rPr>
                <w:rFonts w:ascii="Arial" w:cs="Arial" w:eastAsia="Arial" w:hAnsi="Arial"/>
                <w:sz w:val="13"/>
                <w:szCs w:val="13"/>
                <w:color w:val="auto"/>
              </w:rPr>
              <w:t>Other non-operating income</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(45,162)</w:t>
            </w:r>
          </w:p>
        </w:tc>
        <w:tc>
          <w:tcPr>
            <w:tcW w:w="5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Changes in assets and liabilities: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740"/>
              <w:spacing w:after="0"/>
              <w:rPr>
                <w:sz w:val="20"/>
                <w:szCs w:val="20"/>
                <w:color w:val="auto"/>
              </w:rPr>
            </w:pPr>
            <w:r>
              <w:rPr>
                <w:rFonts w:ascii="Arial" w:cs="Arial" w:eastAsia="Arial" w:hAnsi="Arial"/>
                <w:sz w:val="13"/>
                <w:szCs w:val="13"/>
                <w:color w:val="auto"/>
              </w:rPr>
              <w:t>Receivables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1,937</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(5,208)</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Merchandise inventories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(89,784)</w:t>
            </w: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(11,056)</w:t>
            </w:r>
          </w:p>
        </w:tc>
        <w:tc>
          <w:tcPr>
            <w:tcW w:w="0" w:type="dxa"/>
            <w:vAlign w:val="bottom"/>
          </w:tcPr>
          <w:p>
            <w:pPr>
              <w:spacing w:after="0"/>
              <w:rPr>
                <w:sz w:val="1"/>
                <w:szCs w:val="1"/>
                <w:color w:val="auto"/>
              </w:rPr>
            </w:pPr>
          </w:p>
        </w:tc>
      </w:tr>
      <w:tr>
        <w:trPr>
          <w:trHeight w:val="162"/>
        </w:trPr>
        <w:tc>
          <w:tcPr>
            <w:tcW w:w="6020" w:type="dxa"/>
            <w:vAlign w:val="bottom"/>
          </w:tcPr>
          <w:p>
            <w:pPr>
              <w:ind w:left="740"/>
              <w:spacing w:after="0"/>
              <w:rPr>
                <w:sz w:val="20"/>
                <w:szCs w:val="20"/>
                <w:color w:val="auto"/>
              </w:rPr>
            </w:pPr>
            <w:r>
              <w:rPr>
                <w:rFonts w:ascii="Arial" w:cs="Arial" w:eastAsia="Arial" w:hAnsi="Arial"/>
                <w:sz w:val="13"/>
                <w:szCs w:val="13"/>
                <w:color w:val="auto"/>
              </w:rPr>
              <w:t>Prepaid expenses and other assets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3,294</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(9,153)</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 and book overdrafts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74,466</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(18,955)</w:t>
            </w:r>
          </w:p>
        </w:tc>
        <w:tc>
          <w:tcPr>
            <w:tcW w:w="0" w:type="dxa"/>
            <w:vAlign w:val="bottom"/>
          </w:tcPr>
          <w:p>
            <w:pPr>
              <w:spacing w:after="0"/>
              <w:rPr>
                <w:sz w:val="1"/>
                <w:szCs w:val="1"/>
                <w:color w:val="auto"/>
              </w:rPr>
            </w:pPr>
          </w:p>
        </w:tc>
      </w:tr>
      <w:tr>
        <w:trPr>
          <w:trHeight w:val="162"/>
        </w:trPr>
        <w:tc>
          <w:tcPr>
            <w:tcW w:w="6020" w:type="dxa"/>
            <w:vAlign w:val="bottom"/>
          </w:tcPr>
          <w:p>
            <w:pPr>
              <w:ind w:left="740"/>
              <w:spacing w:after="0"/>
              <w:rPr>
                <w:sz w:val="20"/>
                <w:szCs w:val="20"/>
                <w:color w:val="auto"/>
              </w:rPr>
            </w:pPr>
            <w:r>
              <w:rPr>
                <w:rFonts w:ascii="Arial" w:cs="Arial" w:eastAsia="Arial" w:hAnsi="Arial"/>
                <w:sz w:val="13"/>
                <w:szCs w:val="13"/>
                <w:color w:val="auto"/>
              </w:rPr>
              <w:t>Accrued salaries and employee benefits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(6,017)</w:t>
            </w: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51,145</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(220,655)</w:t>
            </w: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(196,700)</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long-term liabilities</w:t>
            </w:r>
          </w:p>
        </w:tc>
        <w:tc>
          <w:tcPr>
            <w:tcW w:w="17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997</w:t>
            </w:r>
          </w:p>
        </w:tc>
        <w:tc>
          <w:tcPr>
            <w:tcW w:w="30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13,915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20" w:type="dxa"/>
            <w:vAlign w:val="bottom"/>
            <w:tcBorders>
              <w:bottom w:val="single" w:sz="8" w:color="CFF0FC"/>
            </w:tcBorders>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17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202,404</w:t>
            </w: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92,389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2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investing activities:</w:t>
            </w:r>
          </w:p>
        </w:tc>
        <w:tc>
          <w:tcPr>
            <w:tcW w:w="1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Cash paid for fixed assets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(99,883)</w:t>
            </w: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(50,043)</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acquisitions, net of cash acquired</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(2,807)</w:t>
            </w: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Distributions from equity investees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assets</w:t>
            </w:r>
          </w:p>
        </w:tc>
        <w:tc>
          <w:tcPr>
            <w:tcW w:w="17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30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20" w:type="dxa"/>
            <w:vAlign w:val="bottom"/>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(102,585)</w:t>
            </w:r>
          </w:p>
        </w:tc>
        <w:tc>
          <w:tcPr>
            <w:tcW w:w="5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(48,674)</w:t>
            </w:r>
          </w:p>
        </w:tc>
        <w:tc>
          <w:tcPr>
            <w:tcW w:w="0" w:type="dxa"/>
            <w:vAlign w:val="bottom"/>
          </w:tcPr>
          <w:p>
            <w:pPr>
              <w:spacing w:after="0"/>
              <w:rPr>
                <w:sz w:val="1"/>
                <w:szCs w:val="1"/>
                <w:color w:val="auto"/>
              </w:rPr>
            </w:pPr>
          </w:p>
        </w:tc>
      </w:tr>
      <w:tr>
        <w:trPr>
          <w:trHeight w:val="155"/>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flows from financing activities:</w:t>
            </w:r>
          </w:p>
        </w:tc>
        <w:tc>
          <w:tcPr>
            <w:tcW w:w="17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Borrowings under long-term debt agreements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1,700,000</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of long-term debt</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(1,682,361)</w:t>
            </w: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(456,625)</w:t>
            </w: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Debt refinancing costs</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(24,665)</w:t>
            </w:r>
          </w:p>
        </w:tc>
        <w:tc>
          <w:tcPr>
            <w:tcW w:w="5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for finance lease liabilities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(2,044)</w:t>
            </w: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(2,089)</w:t>
            </w: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Proceeds from employee stock purchase plan</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1,721</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equity</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Payment of contingent consideration</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offering costs</w:t>
            </w:r>
          </w:p>
        </w:tc>
        <w:tc>
          <w:tcPr>
            <w:tcW w:w="1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(3,844)</w:t>
            </w:r>
          </w:p>
        </w:tc>
        <w:tc>
          <w:tcPr>
            <w:tcW w:w="5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1000"/>
              <w:spacing w:after="0"/>
              <w:rPr>
                <w:sz w:val="20"/>
                <w:szCs w:val="20"/>
                <w:color w:val="auto"/>
              </w:rPr>
            </w:pPr>
            <w:r>
              <w:rPr>
                <w:rFonts w:ascii="Arial" w:cs="Arial" w:eastAsia="Arial" w:hAnsi="Arial"/>
                <w:sz w:val="13"/>
                <w:szCs w:val="13"/>
                <w:color w:val="auto"/>
              </w:rPr>
              <w:t>Net cash used in financing activities</w:t>
            </w:r>
          </w:p>
        </w:tc>
        <w:tc>
          <w:tcPr>
            <w:tcW w:w="1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2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(11,193)</w:t>
            </w:r>
          </w:p>
        </w:tc>
        <w:tc>
          <w:tcPr>
            <w:tcW w:w="5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(19,069)</w:t>
            </w:r>
          </w:p>
        </w:tc>
        <w:tc>
          <w:tcPr>
            <w:tcW w:w="0" w:type="dxa"/>
            <w:vAlign w:val="bottom"/>
          </w:tcPr>
          <w:p>
            <w:pPr>
              <w:spacing w:after="0"/>
              <w:rPr>
                <w:sz w:val="1"/>
                <w:szCs w:val="1"/>
                <w:color w:val="auto"/>
              </w:rPr>
            </w:pPr>
          </w:p>
        </w:tc>
      </w:tr>
      <w:tr>
        <w:trPr>
          <w:trHeight w:val="155"/>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Net increase in cash, cash equivalents and restricted cash</w:t>
            </w:r>
          </w:p>
        </w:tc>
        <w:tc>
          <w:tcPr>
            <w:tcW w:w="17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88,626</w:t>
            </w:r>
          </w:p>
        </w:tc>
        <w:tc>
          <w:tcPr>
            <w:tcW w:w="3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24,646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year</w:t>
            </w:r>
          </w:p>
        </w:tc>
        <w:tc>
          <w:tcPr>
            <w:tcW w:w="17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119,540</w:t>
            </w:r>
          </w:p>
        </w:tc>
        <w:tc>
          <w:tcPr>
            <w:tcW w:w="3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2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year</w:t>
            </w: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208,166</w:t>
            </w: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Supplemental cash flow disclosures:</w:t>
            </w:r>
          </w:p>
        </w:tc>
        <w:tc>
          <w:tcPr>
            <w:tcW w:w="1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 net</w:t>
            </w: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29,463</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95,284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260"/>
              <w:spacing w:after="0"/>
              <w:rPr>
                <w:sz w:val="20"/>
                <w:szCs w:val="20"/>
                <w:color w:val="auto"/>
              </w:rPr>
            </w:pPr>
            <w:r>
              <w:rPr>
                <w:rFonts w:ascii="Arial" w:cs="Arial" w:eastAsia="Arial" w:hAnsi="Arial"/>
                <w:sz w:val="13"/>
                <w:szCs w:val="13"/>
                <w:color w:val="auto"/>
              </w:rPr>
              <w:t>Capitalized interest</w:t>
            </w:r>
          </w:p>
        </w:tc>
        <w:tc>
          <w:tcPr>
            <w:tcW w:w="2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181</w:t>
            </w:r>
          </w:p>
        </w:tc>
        <w:tc>
          <w:tcPr>
            <w:tcW w:w="300" w:type="dxa"/>
            <w:vAlign w:val="bottom"/>
          </w:tcPr>
          <w:p>
            <w:pPr>
              <w:spacing w:after="0"/>
              <w:rPr>
                <w:sz w:val="14"/>
                <w:szCs w:val="14"/>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paid</w:t>
            </w: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5,195</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3"/>
                <w:szCs w:val="13"/>
                <w:color w:val="auto"/>
              </w:rPr>
              <w:t>Supplemental non-cash investing and financing activities disclosure:</w:t>
            </w: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 for capital expenditures</w:t>
            </w: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28,105</w:t>
            </w: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84" w:lineRule="exact"/>
        <w:rPr>
          <w:sz w:val="20"/>
          <w:szCs w:val="20"/>
          <w:color w:val="auto"/>
        </w:rPr>
      </w:pPr>
    </w:p>
    <w:p>
      <w:pPr>
        <w:ind w:right="720" w:firstLine="510"/>
        <w:spacing w:after="0" w:line="308" w:lineRule="auto"/>
        <w:rPr>
          <w:sz w:val="20"/>
          <w:szCs w:val="20"/>
          <w:color w:val="auto"/>
        </w:rPr>
      </w:pPr>
      <w:r>
        <w:rPr>
          <w:rFonts w:ascii="Arial" w:cs="Arial" w:eastAsia="Arial" w:hAnsi="Arial"/>
          <w:sz w:val="17"/>
          <w:szCs w:val="17"/>
          <w:color w:val="auto"/>
        </w:rPr>
        <w:t>There have been no significant changes from the significant accounting policies disclosed in Note 1 of the Notes to Consolidated Financial Statements included in the Company’s Annual Report on Form 10-K for the fiscal year ended January 30, 2021.</w:t>
      </w:r>
    </w:p>
    <w:p>
      <w:pPr>
        <w:spacing w:after="0" w:line="146"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results of operations for the thirteen and twenty-six weeks ended July 31, 2021 are not necessarily indicative of the results of operations that may be achieved for the entire fiscal year ending January 29,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Public Offerings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 previously operated as a Delaware limited liability company under the name PET Acquisition LLC. In January 2021, the Company converted to a Delaware corporation pursuant to a statutory conversion and changed its name to Petco Health and Wellness Company, Inc. The existing balances of members’ interest and accumulated deficit prior to this conversion were reclassified to additional paid-in capital in the condensed consolidated balance sheets. This reclassification had no effect on the Company’s results of operations.</w:t>
      </w:r>
    </w:p>
    <w:p>
      <w:pPr>
        <w:spacing w:after="0" w:line="187"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On January 19, 2021, the Company completed its initial public offering of 55.2 million newly-issued shares of its Class A common stock. The offering price was $18.00 per share. The net proceeds from the initial public offering were used to pay a portion of the principal amount and accrued interest on the Company’s debt obligations. Refer to Note 3 and Note 4 for further discussion on the Company’s use of proceeds from the initial public offering.</w:t>
      </w:r>
    </w:p>
    <w:p>
      <w:pPr>
        <w:spacing w:after="0" w:line="295" w:lineRule="exact"/>
        <w:rPr>
          <w:sz w:val="20"/>
          <w:szCs w:val="20"/>
          <w:color w:val="auto"/>
        </w:rPr>
      </w:pPr>
    </w:p>
    <w:p>
      <w:pPr>
        <w:ind w:left="20" w:right="140" w:firstLine="509"/>
        <w:spacing w:after="0" w:line="263" w:lineRule="auto"/>
        <w:rPr>
          <w:sz w:val="20"/>
          <w:szCs w:val="20"/>
          <w:color w:val="auto"/>
        </w:rPr>
      </w:pPr>
      <w:r>
        <w:rPr>
          <w:rFonts w:ascii="Arial" w:cs="Arial" w:eastAsia="Arial" w:hAnsi="Arial"/>
          <w:sz w:val="18"/>
          <w:szCs w:val="18"/>
          <w:color w:val="auto"/>
        </w:rPr>
        <w:t>In June 2021, Scooby Aggregator, LP, the Company’s principal stockholder, completed the sale of 25.3 million existing shares of Class A common stock in connection with a secondary offering. The offering price to the public was $24.00 per share. The Company received no proceeds from the secondary offering. Expenses incurred by the Company related to the secondary offering were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sheets to the total amounts reported in the condensed consolidated statements of cash flows.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17"/>
              <w:spacing w:after="0"/>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8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203,404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111,402</w:t>
            </w: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current assets</w:t>
            </w:r>
          </w:p>
        </w:tc>
        <w:tc>
          <w:tcPr>
            <w:tcW w:w="1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FF0FC"/>
            </w:tcBorders>
          </w:tcPr>
          <w:p>
            <w:pPr>
              <w:spacing w:after="0"/>
              <w:rPr>
                <w:sz w:val="19"/>
                <w:szCs w:val="19"/>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statement of cash flows</w:t>
            </w:r>
          </w:p>
        </w:tc>
        <w:tc>
          <w:tcPr>
            <w:tcW w:w="15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119,540</w:t>
            </w:r>
          </w:p>
        </w:tc>
        <w:tc>
          <w:tcPr>
            <w:tcW w:w="100" w:type="dxa"/>
            <w:vAlign w:val="bottom"/>
            <w:shd w:val="clear" w:color="auto" w:fill="CFF0FC"/>
          </w:tcPr>
          <w:p>
            <w:pPr>
              <w:spacing w:after="0"/>
              <w:rPr>
                <w:sz w:val="20"/>
                <w:szCs w:val="20"/>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No. 2016-13 – Financial Instruments – Credit Losses (Topic 326): Measurement of Credit Losses on Financial Instruments, which amends the accounting for recognizing impairments of financial assets. Under the new accounting guidance, credit losses for financial assets held at amortized cost will be estimated based on expected losses rather than the current incurred loss impairment model. The new accounting guidance also modifies the impairment model for available-for-sale debt securities. The Company adopted this accounting policy on February 2, 2020. The adoption did not have a material impact on the Company’s condensed consolidated financial statements and related disclosures.</w:t>
      </w:r>
    </w:p>
    <w:p>
      <w:pPr>
        <w:spacing w:after="0" w:line="192"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In August 2018, FASB issued Accounting Standards Update No. 2018-15 – Intangibles – Goodwill and Other – Internal-Use Software (Subtopic 350-40), which amends ASC 350-40 to address a customer’s accounting for implementation costs incurred in a cloud computing arrangement that is a service contract. The Company adopted this accounting policy on February 2, 2020. The adoption did not have a material impact on the Company’s condensed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ind w:left="22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5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78"/>
              <w:spacing w:after="0" w:line="133" w:lineRule="exact"/>
              <w:rPr>
                <w:sz w:val="20"/>
                <w:szCs w:val="20"/>
                <w:color w:val="auto"/>
              </w:rPr>
            </w:pPr>
            <w:r>
              <w:rPr>
                <w:rFonts w:ascii="Arial" w:cs="Arial" w:eastAsia="Arial" w:hAnsi="Arial"/>
                <w:sz w:val="14"/>
                <w:szCs w:val="14"/>
                <w:b w:val="1"/>
                <w:bCs w:val="1"/>
                <w:color w:val="auto"/>
              </w:rPr>
              <w:t>July 31,</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July 31,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August 1,</w:t>
            </w:r>
          </w:p>
        </w:tc>
        <w:tc>
          <w:tcPr>
            <w:tcW w:w="120" w:type="dxa"/>
            <w:vAlign w:val="bottom"/>
          </w:tcPr>
          <w:p>
            <w:pPr>
              <w:spacing w:after="0"/>
              <w:rPr>
                <w:sz w:val="11"/>
                <w:szCs w:val="11"/>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611,946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w w:val="99"/>
              </w:rPr>
              <w:t>1,207,078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1,018,026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663,572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612,630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1,321,744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1,106,364</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159,016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320,706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198,102</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1,434,534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2,849,528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2,322,492</w:t>
            </w:r>
          </w:p>
        </w:tc>
        <w:tc>
          <w:tcPr>
            <w:tcW w:w="12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Secured Credit Facilities</w:t>
      </w:r>
    </w:p>
    <w:p>
      <w:pPr>
        <w:spacing w:after="0" w:line="121" w:lineRule="exact"/>
        <w:rPr>
          <w:sz w:val="20"/>
          <w:szCs w:val="20"/>
          <w:color w:val="auto"/>
        </w:rPr>
      </w:pPr>
    </w:p>
    <w:p>
      <w:pPr>
        <w:ind w:firstLine="514"/>
        <w:spacing w:after="0" w:line="273" w:lineRule="auto"/>
        <w:rPr>
          <w:sz w:val="20"/>
          <w:szCs w:val="20"/>
          <w:color w:val="auto"/>
        </w:rPr>
      </w:pPr>
      <w:r>
        <w:rPr>
          <w:rFonts w:ascii="Arial" w:cs="Arial" w:eastAsia="Arial" w:hAnsi="Arial"/>
          <w:sz w:val="17"/>
          <w:szCs w:val="17"/>
          <w:color w:val="auto"/>
        </w:rPr>
        <w:t>As of January 30, 2021, the Company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 The Amended Term Loan Facility, the Amended Revolving Credit Facility, the First Lien Term Loan, and the ABL Revolving Credit Facility are collectively referred to as the “Senior Secured Credit Facilities.”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7"/>
          <w:szCs w:val="17"/>
          <w:color w:val="auto"/>
        </w:rPr>
        <w:t>As of July 31, 2021, the Company was in compliance with its covenants under the First Lien Term Loan and the ABL Revolving Credit Facility.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40" w:firstLine="514"/>
        <w:spacing w:after="0" w:line="257" w:lineRule="auto"/>
        <w:rPr>
          <w:sz w:val="20"/>
          <w:szCs w:val="20"/>
          <w:color w:val="auto"/>
        </w:rPr>
      </w:pPr>
      <w:r>
        <w:rPr>
          <w:rFonts w:ascii="Arial" w:cs="Arial" w:eastAsia="Arial" w:hAnsi="Arial"/>
          <w:sz w:val="18"/>
          <w:szCs w:val="18"/>
          <w:color w:val="auto"/>
        </w:rPr>
        <w:t>On January 19, 2021, the Company repaid $727.0 million of the Amended Term Loan Facility using a portion of the proceeds from its initial public offering, in addition to existing cash on hand. The repayment was applied to the remaining principal payments in order of scheduled payment date and, as a result, no quarterly principal payments remained under the Amended Term Loan Facility, other than the remaining principal balance due at maturity. As such, the entire remaining balance was included in senior secured credit facilities, net, excluding current portion in the condensed consolidated balance sheets as of January 30, 2021.</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March 4, 2021, the Company entered into the $1,700.0 million First Lien Term Loan and repaid all outstanding principal and interest on the Amended Term Loan Facility. Interest under the First Lien Term Loan is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and interest payments commenced on June 30, 2021. Principal payments are $4.25 million quarterly.</w:t>
      </w:r>
    </w:p>
    <w:p>
      <w:pPr>
        <w:spacing w:after="0" w:line="17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connection with the March 4, 2021 transaction, the Company recognized a loss on debt extinguishment and modification of $19.6 million on the term loan facilities, which consisted of a $6.5 million write-off of unamortized debt discount and issuance costs on the Amended Term Loan Facility and $13.1 million of third-party expenses.</w:t>
      </w:r>
    </w:p>
    <w:p>
      <w:pPr>
        <w:spacing w:after="0" w:line="18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spacing w:after="0" w:line="157" w:lineRule="exact"/>
        <w:rPr>
          <w:sz w:val="20"/>
          <w:szCs w:val="20"/>
          <w:color w:val="auto"/>
        </w:rPr>
      </w:pPr>
    </w:p>
    <w:p>
      <w:pPr>
        <w:ind w:right="140" w:firstLine="514"/>
        <w:spacing w:after="0" w:line="272" w:lineRule="auto"/>
        <w:rPr>
          <w:sz w:val="20"/>
          <w:szCs w:val="20"/>
          <w:color w:val="auto"/>
        </w:rPr>
      </w:pPr>
      <w:r>
        <w:rPr>
          <w:rFonts w:ascii="Arial" w:cs="Arial" w:eastAsia="Arial" w:hAnsi="Arial"/>
          <w:sz w:val="17"/>
          <w:szCs w:val="17"/>
          <w:color w:val="auto"/>
        </w:rPr>
        <w:t>As of July 31, 2021, the outstanding principal balance of the First Lien Term Loan was $1,695.8 million ($1,668.8 million, net of the unamortized discount and debt issuance costs). As of January 30, 2021, the outstanding principal balance of the Amended Term Loan Facility was $1,678.1 million ($1,649.4 million, net of the unamortized discount and debt issuance costs). The weighted average interest rate on the borrowings outstanding was 4.1% and 4.3% as of July 31, 2021 and January 30, 2021, respectively. Debt issuance costs are being amortized over the contractual term to interest expense using the effective interest rate in effect at issuance. As of July 31, 2021, the estimated fair value of the First Lien Term Loan was approximately $1,687.3 million, based upon Level 2 fair value hierarchy inputs. As of January 30, 2021, the estimated fair value of the Amended Term Loan Facility was approximately $1,673.9 million, based upon Level 2 fair value hierarchy inputs.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On March 4, 2021, the Company entered into an agreement establishing the ABL Revolving Credit Facility and terminated the Amended Revolving Credit Facility. The ABL Revolving Credit Facility has availability up to $500.0 million, subject to a borrowing base.</w:t>
      </w:r>
    </w:p>
    <w:p>
      <w:pPr>
        <w:spacing w:after="0" w:line="17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88" w:lineRule="exact"/>
        <w:rPr>
          <w:sz w:val="20"/>
          <w:szCs w:val="20"/>
          <w:color w:val="auto"/>
        </w:rPr>
      </w:pPr>
    </w:p>
    <w:p>
      <w:pPr>
        <w:ind w:right="140" w:firstLine="514"/>
        <w:spacing w:after="0" w:line="311" w:lineRule="auto"/>
        <w:rPr>
          <w:sz w:val="20"/>
          <w:szCs w:val="20"/>
          <w:color w:val="auto"/>
        </w:rPr>
      </w:pPr>
      <w:r>
        <w:rPr>
          <w:rFonts w:ascii="Arial" w:cs="Arial" w:eastAsia="Arial" w:hAnsi="Arial"/>
          <w:sz w:val="16"/>
          <w:szCs w:val="16"/>
          <w:color w:val="auto"/>
        </w:rPr>
        <w:t>As of July 31, 2021, no amounts were outstanding under the ABL Revolving Credit Facility. As of January 30, 2021, no amounts were outstanding under the Amended Revolving Credit Facility. At July 31, 2021, $441.1 million was available under the ABL Revolving Credit Facility, which is net of $58.9 million of outstanding letters of credit issued in the normal course of business and no borrowing base reduction for a shortfall in qualifying assets.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Unamortized debt issuance costs of $5.3 million relating to the ABL Revolving Credit Facility were outstanding and were being amortized using the straight-line method over the remaining term of the agreement as of July 31, 2021. Unamortized debt issuance costs of $3.1 million relating to the Amended Revolving Credit Facility were outstanding and were being amortized using the straight-line method over the remaining term of the agreement as of January 30, 2021.</w:t>
      </w:r>
    </w:p>
    <w:p>
      <w:pPr>
        <w:spacing w:after="0" w:line="18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Interest on the ABL Revolving Credit Facility is based on either the base rate or Adjusted LIBOR subject to a floor of 0%, in either case, plus an applicable margin. The applicable margin is currently equal to 25 basis points in the case of base rate loans and 125 basis points in the case of Adjusted LIBOR loans.</w:t>
      </w:r>
    </w:p>
    <w:p>
      <w:pPr>
        <w:spacing w:after="0" w:line="18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Applicable</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Adjusted</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Average Historical Excess Availability</w:t>
            </w:r>
          </w:p>
        </w:tc>
        <w:tc>
          <w:tcPr>
            <w:tcW w:w="140" w:type="dxa"/>
            <w:vAlign w:val="bottom"/>
            <w:vMerge w:val="restart"/>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LIBOR</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Less than 33.3% of the Line Cap</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5"/>
        </w:trPr>
        <w:tc>
          <w:tcPr>
            <w:tcW w:w="6040" w:type="dxa"/>
            <w:vAlign w:val="bottom"/>
            <w:gridSpan w:val="2"/>
          </w:tcPr>
          <w:p>
            <w:pPr>
              <w:spacing w:after="0"/>
              <w:rPr>
                <w:sz w:val="20"/>
                <w:szCs w:val="20"/>
                <w:color w:val="auto"/>
              </w:rPr>
            </w:pPr>
            <w:r>
              <w:rPr>
                <w:rFonts w:ascii="Arial" w:cs="Arial" w:eastAsia="Arial" w:hAnsi="Arial"/>
                <w:sz w:val="18"/>
                <w:szCs w:val="18"/>
                <w:color w:val="auto"/>
              </w:rPr>
              <w:t>Less than 66.7% but greater than or equal to 33.3%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the Line Cap</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Greater than or equal to 66.7% of the Line Cap</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60" w:firstLine="510"/>
        <w:spacing w:after="0" w:line="308"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Notes</w:t>
      </w:r>
    </w:p>
    <w:p>
      <w:pPr>
        <w:spacing w:after="0" w:line="11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On January 26, 2016, the Company issued $750.0 million of unsecured senior notes maturing on January 26, 2024 in a private offering (the “Floating Rate Senior Notes”). Debt issuance costs of $26.2 million related to the Floating Rate Senior Notes were being amortized over the contractual term to interest expense using the effective interest rate in effect at issuance. The Floating Rate Senior Notes bore interest at a floating rate equal to three-month LIBOR, subject to a 1.00% floor, plus 8.0% per annum (the “Applicable Margin”) payable quarterly in arrears.</w:t>
      </w:r>
    </w:p>
    <w:p>
      <w:pPr>
        <w:spacing w:after="0" w:line="17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January 19, 2021, in connection with the Company’s initial public offering, the holders of the outstanding Floating Rate Senior Notes exchanged $450.0 million of the aggregate principal amount of the Floating Rate Senior Notes for a new series of notes with a principal amount of $450.0 million issued by Scooby Aggregator, LP, the Company’s principal stockholder. Scooby Aggregator, LP, as the new holder of $450.0 million of Floating Rate Senior Notes, contributed the principal balance to the Company. This contribution, offset by approximately $7.4 million of unamortized deferred financing costs associated with the principal balance contributed, was recorded as an adjustment to additional paid-in capital.</w:t>
      </w:r>
    </w:p>
    <w:p>
      <w:pPr>
        <w:spacing w:after="0" w:line="17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On January 19, 2021, the Company repaid the remaining $300.0 million principal balance of the Floating Rate Senior Notes using a portion of the proceeds from its initial public offering, in addition to existing cash on hand.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On January 26, 2016, the Company issued senior unsecured notes maturing on January 25, 2019 in a private offering to its members. Interest on the notes was originally 0.75% per annum, payable semi-annually either in cash or by means of capitalizing such interest and adding it to the then outstanding principal amount of the notes.</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 April 6, 2019, the Company amended the notes to extend their maturity to July 25, 2019. Interest under these notes (the “3.00% Senior Notes”) was 3.00% per annum, payable upon maturity. On July 25, 2019, February 3, 2020, and September 28, 2020, the Company further amended the notes to extend their maturity to January 25, 2020, January 25, 2021, and January 25, 2023, respectively.</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On January 19, 2021, in connection with its initial public offering, the Company repaid $4.0 million of the principal balance of the 3.00% Senior Notes. The remaining $127.7 million of principal and $3.6 million of accrued interest was then contributed to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March 2016, the Company entered into a series of five interest rate cap agreements with four counterparties with a total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$1,950.0 million to limit the maximum interest rate on a portion of the Company’s variable-rate debt and limit its exposure to interest rate variability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three-month LIBOR exceeds 2.25%.</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interest rate caps were accounted for as cash flow hedges because the interest rate caps were expected to be highly effective in hedging variable rate interest payments. Changes in the fair value of the interest rate caps were reported as a component of AOCI. The interest rate caps expired and were settled in accordance with their contractual terms on January 29,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July 31, 2021</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3"/>
                <w:szCs w:val="13"/>
                <w:color w:val="auto"/>
              </w:rPr>
            </w:pPr>
          </w:p>
        </w:tc>
        <w:tc>
          <w:tcPr>
            <w:tcW w:w="10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Money market mutual funds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146,512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of officers' life insurance</w:t>
            </w:r>
          </w:p>
        </w:tc>
        <w:tc>
          <w:tcPr>
            <w:tcW w:w="1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(17,879)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472"/>
        </w:trPr>
        <w:tc>
          <w:tcPr>
            <w:tcW w:w="4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January 30, 2021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3"/>
                <w:szCs w:val="13"/>
                <w:color w:val="auto"/>
              </w:rPr>
            </w:pPr>
          </w:p>
        </w:tc>
        <w:tc>
          <w:tcPr>
            <w:tcW w:w="10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Money market mutual funds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63,798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of officers' life insurance</w:t>
            </w:r>
          </w:p>
        </w:tc>
        <w:tc>
          <w:tcPr>
            <w:tcW w:w="1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(15,526)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$143.0 million and $56.0 million as of July 31, 2021 and January 30, 2021, respectively. Also included in the Company’s money market mutual funds balances were $3.5 million and $7.8 million as of July 31, 2021 and January 30, 2021, respectively, which relate to the Company’s restricted cash, and are included in other current assets in the condensed consolidated balance sheets.</w:t>
      </w:r>
    </w:p>
    <w:p>
      <w:pPr>
        <w:spacing w:after="0" w:line="188"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previously held an equity investment, in the form of multiple series of preferred stock, in A Place for Rover, Inc. (“Rover”), an online marketplace for pet care, which was historically accounted for as an equity security without a readily determinable fair value. In July 2021, Rover completed a business combination with Nebula Caravel Acquisition Corp., a publicly-traded special purpose acquisition company. The combined entity was renamed to Rover Group, Inc., and the Company’s equity investment was converted into a common stock investment in the combined entity. The business combination was considered to be an observable transaction, and the Company recognized a $45.2 million gain from the remeasurement of the fair value of its investment, which is included in other non-operating income in the consolidated statements of operations. The fair value of the investment was $49.6 million as of July 31, 2021 and is included within other long-term assets on the consolidated balance sheets.</w:t>
      </w:r>
    </w:p>
    <w:p>
      <w:pPr>
        <w:spacing w:after="0" w:line="16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There were no triggering events identified and no indication of impairment of the Company’s goodwill, indefinite lived trade name, other intangible assets or equity and other investments during the thirteen or twenty-six week periods ended July 31, 2021 and August 1, 2020. During the thirteen and twenty-six week periods ended July 31, 2021, the Company recorded fixed asset and right-of-use asset impairment charges of $1.4 million and $2.5 million, respectively. During the thirteen and twenty-six week periods ended August 1, 2020, the Company recorded fixed asset and right-of-use asset impairment charges of $2.7 million and $5.8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Equity-based compensation awards under the Company’s current incentive plan (the “2021 Equity Incentive Plan”) include restricted stock units (“RSUs”), restricted stock awards (“RSAs”), stock options, and other equity compensation awards. The Company also has an employee stock purchase plan (“ESPP”).</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Scooby LP, the direct owner of Scooby Aggregator, LP, also maintains an incentive plan (the “2016 Incentive Plan”) under which it has awarded partnership unit awards to employees, consultants, and non-employee directors of the Company that are restricted profit interests in Scooby LP subject to a distribution threshold (“Series C Units”).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July 31,</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5"/>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July 31,</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5"/>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RSUs and RSAs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Options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Partnership units of Scooby LP under the 2016 Incentive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Plan</w:t>
            </w:r>
          </w:p>
        </w:tc>
        <w:tc>
          <w:tcPr>
            <w:tcW w:w="10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equity-based compensation expense</w:t>
            </w: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Activity under the 2021 Equity Incentive Plan was as follows (shares and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RSUs and RSAs</w:t>
            </w:r>
          </w:p>
        </w:tc>
        <w:tc>
          <w:tcPr>
            <w:tcW w:w="32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and RSAs/options outstanding, January 30, 2021</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and RSAs vested/options exercised</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Forfeited/expired</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and RSAs/options outstanding, July 31, 2021</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Unrecognized compensation expense as of July 31, 2021</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48,669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expense period as of July 31, 2021</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 Years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becomes vested on each of the first two anniversaries of the grant date. Unvested RSAs are not considered participating securities for earnings per share purposes, as any related dividends are forfeitable.</w:t>
      </w:r>
    </w:p>
    <w:p>
      <w:pPr>
        <w:spacing w:after="0" w:line="184"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Enrollment in the ESPP began in April 2021. The ESPP will allow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(3,704)</w:t>
            </w:r>
          </w:p>
        </w:tc>
      </w:tr>
      <w:tr>
        <w:trPr>
          <w:trHeight w:val="26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July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210,302</w:t>
            </w:r>
          </w:p>
        </w:tc>
        <w:tc>
          <w:tcPr>
            <w:tcW w:w="80" w:type="dxa"/>
            <w:vAlign w:val="bottom"/>
            <w:tcBorders>
              <w:bottom w:val="single" w:sz="8" w:color="CFF0FC"/>
            </w:tcBorders>
          </w:tcPr>
          <w:p>
            <w:pPr>
              <w:spacing w:after="0"/>
              <w:rPr>
                <w:sz w:val="22"/>
                <w:szCs w:val="22"/>
                <w:color w:val="auto"/>
              </w:rPr>
            </w:pP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July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110,548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No additional Series C Units have been or will be awarded since the Company’s initial public offering. As of July 31, 2021, unrecognized compensation expense related to the unvested portion of Scooby LP’s Series C Units was $21.8 million, which is expected to be recognized over a weighted average period of 2.7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7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There were approximately 3.4 million potential shares that were anti-dilutive and excluded from the computation of diluted shares outstanding during the twenty-six weeks ended July 31, 2021. There were no potentially dilutive securities outstanding during the twenty-six weeks ended August 1, 2020.</w:t>
      </w:r>
    </w:p>
    <w:p>
      <w:pPr>
        <w:spacing w:after="0" w:line="18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For periods prior to the Company’s conversion to a Delaware corporation in January 2021, the Company has retrospectively presented net loss per share as if the conversion had occurred at the beginning of the earliest period presented. The weighted average shares used in computing net loss per Class A and B-1 common share in these periods are based on the number of Common Series A and Common Series B Units of PET Acquisition LLC held by members. For periods prior to the conversion, these calculations do not include the 55.2 million shares of Class A common stock issued in the Company’s initial public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40" w:firstLine="467"/>
        <w:spacing w:after="0" w:line="296" w:lineRule="auto"/>
        <w:rPr>
          <w:sz w:val="20"/>
          <w:szCs w:val="20"/>
          <w:color w:val="auto"/>
        </w:rPr>
      </w:pPr>
      <w:r>
        <w:rPr>
          <w:rFonts w:ascii="Arial" w:cs="Arial" w:eastAsia="Arial" w:hAnsi="Arial"/>
          <w:sz w:val="16"/>
          <w:szCs w:val="16"/>
          <w:color w:val="auto"/>
        </w:rPr>
        <w:t>The COVID-19 pandemic has been a highly disruptive economic and societal event that has affected the Company’s business and has had a significant impact on consumer shopping behavior. To serve pet parents while also providing for the safety of employees, the Company has adapted certain aspects of the business. Throughout the pandemic, the Company has monitored the rapidly evolving situation and will continue to adapt its operations to (i) address federal, state and local standards, (ii) meet the needs of pets and pet parents, and (iii) implement standards that the Company believes to be in the best interests of the safety and well-being of its employees and customers. The duration and severity of the pandemic remains uncertain.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condensed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condensed consolidated financial statements. The outcome of any litigation is inherently uncertain, however, and if decided adversely to the Company, or if the Company determines that settlement of a particular litigation matter is appropriate, the Company may be subject to liability that could have a material adverse effect on its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30, 2021 (the “2020 Form 10-K”). The discussion and analysis below contain certain forward-looking statements about our business and operations that are subject to the risks, uncertainties, and other factors described in the sections entitled “Risk Factors” in Part I, Item 1A in the 2020 Form 10-K and Part II, Item 1A in our Quarterly Report on Form 10-Q for the period ended May 1, 2021 (the “Q1 Form 10-Q”) and in this Form 10-Q. These risks, uncertainties, and other factors could cause our actual results to differ materially from those expressed in, or implied by, the forward-looking statements. Please read the section entitled “Cautionary Note Regarding Forward-Looking Statements” in the 2020 Form 10-K. All amounts herein are unaudited.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Petco Health and Wellness Company, Inc. (“Petco”, the “Company”, “we”, “our” and “us”) is a category-defining health and wellness company focused on improving the lives of pets, pet parents, and our own partners. Since our founding in 1965, we have been striving to set new standards in pet care, delivering comprehensive wellness solutions through our products and services, and creating communities that deepen the pet-pet parent bond. Over the last three years, our world-class leadership team and our dedicated and passionate partners have transformed the business from a successful yet traditional retailer to a disruptive, fully integrated, digital-focused provider of premium nutrition, products, services and veterinary care. We operate more than 1,500 Petco locations across the U.S., Mexico, and Puerto Rico, including a growing network of more than 150 in-store veterinary hospitals, and offer a complete online resource for pet health and wellness at petco.com and on the Petco app.</w:t>
      </w:r>
    </w:p>
    <w:p>
      <w:pPr>
        <w:spacing w:after="0" w:line="6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go-to-market strategy is powered by a multi-channel platform that integrates our digital presence with a nationwide physical network. Our e-commerce site and personalized mobile app serve as hubs for pet parents to manage their pets’ health, wellness, and merchandise needs, while enabling them to shop wherever, whenever, and however they want. By leveraging an extensive physical network, we are able to offer a comprehensive product and service offering in a localized manner with a meaningful last-mile delivery advantage over the competition.</w:t>
      </w:r>
    </w:p>
    <w:p>
      <w:pPr>
        <w:spacing w:after="0" w:line="6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more than 6.5 million animals.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121"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The COVID-19 pandemic has impacted every aspect of the economy. As an essential retailer, all of our pet care centers have remained open, as we are the grocery store, pharmacy, and doctor’s office for many of our nation’s pets. Market data indicates that with more of the working population staying home, there has been an increase in pet ownership and the percentage of disposable income spent on home-related goods and services, including pet care. Overall, this macroeconomic trend has continued to favorably impact our business results to date with millions of additional new pets that need to be fed, groomed and vaccinated for years to come, but the possible sustained spread or resurgence of the pandemic, and any government response thereto, increases the uncertainty regarding potential economic conditions that could impact our business in the future.</w:t>
      </w:r>
    </w:p>
    <w:p>
      <w:pPr>
        <w:spacing w:after="0" w:line="16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cannot predict the duration or severity of COVID-19 or its ultimate impact on the broader economy or our operations and liquidity. Please refer to the risk factors described in the sections entitled “Risk Factors” in Part I, Item 1A in the 2020 Form 10-K and Part II, Item 1A in the Q1 Form 10-Q and this Form 10-Q.</w:t>
      </w:r>
    </w:p>
    <w:p>
      <w:pPr>
        <w:spacing w:after="0" w:line="28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9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Management and our board of directors review, in addition to GAAP (as defined herein) measures, certain non-GAAP financial measures, including Adjusted EBITDA, Free Cash Flow and Net Debt, to evaluate our operating performance, generate future operating plans, and make strategic decisions regarding the allocation of capital. Further explanations of our non-GAAP measures, along with reconciliations to their most comparable GAAP measures, are presented below under “Reconciliation of Non-GAAP Financial Measures to GAAP Measures.”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business transformation initiatives, accelerated by an increase in pet ownership and a shift in customer discretionary spend toward the pet category, have driven strong top and bottom-line growth in our business. Comparing the thirteen weeks ended July 31, 2021 with the thirteen weeks ended August 1, 2020, we achieved the following results:</w:t>
      </w:r>
    </w:p>
    <w:p>
      <w:pPr>
        <w:spacing w:after="0" w:line="76"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sales from $1.21 billion to $1.43 billion, representing period-over-period growth of 18.7%;</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sales growth of 19.7%;</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operating income from $65.0 million to $73.5 million, representing period-over-period growth of 12.9%;</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income attributable to Class A and B-1 common stockholders from $7.4 million to $75.1 million, representing a period-over-period improvement of 909.4%;</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Adjusted EBITDA from $130.8 million to $155.1 million, representing period-over-period growth of 18.5%; and</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flows provided by operating activities improved from $92.4 million during the twenty-six weeks ended August 1, 2020 to $202.4 million during the twenty-six weeks ended July 31, 2021.</w:t>
      </w:r>
    </w:p>
    <w:p>
      <w:pPr>
        <w:spacing w:after="0" w:line="17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a description of our non-GAAP measures and reconciliations to their most comparable GAAP measures, please read the section below titled “Reconciliation of Non-GAAP Financial Measures to GAAP Measures.”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right"/>
              <w:ind w:right="400"/>
              <w:spacing w:after="0" w:line="133" w:lineRule="exact"/>
              <w:rPr>
                <w:sz w:val="20"/>
                <w:szCs w:val="20"/>
                <w:color w:val="auto"/>
              </w:rPr>
            </w:pPr>
            <w:r>
              <w:rPr>
                <w:rFonts w:ascii="Arial" w:cs="Arial" w:eastAsia="Arial" w:hAnsi="Arial"/>
                <w:sz w:val="14"/>
                <w:szCs w:val="14"/>
                <w:b w:val="1"/>
                <w:bCs w:val="1"/>
                <w:color w:val="auto"/>
              </w:rPr>
              <w:t>July 31,</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tcPr>
          <w:p>
            <w:pPr>
              <w:jc w:val="right"/>
              <w:ind w:right="300"/>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right"/>
              <w:ind w:right="480"/>
              <w:spacing w:after="0" w:line="133" w:lineRule="exact"/>
              <w:rPr>
                <w:sz w:val="20"/>
                <w:szCs w:val="20"/>
                <w:color w:val="auto"/>
              </w:rPr>
            </w:pPr>
            <w:r>
              <w:rPr>
                <w:rFonts w:ascii="Arial" w:cs="Arial" w:eastAsia="Arial" w:hAnsi="Arial"/>
                <w:sz w:val="14"/>
                <w:szCs w:val="14"/>
                <w:b w:val="1"/>
                <w:bCs w:val="1"/>
                <w:color w:val="auto"/>
              </w:rPr>
              <w:t>July 31,</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r>
      <w:tr>
        <w:trPr>
          <w:trHeight w:val="171"/>
        </w:trPr>
        <w:tc>
          <w:tcPr>
            <w:tcW w:w="480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1,434,534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1,208,971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2,849,528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2,322,492</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835,124</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679,218</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1,653,133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1,326,457</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599,410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529,753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1,196,395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996,035</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525,942</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464,706</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1,075,178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914,623</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73,468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65,047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121,217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81,412</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(283)</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19,206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54,493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39,735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115,301</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20,838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(45,162)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(45,162)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640"/>
              <w:spacing w:after="0"/>
              <w:rPr>
                <w:sz w:val="20"/>
                <w:szCs w:val="20"/>
                <w:color w:val="auto"/>
              </w:rPr>
            </w:pPr>
            <w:r>
              <w:rPr>
                <w:rFonts w:ascii="Arial" w:cs="Arial" w:eastAsia="Arial" w:hAnsi="Arial"/>
                <w:sz w:val="18"/>
                <w:szCs w:val="18"/>
                <w:color w:val="auto"/>
              </w:rPr>
              <w:t>from equity method investees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99,437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105,840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(33,606)</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27,011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29,690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(5,597)</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(4,854)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(1,077)</w:t>
            </w:r>
          </w:p>
        </w:tc>
      </w:tr>
      <w:tr>
        <w:trPr>
          <w:trHeight w:val="223"/>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74,855</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6,440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81,004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0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(1,667)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(3,205)</w:t>
            </w:r>
          </w:p>
        </w:tc>
      </w:tr>
      <w:tr>
        <w:trPr>
          <w:trHeight w:val="209"/>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 attributable to Class A and B-1</w:t>
            </w:r>
          </w:p>
        </w:tc>
        <w:tc>
          <w:tcPr>
            <w:tcW w:w="8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stockholders</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75,111</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7,441</w:t>
            </w:r>
          </w:p>
        </w:tc>
        <w:tc>
          <w:tcPr>
            <w:tcW w:w="100" w:type="dxa"/>
            <w:vAlign w:val="bottom"/>
            <w:shd w:val="clear" w:color="auto" w:fill="CFF0FC"/>
          </w:tcPr>
          <w:p>
            <w:pPr>
              <w:spacing w:after="0"/>
              <w:rPr>
                <w:sz w:val="20"/>
                <w:szCs w:val="20"/>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82,671</w:t>
            </w:r>
          </w:p>
        </w:tc>
        <w:tc>
          <w:tcPr>
            <w:tcW w:w="14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(23,727)</w:t>
            </w:r>
          </w:p>
        </w:tc>
      </w:tr>
      <w:tr>
        <w:trPr>
          <w:trHeight w:val="473"/>
        </w:trPr>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13"/>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11"/>
          </w:tcPr>
          <w:p>
            <w:pPr>
              <w:jc w:val="right"/>
              <w:ind w:right="78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5"/>
          </w:tcPr>
          <w:p>
            <w:pPr>
              <w:jc w:val="center"/>
              <w:ind w:right="520"/>
              <w:spacing w:after="0" w:line="133" w:lineRule="exact"/>
              <w:rPr>
                <w:sz w:val="20"/>
                <w:szCs w:val="20"/>
                <w:color w:val="auto"/>
              </w:rPr>
            </w:pPr>
            <w:r>
              <w:rPr>
                <w:rFonts w:ascii="Arial" w:cs="Arial" w:eastAsia="Arial" w:hAnsi="Arial"/>
                <w:sz w:val="14"/>
                <w:szCs w:val="14"/>
                <w:b w:val="1"/>
                <w:bCs w:val="1"/>
                <w:color w:val="auto"/>
                <w:w w:val="93"/>
              </w:rPr>
              <w:t>July 31,</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92"/>
              <w:spacing w:after="0" w:line="133" w:lineRule="exact"/>
              <w:rPr>
                <w:sz w:val="20"/>
                <w:szCs w:val="20"/>
                <w:color w:val="auto"/>
              </w:rPr>
            </w:pPr>
            <w:r>
              <w:rPr>
                <w:rFonts w:ascii="Arial" w:cs="Arial" w:eastAsia="Arial" w:hAnsi="Arial"/>
                <w:sz w:val="14"/>
                <w:szCs w:val="14"/>
                <w:b w:val="1"/>
                <w:bCs w:val="1"/>
                <w:color w:val="auto"/>
                <w:w w:val="93"/>
              </w:rPr>
              <w:t>August 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right"/>
              <w:ind w:right="620"/>
              <w:spacing w:after="0" w:line="133" w:lineRule="exact"/>
              <w:rPr>
                <w:sz w:val="20"/>
                <w:szCs w:val="20"/>
                <w:color w:val="auto"/>
              </w:rPr>
            </w:pPr>
            <w:r>
              <w:rPr>
                <w:rFonts w:ascii="Arial" w:cs="Arial" w:eastAsia="Arial" w:hAnsi="Arial"/>
                <w:sz w:val="14"/>
                <w:szCs w:val="14"/>
                <w:b w:val="1"/>
                <w:bCs w:val="1"/>
                <w:color w:val="auto"/>
              </w:rPr>
              <w:t>July 31,</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93"/>
              <w:spacing w:after="0" w:line="133" w:lineRule="exact"/>
              <w:rPr>
                <w:sz w:val="20"/>
                <w:szCs w:val="20"/>
                <w:color w:val="auto"/>
              </w:rPr>
            </w:pPr>
            <w:r>
              <w:rPr>
                <w:rFonts w:ascii="Arial" w:cs="Arial" w:eastAsia="Arial" w:hAnsi="Arial"/>
                <w:sz w:val="14"/>
                <w:szCs w:val="14"/>
                <w:b w:val="1"/>
                <w:bCs w:val="1"/>
                <w:color w:val="auto"/>
                <w:w w:val="93"/>
              </w:rPr>
              <w:t>August 1,</w:t>
            </w:r>
          </w:p>
        </w:tc>
        <w:tc>
          <w:tcPr>
            <w:tcW w:w="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r>
      <w:tr>
        <w:trPr>
          <w:trHeight w:val="171"/>
        </w:trPr>
        <w:tc>
          <w:tcPr>
            <w:tcW w:w="480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9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5"/>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w:t>
            </w: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640"/>
              <w:spacing w:after="0"/>
              <w:rPr>
                <w:sz w:val="20"/>
                <w:szCs w:val="20"/>
                <w:color w:val="auto"/>
              </w:rPr>
            </w:pPr>
            <w:r>
              <w:rPr>
                <w:rFonts w:ascii="Arial" w:cs="Arial" w:eastAsia="Arial" w:hAnsi="Arial"/>
                <w:sz w:val="18"/>
                <w:szCs w:val="18"/>
                <w:color w:val="auto"/>
              </w:rPr>
              <w:t>from equity method investees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9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9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09"/>
        </w:trPr>
        <w:tc>
          <w:tcPr>
            <w:tcW w:w="4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 attributable to Class A and B-1</w:t>
            </w:r>
          </w:p>
        </w:tc>
        <w:tc>
          <w:tcPr>
            <w:tcW w:w="8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stockholders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473"/>
        </w:trPr>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13"/>
          </w:tcPr>
          <w:p>
            <w:pPr>
              <w:jc w:val="right"/>
              <w:ind w:right="90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11"/>
          </w:tcPr>
          <w:p>
            <w:pPr>
              <w:jc w:val="right"/>
              <w:ind w:right="74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center"/>
              <w:ind w:right="620"/>
              <w:spacing w:after="0" w:line="133" w:lineRule="exact"/>
              <w:rPr>
                <w:sz w:val="20"/>
                <w:szCs w:val="20"/>
                <w:color w:val="auto"/>
              </w:rPr>
            </w:pPr>
            <w:r>
              <w:rPr>
                <w:rFonts w:ascii="Arial" w:cs="Arial" w:eastAsia="Arial" w:hAnsi="Arial"/>
                <w:sz w:val="14"/>
                <w:szCs w:val="14"/>
                <w:b w:val="1"/>
                <w:bCs w:val="1"/>
                <w:color w:val="auto"/>
                <w:w w:val="93"/>
              </w:rPr>
              <w:t>July 31,</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170"/>
              <w:spacing w:after="0" w:line="133" w:lineRule="exact"/>
              <w:rPr>
                <w:sz w:val="20"/>
                <w:szCs w:val="20"/>
                <w:color w:val="auto"/>
              </w:rPr>
            </w:pPr>
            <w:r>
              <w:rPr>
                <w:rFonts w:ascii="Arial" w:cs="Arial" w:eastAsia="Arial" w:hAnsi="Arial"/>
                <w:sz w:val="14"/>
                <w:szCs w:val="14"/>
                <w:b w:val="1"/>
                <w:bCs w:val="1"/>
                <w:color w:val="auto"/>
                <w:w w:val="90"/>
              </w:rPr>
              <w:t>August 1,</w:t>
            </w:r>
          </w:p>
        </w:tc>
        <w:tc>
          <w:tcPr>
            <w:tcW w:w="2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right"/>
              <w:ind w:right="600"/>
              <w:spacing w:after="0" w:line="133" w:lineRule="exact"/>
              <w:rPr>
                <w:sz w:val="20"/>
                <w:szCs w:val="20"/>
                <w:color w:val="auto"/>
              </w:rPr>
            </w:pPr>
            <w:r>
              <w:rPr>
                <w:rFonts w:ascii="Arial" w:cs="Arial" w:eastAsia="Arial" w:hAnsi="Arial"/>
                <w:sz w:val="14"/>
                <w:szCs w:val="14"/>
                <w:b w:val="1"/>
                <w:bCs w:val="1"/>
                <w:color w:val="auto"/>
              </w:rPr>
              <w:t>July 31,</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rPr>
              <w:t>August 1,</w:t>
            </w:r>
          </w:p>
        </w:tc>
        <w:tc>
          <w:tcPr>
            <w:tcW w:w="180" w:type="dxa"/>
            <w:vAlign w:val="bottom"/>
            <w:gridSpan w:val="2"/>
          </w:tcPr>
          <w:p>
            <w:pPr>
              <w:spacing w:after="0"/>
              <w:rPr>
                <w:sz w:val="11"/>
                <w:szCs w:val="11"/>
                <w:color w:val="auto"/>
              </w:rPr>
            </w:pPr>
          </w:p>
        </w:tc>
      </w:tr>
      <w:tr>
        <w:trPr>
          <w:trHeight w:val="171"/>
        </w:trPr>
        <w:tc>
          <w:tcPr>
            <w:tcW w:w="480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Comparable sales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6.4%</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pet care centers at end of period</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Total pet care centers with veterinarian practices at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(in thousands)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155,073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130,812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280,819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217,648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648"/>
        </w:trPr>
        <w:tc>
          <w:tcPr>
            <w:tcW w:w="48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880" w:firstLine="880"/>
        <w:spacing w:after="0" w:line="407" w:lineRule="auto"/>
        <w:rPr>
          <w:sz w:val="20"/>
          <w:szCs w:val="20"/>
          <w:color w:val="auto"/>
        </w:rPr>
      </w:pPr>
      <w:r>
        <w:rPr>
          <w:rFonts w:ascii="Arial" w:cs="Arial" w:eastAsia="Arial" w:hAnsi="Arial"/>
          <w:sz w:val="18"/>
          <w:szCs w:val="18"/>
          <w:b w:val="1"/>
          <w:bCs w:val="1"/>
          <w:color w:val="auto"/>
        </w:rPr>
        <w:t xml:space="preserve">Thirteen and Twenty-six Weeks Ended July 31, 2021 Compared with Thirteen and Twenty-six Weeks Ended August 1, 2020 </w:t>
      </w:r>
      <w:r>
        <w:rPr>
          <w:rFonts w:ascii="Arial" w:cs="Arial" w:eastAsia="Arial" w:hAnsi="Arial"/>
          <w:sz w:val="18"/>
          <w:szCs w:val="18"/>
          <w:b w:val="1"/>
          <w:bCs w:val="1"/>
          <w:i w:val="1"/>
          <w:iCs w:val="1"/>
          <w:color w:val="auto"/>
        </w:rPr>
        <w:t>Net Sales and Comparable Sales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w w:val="86"/>
              </w:rPr>
              <w:t>Thirteen weeks ended</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3"/>
                <w:szCs w:val="13"/>
                <w:b w:val="1"/>
                <w:bCs w:val="1"/>
                <w:color w:val="auto"/>
                <w:w w:val="85"/>
              </w:rPr>
              <w:t>Twenty-six weeks ended</w:t>
            </w: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2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880" w:type="dxa"/>
            <w:vAlign w:val="bottom"/>
          </w:tcPr>
          <w:p>
            <w:pPr>
              <w:jc w:val="right"/>
              <w:ind w:right="167"/>
              <w:spacing w:after="0" w:line="124" w:lineRule="exact"/>
              <w:rPr>
                <w:sz w:val="20"/>
                <w:szCs w:val="20"/>
                <w:color w:val="auto"/>
              </w:rPr>
            </w:pPr>
            <w:r>
              <w:rPr>
                <w:rFonts w:ascii="Arial" w:cs="Arial" w:eastAsia="Arial" w:hAnsi="Arial"/>
                <w:sz w:val="13"/>
                <w:szCs w:val="13"/>
                <w:b w:val="1"/>
                <w:bCs w:val="1"/>
                <w:color w:val="auto"/>
              </w:rPr>
              <w:t>August 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265"/>
              <w:spacing w:after="0" w:line="124"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17"/>
              <w:spacing w:after="0" w:line="12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1120" w:type="dxa"/>
            <w:vAlign w:val="bottom"/>
            <w:gridSpan w:val="2"/>
          </w:tcPr>
          <w:p>
            <w:pPr>
              <w:ind w:left="140"/>
              <w:spacing w:after="0" w:line="124" w:lineRule="exact"/>
              <w:rPr>
                <w:sz w:val="20"/>
                <w:szCs w:val="20"/>
                <w:color w:val="auto"/>
              </w:rPr>
            </w:pPr>
            <w:r>
              <w:rPr>
                <w:rFonts w:ascii="Arial" w:cs="Arial" w:eastAsia="Arial" w:hAnsi="Arial"/>
                <w:sz w:val="13"/>
                <w:szCs w:val="13"/>
                <w:b w:val="1"/>
                <w:bCs w:val="1"/>
                <w:color w:val="auto"/>
              </w:rPr>
              <w:t>August 1,</w:t>
            </w:r>
          </w:p>
        </w:tc>
        <w:tc>
          <w:tcPr>
            <w:tcW w:w="120" w:type="dxa"/>
            <w:vAlign w:val="bottom"/>
          </w:tcPr>
          <w:p>
            <w:pPr>
              <w:spacing w:after="0"/>
              <w:rPr>
                <w:sz w:val="10"/>
                <w:szCs w:val="10"/>
                <w:color w:val="auto"/>
              </w:rPr>
            </w:pPr>
          </w:p>
        </w:tc>
        <w:tc>
          <w:tcPr>
            <w:tcW w:w="640" w:type="dxa"/>
            <w:vAlign w:val="bottom"/>
          </w:tcPr>
          <w:p>
            <w:pPr>
              <w:jc w:val="right"/>
              <w:ind w:right="285"/>
              <w:spacing w:after="0" w:line="124"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right"/>
              <w:ind w:right="137"/>
              <w:spacing w:after="0" w:line="12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r>
      <w:tr>
        <w:trPr>
          <w:trHeight w:val="153"/>
        </w:trPr>
        <w:tc>
          <w:tcPr>
            <w:tcW w:w="260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w w:val="88"/>
              </w:rPr>
              <w:t>Change</w:t>
            </w: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Change</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w w:val="92"/>
              </w:rPr>
              <w:t>Change</w:t>
            </w: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60" w:type="dxa"/>
            <w:vAlign w:val="bottom"/>
            <w:tcBorders>
              <w:bottom w:val="single" w:sz="8" w:color="CFF0FC"/>
            </w:tcBorders>
          </w:tcPr>
          <w:p>
            <w:pPr>
              <w:spacing w:after="0"/>
              <w:rPr>
                <w:sz w:val="13"/>
                <w:szCs w:val="13"/>
                <w:color w:val="auto"/>
              </w:rPr>
            </w:pPr>
          </w:p>
        </w:tc>
      </w:tr>
      <w:tr>
        <w:trPr>
          <w:trHeight w:val="209"/>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Consumables</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611,946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492,274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119,672</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24.3%</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1,207,078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1,018,026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189,052</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18.6%</w:t>
            </w: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Supplies and companion animals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663,572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612,630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50,942</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1,321,744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1,106,364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215,380</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19.5%</w:t>
            </w:r>
          </w:p>
        </w:tc>
      </w:tr>
      <w:tr>
        <w:trPr>
          <w:trHeight w:val="219"/>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Services and other</w:t>
            </w:r>
          </w:p>
        </w:tc>
        <w:tc>
          <w:tcPr>
            <w:tcW w:w="4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159,016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104,067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54,949</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52.8%</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320,706</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198,102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122,604</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61.9%</w:t>
            </w:r>
          </w:p>
        </w:tc>
      </w:tr>
      <w:tr>
        <w:trPr>
          <w:trHeight w:val="207"/>
        </w:trPr>
        <w:tc>
          <w:tcPr>
            <w:tcW w:w="2600" w:type="dxa"/>
            <w:vAlign w:val="bottom"/>
          </w:tcPr>
          <w:p>
            <w:pPr>
              <w:spacing w:after="0"/>
              <w:rPr>
                <w:sz w:val="20"/>
                <w:szCs w:val="20"/>
                <w:color w:val="auto"/>
              </w:rPr>
            </w:pPr>
            <w:r>
              <w:rPr>
                <w:rFonts w:ascii="Arial" w:cs="Arial" w:eastAsia="Arial" w:hAnsi="Arial"/>
                <w:sz w:val="16"/>
                <w:szCs w:val="16"/>
                <w:color w:val="auto"/>
              </w:rPr>
              <w:t>Net sales</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1,434,534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1,208,971</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225,563</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18.7%</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2,849,528</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2,322,492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527,036</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22.7%</w:t>
            </w:r>
          </w:p>
        </w:tc>
      </w:tr>
      <w:tr>
        <w:trPr>
          <w:trHeight w:val="20"/>
        </w:trPr>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510"/>
        <w:spacing w:after="0" w:line="296" w:lineRule="auto"/>
        <w:rPr>
          <w:sz w:val="20"/>
          <w:szCs w:val="20"/>
          <w:color w:val="auto"/>
        </w:rPr>
      </w:pPr>
      <w:r>
        <w:rPr>
          <w:rFonts w:ascii="Arial" w:cs="Arial" w:eastAsia="Arial" w:hAnsi="Arial"/>
          <w:sz w:val="16"/>
          <w:szCs w:val="16"/>
          <w:color w:val="auto"/>
        </w:rPr>
        <w:t>Net sales increased $225.6 million, or 18.7%, to $1.43 billion in the thirteen weeks ended July 31, 2021 compared to net sales of $1.21 billion in the thirteen weeks ended August 1, 2020, driven by a 19.7% increase in our comparable sales. Net sales increased $527.0 million, or 22.7%, to $2.85 billion in the twenty-six weeks ended July 31, 2021 compared to net sales of $2.32 billion in the twenty-six weeks ended August 1, 2020, driven by a 23.9% increase in our comparable sales. Our sales growth period-over-period was driven by our strong execution and differentiated model across digital and in our pet care centers, coupled with an increase in new pet ownership and a resulting increase in sales to meet the needs of these pet parents.</w:t>
      </w:r>
    </w:p>
    <w:p>
      <w:pPr>
        <w:spacing w:after="0" w:line="53"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For the thirteen and twenty-six weeks ended July 31, 2021, pet care center merchandise delivered growth of 16.9% and 20.9%, respectively, with strong growth in all major categories including consumables, supplies and companion animals. Our e-commerce and digital sales increased 14.3% and</w:t>
      </w:r>
    </w:p>
    <w:p>
      <w:pPr>
        <w:ind w:right="40"/>
        <w:spacing w:after="0" w:line="271" w:lineRule="auto"/>
        <w:rPr>
          <w:sz w:val="20"/>
          <w:szCs w:val="20"/>
          <w:color w:val="auto"/>
        </w:rPr>
      </w:pPr>
      <w:r>
        <w:rPr>
          <w:rFonts w:ascii="Arial" w:cs="Arial" w:eastAsia="Arial" w:hAnsi="Arial"/>
          <w:sz w:val="17"/>
          <w:szCs w:val="17"/>
          <w:color w:val="auto"/>
        </w:rPr>
        <w:t>17.9% during the thirteen and twenty-six weeks ended July 31, 2021 respectively, lapping strong sales growth in the same period last year at the start of the COVID-19 pandemic. This digital sales growth excludes the impact associated with the closure of our Live Aquaria business during the thirteen and twenty-six weeks ended August 1, 2020. The increase in services and other was due in part to growth in our veterinary hospital business with the addition of 62 new hospitals period-over-period coupled with headwinds experienced during the thirteen and twenty-six weeks ended August 1, 2020 with the temporary suspension of our training, grooming and vaccination clinic services while stay-at-home orders were still in place.</w:t>
      </w:r>
    </w:p>
    <w:p>
      <w:pPr>
        <w:spacing w:after="0" w:line="70"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The increase in consumables between the periods is driven by the increase in new pets and our strategic investments in customer acquisition and retention. Also affecting the comparison in our sales mix for the thirteen and twenty-six weeks ended July 31, 2021 was the prior year impact of the COVID-19 pandemic. After experiencing an increase in consumables sales due to pantry loading during the first quarter of fiscal year 2020, we saw our sales mix shift heavily to supplies and companion animals during the thirteen weeks ended August 1, 2020 due to increases in new pets and shifts in disposable income towards pets, and initial stimulus payments which provided additional disposable income to pet parents.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Gross profit increased $69.7 million, or 13.1%, to $599.4 million in the thirteen weeks ended July 31, 2021 compared to gross profit of</w:t>
      </w:r>
    </w:p>
    <w:p>
      <w:pPr>
        <w:spacing w:after="0" w:line="2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$529.8 million for the thirteen weeks ended August 1, 2020. As a percentage of sales, our gross profit rate was 41.8% for the thirteen weeks ended July 31, 2021 compared with 43.8% for the thirteen weeks ended August 1, 2020. Gross profit increased $200.4 million, or 20.1%, to $1,196.4 million in the twenty-six weeks ended July 31, 2021 compared to gross profit of $996.0 million for the twenty-six weeks ended August 1, 2020. As a percentage of sales, our gross profit rate was 42.0% for the twenty-six weeks ended July 31, 2021 compared with gross profit 42.9% for the twenty-six weeks ended August 1, 2020. The decrease in gross profit rate between the periods was primarily due to the unique macroeconomic conditions that impacted our sales mix during the early months of the COVID-19 pandemic, as described above. In particular, the influx of new pets in fiscal 2020 drove a higher supplies sales mix, which typically carry higher gross margin rates compared to other categories of sales. During the thirteen and twenty-six weeks ended July 31, 2021, this sales mix has shifted from supplies to higher consumables, though we expect overall customer sales patterns to moderate over time. Sales channel impacts driven by strength in our digital, services and vet business, and moderate increases in distribution costs also contributed to the decrease in gross profit rate during the thirteen and twenty-six weeks ended July 31, 2021 as compared to the prior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SG&amp;A expenses increased $61.2 million, or 13.2%, to $525.9 million for the thirteen weeks ended July 31, 2021 compared to $464.7 million for the thirteen weeks ended August 1, 2020. As a percentage of net sales, SG&amp;A expenses was 36.7% for the thirteen weeks ended July 31, 2021 compared with 38.4% for the thirteen weeks ended August 1, 2020, reflecting operating leverage from net sales growth. The increase in expenses period over period was partially due to a $34.0 million increase in G&amp;A expenses. A portion of this increase was due to a legal settlement accrual for a class action matter as well as increase in stock-based compensation expense driven by our initial public offering. The remainder of the increase in SG&amp;A was predominately due to higher incentive compensation for corporate and field partners along with increased variable costs associated with our higher sales growth. In addition, SG&amp;A expenses were lower for the thirteen weeks ended August 1, 2020 due to precautionary cost containment measures put in place throughout the early stages of the COVID-19 pandemic.</w:t>
      </w:r>
    </w:p>
    <w:p>
      <w:pPr>
        <w:spacing w:after="0" w:line="200" w:lineRule="exact"/>
        <w:rPr>
          <w:sz w:val="20"/>
          <w:szCs w:val="20"/>
          <w:color w:val="auto"/>
        </w:rPr>
      </w:pPr>
    </w:p>
    <w:p>
      <w:pPr>
        <w:spacing w:after="0" w:line="20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SG&amp;A expenses increased $160.6 million, or 17.6%, to $1,075.2 million for the twenty-six weeks ended July 31, 2021 compared to $914.6 million for the twenty-six weeks ended August 1, 2020. As a percentage of net sales, SG&amp;A expenses was 37.7% for the twenty-six weeks ended July 31, 2021 compared with 39.4% for the twenty-six weeks ended August 1, 2020, reflecting operating leverage from net sales growth. The increase in expenses period-over-period was driven by a $45.5 million increase in advertising expenses to support the acceleration of our sales growth. The remainder of the increase was predominately due to the drivers discussed in the paragraph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Interest expense decreased $35.3 million, or 64.8%, to $19.2 million in the thirteen weeks ended July 31, 2021 compared with $54.5 million in the thirteen weeks ended August 1, 2020. Interest expense decreased $75.6 million, or 65.5%, to $39.7 million in the twenty-six weeks ended July 31, 2021 compared with $115.3 million in the twenty-six weeks ended August 1, 2020. The decrease was primarily driven by the redemption/cancellation of the Floating Rate Senior Notes and the 3.00% Senior Notes and repayment of a portion of our then-outstanding Amended Term Loan Facility (each as defined in Note 4, “</w:t>
      </w:r>
      <w:r>
        <w:rPr>
          <w:rFonts w:ascii="Arial" w:cs="Arial" w:eastAsia="Arial" w:hAnsi="Arial"/>
          <w:sz w:val="17"/>
          <w:szCs w:val="17"/>
          <w:i w:val="1"/>
          <w:iCs w:val="1"/>
          <w:color w:val="auto"/>
        </w:rPr>
        <w:t>Senior Notes</w:t>
      </w:r>
      <w:r>
        <w:rPr>
          <w:rFonts w:ascii="Arial" w:cs="Arial" w:eastAsia="Arial" w:hAnsi="Arial"/>
          <w:sz w:val="17"/>
          <w:szCs w:val="17"/>
          <w:color w:val="auto"/>
        </w:rPr>
        <w:t>,” and Note 3, “</w:t>
      </w:r>
      <w:r>
        <w:rPr>
          <w:rFonts w:ascii="Arial" w:cs="Arial" w:eastAsia="Arial" w:hAnsi="Arial"/>
          <w:sz w:val="17"/>
          <w:szCs w:val="17"/>
          <w:i w:val="1"/>
          <w:iCs w:val="1"/>
          <w:color w:val="auto"/>
        </w:rPr>
        <w:t>Senior Secured Credit Facilities,</w:t>
      </w:r>
      <w:r>
        <w:rPr>
          <w:rFonts w:ascii="Arial" w:cs="Arial" w:eastAsia="Arial" w:hAnsi="Arial"/>
          <w:sz w:val="17"/>
          <w:szCs w:val="17"/>
          <w:color w:val="auto"/>
        </w:rPr>
        <w:t>” to the Notes to Consolidated Financial Statements included in Part I, Item 1 of this Form 10-Q) in connection with our initial public offering. In March 2020, we borrowed $250.0 million on our then-outstanding senior secured asset-based revolving credit facility (the “Amended Revolving Credit Facility”) as a precautionary measure given the uncertainty of the macroeconomic environment at the start of the COVID-19 pandemic. We subsequently repaid the amount in full in the second quarter of fiscal 2020 and had no borrowings outstanding on the Amended Revolving Credit Facility as of January 30,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and Modification of Debt</w:t>
      </w:r>
    </w:p>
    <w:p>
      <w:pPr>
        <w:spacing w:after="0" w:line="225"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Loss on extinguishment and modification of debt was $20.8 million for the twenty-six weeks ended July 31, 2021. This loss was recognized in conjunction with the March 4, 2021 debt refinancing transaction described above. There was no loss on debt extinguishment and modification for the thirteen weeks ended July 31, 2021 or the thirteen and twenty-six weeks ended August 1, 2020. For more information regarding these activities, refer to Note 3, “</w:t>
      </w:r>
      <w:r>
        <w:rPr>
          <w:rFonts w:ascii="Arial" w:cs="Arial" w:eastAsia="Arial" w:hAnsi="Arial"/>
          <w:sz w:val="16"/>
          <w:szCs w:val="16"/>
          <w:i w:val="1"/>
          <w:iCs w:val="1"/>
          <w:color w:val="auto"/>
        </w:rPr>
        <w:t>Senior Secured Credit Facilities</w:t>
      </w:r>
      <w:r>
        <w:rPr>
          <w:rFonts w:ascii="Arial" w:cs="Arial" w:eastAsia="Arial" w:hAnsi="Arial"/>
          <w:sz w:val="16"/>
          <w:szCs w:val="16"/>
          <w:color w:val="auto"/>
        </w:rPr>
        <w:t>,” to the Notes to Consolidated Financial Statements included in Part I, Item 1 of this Form 10-Q.</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 xml:space="preserve">Other non-operating income was $45.2 million for the thirteen and twenty-six weeks ended July 31, 2021. This income relates to a non-cash gain from the remeasurement of the fair value of our investment in A Place for Rover, Inc. (“Rover”). There was no other non-operating income recognized during the thirteen or twenty-six weeks ended August 1, 2020. For more information regarding this activity, refer to Note 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 Notes to Consolidated Financial Statements included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Our effective tax rates were 26.4% and 26.4%, resulting in income tax expense of $27.0 million and $29.7 million for the thirteen and twenty-six weeks ended July 31, 2021, respectively, compared to effective tax rates of 39.4% and 19.2%, resulting in income tax expense (benefit) of $5.0 million and $(5.6) million for the thirteen and twenty-six weeks ended August 1, 2020, respectively. The increase in effective tax rate for the twenty-six weeks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ended July 31, 2021 is primarily driven by an increase in earnings along with an increase in stock-based compensation expense.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 —Reconciliation of Non-GAAP Financial Measures to GAAP Measures” included in the 2020 Form 10-K for more information regarding how we define Adjusted EBITDA.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420" w:firstLine="510"/>
        <w:spacing w:after="0" w:line="277" w:lineRule="auto"/>
        <w:rPr>
          <w:sz w:val="20"/>
          <w:szCs w:val="20"/>
          <w:color w:val="auto"/>
        </w:rPr>
      </w:pPr>
      <w:r>
        <w:rPr>
          <w:rFonts w:ascii="Arial" w:cs="Arial" w:eastAsia="Arial" w:hAnsi="Arial"/>
          <w:sz w:val="18"/>
          <w:szCs w:val="18"/>
          <w:color w:val="auto"/>
        </w:rPr>
        <w:t>The table below reflects the calculation of Adjusted EBITDA and Adjusted EBITDA Margin, after taking into account net sales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Twenty-six weeks ended</w:t>
            </w:r>
          </w:p>
        </w:tc>
      </w:tr>
      <w:tr>
        <w:trPr>
          <w:trHeight w:val="133"/>
        </w:trPr>
        <w:tc>
          <w:tcPr>
            <w:tcW w:w="3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92"/>
              <w:spacing w:after="0" w:line="133" w:lineRule="exact"/>
              <w:rPr>
                <w:sz w:val="20"/>
                <w:szCs w:val="20"/>
                <w:color w:val="auto"/>
              </w:rPr>
            </w:pPr>
            <w:r>
              <w:rPr>
                <w:rFonts w:ascii="Arial" w:cs="Arial" w:eastAsia="Arial" w:hAnsi="Arial"/>
                <w:sz w:val="14"/>
                <w:szCs w:val="14"/>
                <w:b w:val="1"/>
                <w:bCs w:val="1"/>
                <w:color w:val="auto"/>
              </w:rPr>
              <w:t>August 1,</w:t>
            </w:r>
          </w:p>
        </w:tc>
        <w:tc>
          <w:tcPr>
            <w:tcW w:w="3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2"/>
              <w:spacing w:after="0" w:line="133" w:lineRule="exact"/>
              <w:rPr>
                <w:sz w:val="20"/>
                <w:szCs w:val="20"/>
                <w:color w:val="auto"/>
              </w:rPr>
            </w:pPr>
            <w:r>
              <w:rPr>
                <w:rFonts w:ascii="Arial" w:cs="Arial" w:eastAsia="Arial" w:hAnsi="Arial"/>
                <w:sz w:val="14"/>
                <w:szCs w:val="14"/>
                <w:b w:val="1"/>
                <w:bCs w:val="1"/>
                <w:color w:val="auto"/>
              </w:rPr>
              <w:t>August 1,</w:t>
            </w:r>
          </w:p>
        </w:tc>
        <w:tc>
          <w:tcPr>
            <w:tcW w:w="220" w:type="dxa"/>
            <w:vAlign w:val="bottom"/>
          </w:tcPr>
          <w:p>
            <w:pPr>
              <w:spacing w:after="0"/>
              <w:rPr>
                <w:sz w:val="11"/>
                <w:szCs w:val="11"/>
                <w:color w:val="auto"/>
              </w:rPr>
            </w:pPr>
          </w:p>
        </w:tc>
      </w:tr>
      <w:tr>
        <w:trPr>
          <w:trHeight w:val="171"/>
        </w:trPr>
        <w:tc>
          <w:tcPr>
            <w:tcW w:w="3000" w:type="dxa"/>
            <w:vAlign w:val="bottom"/>
            <w:tcBorders>
              <w:bottom w:val="single" w:sz="8" w:color="CFF0FC"/>
            </w:tcBorders>
          </w:tcPr>
          <w:p>
            <w:pPr>
              <w:spacing w:after="0"/>
              <w:rPr>
                <w:sz w:val="14"/>
                <w:szCs w:val="14"/>
                <w:color w:val="auto"/>
              </w:rPr>
            </w:pPr>
          </w:p>
        </w:tc>
        <w:tc>
          <w:tcPr>
            <w:tcW w:w="25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r>
      <w:tr>
        <w:trPr>
          <w:trHeight w:val="205"/>
        </w:trPr>
        <w:tc>
          <w:tcPr>
            <w:tcW w:w="554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Reconciliation of Net Income (Loss) Attributable to Class A and B-1</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4"/>
        </w:trPr>
        <w:tc>
          <w:tcPr>
            <w:tcW w:w="554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Common Stockholders to Adjusted EBITDA</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15"/>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Class A and B-1 common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75,111</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7,441</w:t>
            </w:r>
          </w:p>
        </w:tc>
        <w:tc>
          <w:tcPr>
            <w:tcW w:w="3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82,671</w:t>
            </w:r>
          </w:p>
        </w:tc>
        <w:tc>
          <w:tcPr>
            <w:tcW w:w="240" w:type="dxa"/>
            <w:vAlign w:val="bottom"/>
          </w:tcPr>
          <w:p>
            <w:pPr>
              <w:spacing w:after="0"/>
              <w:rPr>
                <w:sz w:val="20"/>
                <w:szCs w:val="20"/>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(23,727)</w:t>
            </w:r>
          </w:p>
        </w:tc>
      </w:tr>
      <w:tr>
        <w:trPr>
          <w:trHeight w:val="229"/>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115,018</w:t>
            </w:r>
          </w:p>
        </w:tc>
        <w:tc>
          <w:tcPr>
            <w:tcW w:w="22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(5,597)</w:t>
            </w:r>
          </w:p>
        </w:tc>
      </w:tr>
      <w:tr>
        <w:trPr>
          <w:trHeight w:val="229"/>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86,038</w:t>
            </w:r>
          </w:p>
        </w:tc>
        <w:tc>
          <w:tcPr>
            <w:tcW w:w="22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Income from equity method investees</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(1,077)</w:t>
            </w:r>
          </w:p>
        </w:tc>
      </w:tr>
      <w:tr>
        <w:trPr>
          <w:trHeight w:val="229"/>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debt extinguishment and modification</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Asset impairments and write offs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6,261</w:t>
            </w:r>
          </w:p>
        </w:tc>
        <w:tc>
          <w:tcPr>
            <w:tcW w:w="22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220" w:type="dxa"/>
            <w:vAlign w:val="bottom"/>
            <w:shd w:val="clear" w:color="auto" w:fill="CFF0FC"/>
          </w:tcPr>
          <w:p>
            <w:pPr>
              <w:spacing w:after="0"/>
              <w:rPr>
                <w:sz w:val="19"/>
                <w:szCs w:val="19"/>
                <w:color w:val="auto"/>
              </w:rPr>
            </w:pPr>
          </w:p>
        </w:tc>
      </w:tr>
      <w:tr>
        <w:trPr>
          <w:trHeight w:val="229"/>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(45,162)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(45,162)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Mexico joint venture EBITDA (1)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220" w:type="dxa"/>
            <w:vAlign w:val="bottom"/>
            <w:shd w:val="clear" w:color="auto" w:fill="CFF0FC"/>
          </w:tcPr>
          <w:p>
            <w:pPr>
              <w:spacing w:after="0"/>
              <w:rPr>
                <w:sz w:val="19"/>
                <w:szCs w:val="19"/>
                <w:color w:val="auto"/>
              </w:rPr>
            </w:pPr>
          </w:p>
        </w:tc>
      </w:tr>
      <w:tr>
        <w:trPr>
          <w:trHeight w:val="229"/>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Store pre-opening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3,385</w:t>
            </w:r>
          </w:p>
        </w:tc>
        <w:tc>
          <w:tcPr>
            <w:tcW w:w="220" w:type="dxa"/>
            <w:vAlign w:val="bottom"/>
          </w:tcPr>
          <w:p>
            <w:pPr>
              <w:spacing w:after="0"/>
              <w:rPr>
                <w:sz w:val="19"/>
                <w:szCs w:val="19"/>
                <w:color w:val="auto"/>
              </w:rPr>
            </w:pPr>
          </w:p>
        </w:tc>
      </w:tr>
      <w:tr>
        <w:trPr>
          <w:trHeight w:val="229"/>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Store closing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22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Non-cash occupancy-related costs (2)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13,169</w:t>
            </w:r>
          </w:p>
        </w:tc>
        <w:tc>
          <w:tcPr>
            <w:tcW w:w="220" w:type="dxa"/>
            <w:vAlign w:val="bottom"/>
          </w:tcPr>
          <w:p>
            <w:pPr>
              <w:spacing w:after="0"/>
              <w:rPr>
                <w:sz w:val="19"/>
                <w:szCs w:val="19"/>
                <w:color w:val="auto"/>
              </w:rPr>
            </w:pPr>
          </w:p>
        </w:tc>
      </w:tr>
      <w:tr>
        <w:trPr>
          <w:trHeight w:val="229"/>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Non-recurring costs (3)</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8,423</w:t>
            </w:r>
          </w:p>
        </w:tc>
        <w:tc>
          <w:tcPr>
            <w:tcW w:w="220" w:type="dxa"/>
            <w:vAlign w:val="bottom"/>
            <w:shd w:val="clear" w:color="auto" w:fill="CFF0FC"/>
          </w:tcPr>
          <w:p>
            <w:pPr>
              <w:spacing w:after="0"/>
              <w:rPr>
                <w:sz w:val="19"/>
                <w:szCs w:val="19"/>
                <w:color w:val="auto"/>
              </w:rPr>
            </w:pPr>
          </w:p>
        </w:tc>
      </w:tr>
      <w:tr>
        <w:trPr>
          <w:trHeight w:val="263"/>
        </w:trPr>
        <w:tc>
          <w:tcPr>
            <w:tcW w:w="55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155,073</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130,812</w:t>
            </w:r>
          </w:p>
        </w:tc>
        <w:tc>
          <w:tcPr>
            <w:tcW w:w="3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280,819</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217,648</w:t>
            </w:r>
          </w:p>
        </w:tc>
        <w:tc>
          <w:tcPr>
            <w:tcW w:w="220" w:type="dxa"/>
            <w:vAlign w:val="bottom"/>
            <w:tcBorders>
              <w:bottom w:val="single" w:sz="8" w:color="CFF0FC"/>
            </w:tcBorders>
          </w:tcPr>
          <w:p>
            <w:pPr>
              <w:spacing w:after="0"/>
              <w:rPr>
                <w:sz w:val="22"/>
                <w:szCs w:val="22"/>
                <w:color w:val="auto"/>
              </w:rPr>
            </w:pPr>
          </w:p>
        </w:tc>
      </w:tr>
      <w:tr>
        <w:trPr>
          <w:trHeight w:val="21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1,434,534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1,208,971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2,849,528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2,322,492</w:t>
            </w:r>
          </w:p>
        </w:tc>
        <w:tc>
          <w:tcPr>
            <w:tcW w:w="220" w:type="dxa"/>
            <w:vAlign w:val="bottom"/>
            <w:shd w:val="clear" w:color="auto" w:fill="CFF0FC"/>
          </w:tcPr>
          <w:p>
            <w:pPr>
              <w:spacing w:after="0"/>
              <w:rPr>
                <w:sz w:val="18"/>
                <w:szCs w:val="18"/>
                <w:color w:val="auto"/>
              </w:rPr>
            </w:pPr>
          </w:p>
        </w:tc>
      </w:tr>
      <w:tr>
        <w:trPr>
          <w:trHeight w:val="229"/>
        </w:trPr>
        <w:tc>
          <w:tcPr>
            <w:tcW w:w="5540" w:type="dxa"/>
            <w:vAlign w:val="bottom"/>
            <w:gridSpan w:val="2"/>
          </w:tcPr>
          <w:p>
            <w:pPr>
              <w:ind w:left="500"/>
              <w:spacing w:after="0"/>
              <w:rPr>
                <w:sz w:val="20"/>
                <w:szCs w:val="20"/>
                <w:color w:val="auto"/>
              </w:rPr>
            </w:pPr>
            <w:r>
              <w:rPr>
                <w:rFonts w:ascii="Arial" w:cs="Arial" w:eastAsia="Arial" w:hAnsi="Arial"/>
                <w:sz w:val="18"/>
                <w:szCs w:val="18"/>
                <w:color w:val="auto"/>
              </w:rPr>
              <w:t>Net margin (4)</w:t>
            </w: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5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Adjusted EBITDA Margin (4)</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r>
      <w:tr>
        <w:trPr>
          <w:trHeight w:val="94"/>
        </w:trPr>
        <w:tc>
          <w:tcPr>
            <w:tcW w:w="300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89" w:lineRule="exact"/>
        <w:rPr>
          <w:sz w:val="20"/>
          <w:szCs w:val="20"/>
          <w:color w:val="auto"/>
        </w:rPr>
      </w:pPr>
    </w:p>
    <w:p>
      <w:pPr>
        <w:ind w:left="500" w:right="40" w:hanging="492"/>
        <w:spacing w:after="0" w:line="23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44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4"/>
              <w:spacing w:after="0" w:line="133" w:lineRule="exact"/>
              <w:rPr>
                <w:sz w:val="20"/>
                <w:szCs w:val="20"/>
                <w:color w:val="auto"/>
              </w:rPr>
            </w:pPr>
            <w:r>
              <w:rPr>
                <w:rFonts w:ascii="Arial" w:cs="Arial" w:eastAsia="Arial" w:hAnsi="Arial"/>
                <w:sz w:val="14"/>
                <w:szCs w:val="14"/>
                <w:b w:val="1"/>
                <w:bCs w:val="1"/>
                <w:color w:val="auto"/>
              </w:rPr>
              <w:t>August 1,</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4"/>
              <w:spacing w:after="0" w:line="13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CFF0FC"/>
            </w:tcBorders>
            <w:vMerge w:val="continue"/>
          </w:tcPr>
          <w:p>
            <w:pPr>
              <w:spacing w:after="0"/>
              <w:rPr>
                <w:sz w:val="14"/>
                <w:szCs w:val="14"/>
                <w:color w:val="auto"/>
              </w:rPr>
            </w:pPr>
          </w:p>
        </w:tc>
        <w:tc>
          <w:tcPr>
            <w:tcW w:w="28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Foreign currency (gain) loss</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2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50% of EBITDA</w:t>
            </w:r>
          </w:p>
        </w:tc>
        <w:tc>
          <w:tcPr>
            <w:tcW w:w="2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0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Non-cash occupancy-related costs include the difference between cash and straight-line rent for all periods.</w:t>
      </w:r>
    </w:p>
    <w:p>
      <w:pPr>
        <w:spacing w:after="0" w:line="109" w:lineRule="exact"/>
        <w:rPr>
          <w:rFonts w:ascii="Arial" w:cs="Arial" w:eastAsia="Arial" w:hAnsi="Arial"/>
          <w:sz w:val="14"/>
          <w:szCs w:val="14"/>
          <w:color w:val="auto"/>
        </w:rPr>
      </w:pPr>
    </w:p>
    <w:p>
      <w:pPr>
        <w:ind w:left="500" w:right="80" w:hanging="492"/>
        <w:spacing w:after="0" w:line="23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Non-recurring costs include: severance; legal reserves and related fees; one-time consulting and other costs associated with the Company’s strategic transformation initiatives; discontinuation and liquidation costs; and costs related to our initial public offering and refinancing. While we incurred significant costs associated with the COVID-19 pandemic during fiscal 2020, we have not classified any of these costs as non-recurring due to the uncertainty surrounding the pandemic’s length and long-term impact on the macroeconomic operating environment.</w:t>
      </w:r>
    </w:p>
    <w:p>
      <w:pPr>
        <w:spacing w:after="0" w:line="76" w:lineRule="exact"/>
        <w:rPr>
          <w:rFonts w:ascii="Arial" w:cs="Arial" w:eastAsia="Arial" w:hAnsi="Arial"/>
          <w:sz w:val="14"/>
          <w:szCs w:val="14"/>
          <w:color w:val="auto"/>
        </w:rPr>
      </w:pPr>
    </w:p>
    <w:p>
      <w:pPr>
        <w:ind w:left="500" w:right="80" w:hanging="492"/>
        <w:spacing w:after="0" w:line="25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define net margin as net income (loss) attributable to Class A and B-1 common stockholders divided by net sales and Adjusted EBITDA margin as Adjusted EBITDA divided by net sales.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Free Cash Flow is a non-GAAP financial measure that is calculated as net cash provided by operations less cash paid for fixed assets. Management believes that Free Cash Flow, which measures our ability to generate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additional cash from our business operations, is an important financial measure for use in evaluating the Company’s financial performance.</w:t>
      </w:r>
    </w:p>
    <w:p>
      <w:pPr>
        <w:spacing w:after="0" w:line="225"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Although other companies report their free cash flow, numerous methods exist for calculating a company’s free cash flow. As a result, the method used by the Company to calculate our Free Cash Flow may differ from the methods used by other companies to calculate their free cash flow.</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820"/>
              <w:spacing w:after="0" w:line="133" w:lineRule="exact"/>
              <w:rPr>
                <w:sz w:val="20"/>
                <w:szCs w:val="20"/>
                <w:color w:val="auto"/>
              </w:rPr>
            </w:pPr>
            <w:r>
              <w:rPr>
                <w:rFonts w:ascii="Arial" w:cs="Arial" w:eastAsia="Arial" w:hAnsi="Arial"/>
                <w:sz w:val="14"/>
                <w:szCs w:val="14"/>
                <w:b w:val="1"/>
                <w:bCs w:val="1"/>
                <w:color w:val="auto"/>
              </w:rPr>
              <w:t>July 31,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417"/>
              <w:spacing w:after="0" w:line="133" w:lineRule="exact"/>
              <w:rPr>
                <w:sz w:val="20"/>
                <w:szCs w:val="20"/>
                <w:color w:val="auto"/>
              </w:rPr>
            </w:pPr>
            <w:r>
              <w:rPr>
                <w:rFonts w:ascii="Arial" w:cs="Arial" w:eastAsia="Arial" w:hAnsi="Arial"/>
                <w:sz w:val="14"/>
                <w:szCs w:val="14"/>
                <w:b w:val="1"/>
                <w:bCs w:val="1"/>
                <w:color w:val="auto"/>
              </w:rPr>
              <w:t>August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paid for fixed assets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(99,883)</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(50,043)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Debt</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Debt is a non-GAAP financial measure that is calculated as the sum of current and non-current debt, less cash and cash equivalents. Management considers this adjustment useful because it reduces the volatility of total debt caused by fluctuations between cash paid against the Company’s revolving credit facility and cash held on hand in cash and cash equivalents.</w:t>
      </w:r>
    </w:p>
    <w:p>
      <w:pPr>
        <w:spacing w:after="0" w:line="1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Although other companies report their net debt, numerous methods exist for calculating a company’s net debt. As a result, the method used by the Company to calculate our Net Debt may differ from the methods used by other companies to calculate their net debt.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Net Debt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July 31,</w:t>
            </w:r>
          </w:p>
        </w:tc>
        <w:tc>
          <w:tcPr>
            <w:tcW w:w="28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Senior secured credit facilities, net, including current portion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1,663,463</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2,381,419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net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leases, including current portion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15,104</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debt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1,678,567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(203,404)</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(168,892)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Debt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1,475,163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547,519</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449,351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Debt / Adjusted EBITDA ratio</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2.7x</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July 31, 2021 was $644.5 million, inclusive of cash and cash equivalents of $203.4 million and $441.1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20" w:firstLine="510"/>
        <w:spacing w:after="0" w:line="296" w:lineRule="auto"/>
        <w:rPr>
          <w:sz w:val="20"/>
          <w:szCs w:val="20"/>
          <w:color w:val="auto"/>
        </w:rPr>
      </w:pPr>
      <w:r>
        <w:rPr>
          <w:rFonts w:ascii="Arial" w:cs="Arial" w:eastAsia="Arial" w:hAnsi="Arial"/>
          <w:sz w:val="16"/>
          <w:szCs w:val="16"/>
          <w:color w:val="auto"/>
        </w:rPr>
        <w:t>We are a party to contractual obligations involving commitments to make payments to third parties. These obligations impact our short-term and long-term liquidity and capital resource needs. There have been no material changes to our contractual obligations as compared to those described in the 2020 Form 10-K, except for the debt refinancing transaction that occurred on March 4, 2021. For more information regarding our primary obligations, refer to Note 3, “</w:t>
      </w:r>
      <w:r>
        <w:rPr>
          <w:rFonts w:ascii="Arial" w:cs="Arial" w:eastAsia="Arial" w:hAnsi="Arial"/>
          <w:sz w:val="16"/>
          <w:szCs w:val="16"/>
          <w:i w:val="1"/>
          <w:iCs w:val="1"/>
          <w:color w:val="auto"/>
        </w:rPr>
        <w:t>Senior Secured Credit Facilities</w:t>
      </w:r>
      <w:r>
        <w:rPr>
          <w:rFonts w:ascii="Arial" w:cs="Arial" w:eastAsia="Arial" w:hAnsi="Arial"/>
          <w:sz w:val="16"/>
          <w:szCs w:val="16"/>
          <w:color w:val="auto"/>
        </w:rPr>
        <w:t>,” to the Notes to Consolidated Financial Statements included in Part I, Item 1 of this Form 10-Q for amounts outstanding as of July 31, 2021 related to our debt. Also refer to further discussion on our debt refinancing transaction in “Sources of Liquidity”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3"/>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820"/>
              <w:spacing w:after="0" w:line="133" w:lineRule="exact"/>
              <w:rPr>
                <w:sz w:val="20"/>
                <w:szCs w:val="20"/>
                <w:color w:val="auto"/>
              </w:rPr>
            </w:pPr>
            <w:r>
              <w:rPr>
                <w:rFonts w:ascii="Arial" w:cs="Arial" w:eastAsia="Arial" w:hAnsi="Arial"/>
                <w:sz w:val="14"/>
                <w:szCs w:val="14"/>
                <w:b w:val="1"/>
                <w:bCs w:val="1"/>
                <w:color w:val="auto"/>
              </w:rPr>
              <w:t>July 31,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416"/>
              <w:spacing w:after="0" w:line="133" w:lineRule="exact"/>
              <w:rPr>
                <w:sz w:val="20"/>
                <w:szCs w:val="20"/>
                <w:color w:val="auto"/>
              </w:rPr>
            </w:pPr>
            <w:r>
              <w:rPr>
                <w:rFonts w:ascii="Arial" w:cs="Arial" w:eastAsia="Arial" w:hAnsi="Arial"/>
                <w:sz w:val="14"/>
                <w:szCs w:val="14"/>
                <w:b w:val="1"/>
                <w:bCs w:val="1"/>
                <w:color w:val="auto"/>
              </w:rPr>
              <w:t>August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cash provided by (used in):</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(102,585)</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(48,674)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(11,193)</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Net increase in cash, cash equivalents</w:t>
            </w: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Arial" w:cs="Arial" w:eastAsia="Arial" w:hAnsi="Arial"/>
                <w:sz w:val="18"/>
                <w:szCs w:val="18"/>
                <w:color w:val="auto"/>
              </w:rPr>
              <w:t>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88,626</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95"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Net cash provided by operating activities was $202.4 million in the twenty-six weeks ended July 31, 2021 compared with net cash provided by operating activities of $92.4 million in the twenty-six weeks ended August 1, 2020. The increase in operating cash flow was due to strong operating performance and working capital benefit generated by higher sales as well as lower interest payments due to the reduction of debt balances in connection with the initial public offering and related recapitalization, and the refinancing transaction that occurred on March 4, 2021 discussed under “Sources of Liquidity” below. The increase in operating cash flows between the periods was partially offset by an increase in cash paid for inventory driven by higher inventory turns, higher payroll, bonus and fringe benefits driven by operating performance and pet care center appreciation bonuses, an increase in advertising spend, and an increase in cash paid on operating leases due to the timing of rent payments.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right="40" w:firstLine="468"/>
        <w:spacing w:after="0" w:line="279" w:lineRule="auto"/>
        <w:rPr>
          <w:sz w:val="20"/>
          <w:szCs w:val="20"/>
          <w:color w:val="auto"/>
        </w:rPr>
      </w:pPr>
      <w:r>
        <w:rPr>
          <w:rFonts w:ascii="Arial" w:cs="Arial" w:eastAsia="Arial" w:hAnsi="Arial"/>
          <w:sz w:val="17"/>
          <w:szCs w:val="17"/>
          <w:color w:val="auto"/>
        </w:rPr>
        <w:t>Cash used in investing activities consists of capital expenditures, which in the twenty-six weeks ended July 31, 2021 and the twenty-six weeks ended August 1, 2020 primarily supported our transformation initiatives. Net cash used in investing activities was $102.6 million and $48.7 million for the twenty-six weeks ended July 31, 2021 and August 1, 2020, respectively. The increase in capital expenditures between the periods is partially due to a reduction in capital expenditures put in place for the twenty-six weeks ended August 1, 2020 throughout the early stages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COVID-19 pandemic. The majority of our capital expenditures are discretionary in nature and made to expand our business.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Net cash used in financing activities was $11.2 million for the twenty-six weeks ended July 31, 2021, compared with $19.1 million used in financing activities in the twenty-six weeks ended August 1, 2020.</w:t>
      </w:r>
    </w:p>
    <w:p>
      <w:pPr>
        <w:spacing w:after="0" w:line="170"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Financing cash flows in the twenty-six weeks ended July 31, 2021 primarily consisted of borrowings and repayments of debt in connection with the March 4, 2021 debt refinancing transaction. For more information regarding these activities,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184"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Financing cash flows in the twenty-six weeks ended August 1, 2020 included a precautionary draw on the Amended Revolving Credit Facility of $250.0 million in March 2020 at the start of the COVID-19 pandemic. As operations stabilized and financial results improved, the balance was repaid in full in the second quarter of fiscal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As of January 30, 2021, the Company had $1,678.1 million outstanding on the Amended Term Loan Facility and no balance on the Amended Revolving Credit Facility, providing for senior secured financing of up to $500.0 million, subject to a borrowing base.</w:t>
      </w:r>
    </w:p>
    <w:p>
      <w:pPr>
        <w:spacing w:after="0" w:line="170"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On March 4, 2021, the Company completed a refinancing transaction by entering into the $1,700 million secured term loan facility maturing on March 4, 2028 (the “First Lien Term Loan”) and the ABL Revolving Credit Facility, which matures on March 4, 2026 and has availability of up to $500.0 million, subject to a borrowing base. The refinancing transaction, in combination with the application of the proceeds from the Company’s initial public offering and other recapitalization transactions in connection therewith, reduced the Company’s total debt by 48.6% as compared with August 1, 2020. Net Debt as a result of these transactions decreased $1,619.5 million or 52.3% to $1,475.2 million at July 31, 2021. Our Net Debt to Adjusted EBITDA ratio as a result of these transactions improved from 6.9x at August 1, 2020 to 2.7x at July 31, 2021. Interest under the First Lien Term Loan is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 on June 30, 2021. The terms under the ABL Revolving Credit Facility are substantially similar to those of the Amended Revolving Credit Facility.</w:t>
      </w:r>
    </w:p>
    <w:p>
      <w:pPr>
        <w:spacing w:after="0" w:line="168"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For more information regarding this indebtedness,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5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the 2020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included in Part I, Item 1 of this Form 10-Q for information regarding recently issued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subject to interest rate risk in connection with the First Lien Term Loan and the ABL Revolving Credit Facility. As of July 31, 2021, we had $1,695.8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July 31, 2021 would have increased annual cash interest in the aggregate by approximately $17.2 million. As of July 31, 2021, the underlying interest rates on the First Lien Term Loan and the ABL Revolving Credit Facility were at the floor in the applicable agreements.</w:t>
      </w:r>
    </w:p>
    <w:p>
      <w:pPr>
        <w:spacing w:after="0" w:line="192"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July 31, 2021,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right="240" w:firstLine="468"/>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57" w:lineRule="exact"/>
        <w:rPr>
          <w:sz w:val="20"/>
          <w:szCs w:val="20"/>
          <w:color w:val="auto"/>
        </w:rPr>
      </w:pPr>
    </w:p>
    <w:p>
      <w:pPr>
        <w:jc w:val="both"/>
        <w:ind w:right="60" w:firstLine="468"/>
        <w:spacing w:after="0" w:line="259" w:lineRule="auto"/>
        <w:rPr>
          <w:sz w:val="20"/>
          <w:szCs w:val="20"/>
          <w:color w:val="auto"/>
        </w:rPr>
      </w:pPr>
      <w:r>
        <w:rPr>
          <w:rFonts w:ascii="Arial" w:cs="Arial" w:eastAsia="Arial" w:hAnsi="Arial"/>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July 31, 2021.</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68"/>
        <w:spacing w:after="0" w:line="277" w:lineRule="auto"/>
        <w:rPr>
          <w:sz w:val="20"/>
          <w:szCs w:val="20"/>
          <w:color w:val="auto"/>
        </w:rPr>
      </w:pPr>
      <w:r>
        <w:rPr>
          <w:rFonts w:ascii="Arial" w:cs="Arial" w:eastAsia="Arial" w:hAnsi="Arial"/>
          <w:sz w:val="18"/>
          <w:szCs w:val="18"/>
          <w:color w:val="auto"/>
        </w:rPr>
        <w:t>This Form 10-Q does not include disclosure of changes in internal control over financial reporting due to a transition period established by rules of the SEC for newly public companies.</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65" w:right="5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40" w:firstLine="562"/>
        <w:spacing w:after="0" w:line="277" w:lineRule="auto"/>
        <w:rPr>
          <w:sz w:val="20"/>
          <w:szCs w:val="20"/>
          <w:color w:val="auto"/>
        </w:rPr>
      </w:pPr>
      <w:r>
        <w:rPr>
          <w:rFonts w:ascii="Arial" w:cs="Arial" w:eastAsia="Arial" w:hAnsi="Arial"/>
          <w:sz w:val="18"/>
          <w:szCs w:val="18"/>
          <w:color w:val="auto"/>
        </w:rPr>
        <w:t>See Note 8, “</w:t>
      </w:r>
      <w:r>
        <w:rPr>
          <w:rFonts w:ascii="Arial" w:cs="Arial" w:eastAsia="Arial" w:hAnsi="Arial"/>
          <w:sz w:val="18"/>
          <w:szCs w:val="18"/>
          <w:i w:val="1"/>
          <w:iCs w:val="1"/>
          <w:color w:val="auto"/>
        </w:rPr>
        <w:t>Commitments and Contingencies—Litigation</w:t>
      </w:r>
      <w:r>
        <w:rPr>
          <w:rFonts w:ascii="Arial" w:cs="Arial" w:eastAsia="Arial" w:hAnsi="Arial"/>
          <w:sz w:val="18"/>
          <w:szCs w:val="18"/>
          <w:color w:val="auto"/>
        </w:rPr>
        <w:t>,” to the Notes to Consolidated Financial Statements included in Part I, Item 1 of this Form 10-Q for a description of legal proceedings,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Reference is made to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the 2020 Form 10-K and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our Q1 Form 10-Q for information concerning risk factors. Except as set forth in the Q1 Form 10-Q, there have been no material changes with respect to the risk factors disclosed in our 2020 Form 10-K. You should carefully consider such factors, which could materially affect our business, financial condition or future results. The risks described in the Q1 Form 10-Q and in the 2020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300" w:type="dxa"/>
            <w:vAlign w:val="bottom"/>
            <w:gridSpan w:val="6"/>
            <w:vMerge w:val="restart"/>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93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4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adopted pursuant to Section 302 of the Sarbanes-Oxley Act of 2002</w:t>
              </w:r>
            </w:hyperlink>
          </w:p>
        </w:tc>
        <w:tc>
          <w:tcPr>
            <w:tcW w:w="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99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1016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101.SCH</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101.CAL</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101.DEF</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101.LAB</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101.PRE</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80" w:hanging="98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3" w:lineRule="exact"/>
        <w:rPr>
          <w:rFonts w:ascii="Arial" w:cs="Arial" w:eastAsia="Arial" w:hAnsi="Arial"/>
          <w:sz w:val="18"/>
          <w:szCs w:val="18"/>
          <w:color w:val="auto"/>
        </w:rPr>
      </w:pPr>
    </w:p>
    <w:p>
      <w:pPr>
        <w:ind w:left="500" w:right="240" w:hanging="499"/>
        <w:spacing w:after="0" w:line="263" w:lineRule="auto"/>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1903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40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27, 2021</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Brian LaRose</w:t>
            </w:r>
          </w:p>
        </w:tc>
      </w:tr>
      <w:tr>
        <w:trPr>
          <w:trHeight w:val="222"/>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LaRose</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69"/>
        </w:trPr>
        <w:tc>
          <w:tcPr>
            <w:tcW w:w="3580" w:type="dxa"/>
            <w:vAlign w:val="bottom"/>
          </w:tcPr>
          <w:p>
            <w:pPr>
              <w:spacing w:after="0"/>
              <w:rPr>
                <w:sz w:val="24"/>
                <w:szCs w:val="24"/>
                <w:color w:val="auto"/>
              </w:rPr>
            </w:pPr>
          </w:p>
        </w:tc>
        <w:tc>
          <w:tcPr>
            <w:tcW w:w="2500" w:type="dxa"/>
            <w:vAlign w:val="bottom"/>
          </w:tcPr>
          <w:p>
            <w:pPr>
              <w:jc w:val="right"/>
              <w:ind w:right="270"/>
              <w:spacing w:after="0"/>
              <w:rPr>
                <w:sz w:val="20"/>
                <w:szCs w:val="20"/>
                <w:color w:val="auto"/>
              </w:rPr>
            </w:pPr>
            <w:r>
              <w:rPr>
                <w:rFonts w:ascii="Arial" w:cs="Arial" w:eastAsia="Arial" w:hAnsi="Arial"/>
                <w:sz w:val="18"/>
                <w:szCs w:val="18"/>
                <w:color w:val="auto"/>
              </w:rPr>
              <w:t>29</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8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LaRose, certify that:</w:t>
      </w:r>
    </w:p>
    <w:p>
      <w:pPr>
        <w:spacing w:after="0" w:line="22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80" w:hanging="572"/>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Brian LaRose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July 31, 2021,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July 31, 2021,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Brian LaRose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2021-08-27T07:33:14Z</dcterms:created>
  <dcterms:modified xsi:type="dcterms:W3CDTF">2021-08-27T07:33:14Z</dcterms:modified>
</cp:coreProperties>
</file>