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Venezia Patrick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14,948</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357,764</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reflects the withholding of restricted stock units ("RSUs") in satisfaction of the Reporting Person's tax liability. The RSUs were granted to the Reporting Person on March 4, 2025 pursuant to the Petco Health and Wellness Company, Inc. 2021 Equity Incentive Plan (as amended, the "2021 Plan"), and a portion vested on September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299,125 outstanding RSUs granted under the 2021 Plan. Each RSU represents the right to receive one share of Class A common stock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9039"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3572</Characters>
  <CharactersWithSpaces>4164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