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40" w:right="1620" w:hanging="3932"/>
        <w:spacing w:after="0" w:line="305" w:lineRule="auto"/>
        <w:tabs>
          <w:tab w:leader="none" w:pos="46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May 1, 2021</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p>
      <w:pPr>
        <w:spacing w:after="0" w:line="19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73" w:lineRule="exact"/>
        <w:rPr>
          <w:sz w:val="24"/>
          <w:szCs w:val="24"/>
          <w:color w:val="auto"/>
        </w:rPr>
      </w:pPr>
    </w:p>
    <w:p>
      <w:pPr>
        <w:sectPr>
          <w:pgSz w:w="11900" w:h="16838" w:orient="portrait"/>
          <w:cols w:equalWidth="0" w:num="2">
            <w:col w:w="7220" w:space="720"/>
            <w:col w:w="3300"/>
          </w:cols>
          <w:pgMar w:left="320" w:top="422"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1980"/>
        <w:spacing w:after="0"/>
        <w:tabs>
          <w:tab w:leader="none" w:pos="818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6"/>
          <w:szCs w:val="16"/>
          <w:b w:val="1"/>
          <w:bCs w:val="1"/>
          <w:color w:val="auto"/>
        </w:rPr>
        <w:t>92127</w:t>
      </w:r>
    </w:p>
    <w:p>
      <w:pPr>
        <w:spacing w:after="0" w:line="5"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Class A Common Stock, par value $0.001 per share</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WOOF</w:t>
            </w:r>
          </w:p>
        </w:tc>
        <w:tc>
          <w:tcPr>
            <w:tcW w:w="100" w:type="dxa"/>
            <w:vAlign w:val="bottom"/>
          </w:tcPr>
          <w:p>
            <w:pPr>
              <w:spacing w:after="0"/>
              <w:rPr>
                <w:sz w:val="16"/>
                <w:szCs w:val="16"/>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300"/>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Class A Common Stock outstanding as of June 8, 2021 was 226,479,442.</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Class B-1 Common Stock outstanding as of June 8, 2021 was 37,790,781.</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Class B-2 Common Stock outstanding as of June 8, 2021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gridSpan w:val="7"/>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88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(Loss)</w:t>
              </w:r>
            </w:hyperlink>
          </w:p>
        </w:tc>
        <w:tc>
          <w:tcPr>
            <w:tcW w:w="50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 Members' Equity</w:t>
              </w:r>
            </w:hyperlink>
          </w:p>
        </w:tc>
        <w:tc>
          <w:tcPr>
            <w:tcW w:w="4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53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OTHER INFORMATION</w:t>
              </w:r>
            </w:hyperlink>
          </w:p>
        </w:tc>
        <w:tc>
          <w:tcPr>
            <w:tcW w:w="742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8"/>
                <w:szCs w:val="18"/>
                <w:color w:val="auto"/>
              </w:rPr>
            </w:pP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750"/>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18"/>
          </w:tcPr>
          <w:p>
            <w:pPr>
              <w:ind w:left="4420"/>
              <w:spacing w:after="0"/>
              <w:rPr>
                <w:sz w:val="20"/>
                <w:szCs w:val="20"/>
                <w:color w:val="auto"/>
              </w:rPr>
            </w:pPr>
            <w:r>
              <w:rPr>
                <w:rFonts w:ascii="Arial" w:cs="Arial" w:eastAsia="Arial" w:hAnsi="Arial"/>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May 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January 30,</w:t>
            </w:r>
          </w:p>
        </w:tc>
        <w:tc>
          <w:tcPr>
            <w:tcW w:w="0" w:type="dxa"/>
            <w:vAlign w:val="bottom"/>
          </w:tcPr>
          <w:p>
            <w:pPr>
              <w:spacing w:after="0"/>
              <w:rPr>
                <w:sz w:val="1"/>
                <w:szCs w:val="1"/>
                <w:color w:val="auto"/>
              </w:rPr>
            </w:pPr>
          </w:p>
        </w:tc>
      </w:tr>
      <w:tr>
        <w:trPr>
          <w:trHeight w:val="153"/>
        </w:trPr>
        <w:tc>
          <w:tcPr>
            <w:tcW w:w="6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8"/>
              <w:spacing w:after="0" w:line="155" w:lineRule="exact"/>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Current assets: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64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174,034</w:t>
            </w:r>
          </w:p>
        </w:tc>
        <w:tc>
          <w:tcPr>
            <w:tcW w:w="1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Receivables, less allowance for credit losses ($2,217 and $3,267, respectively)</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38,079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Merchandise inventories, net</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574,683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538,675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46,724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40,032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14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42,355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1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875,875</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777,549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Fixed assets</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1,535,617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1,487,987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(896,195)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(860,440)</w:t>
            </w:r>
          </w:p>
        </w:tc>
        <w:tc>
          <w:tcPr>
            <w:tcW w:w="0" w:type="dxa"/>
            <w:vAlign w:val="bottom"/>
          </w:tcPr>
          <w:p>
            <w:pPr>
              <w:spacing w:after="0"/>
              <w:rPr>
                <w:sz w:val="1"/>
                <w:szCs w:val="1"/>
                <w:color w:val="auto"/>
              </w:rPr>
            </w:pPr>
          </w:p>
        </w:tc>
      </w:tr>
      <w:tr>
        <w:trPr>
          <w:trHeight w:val="156"/>
        </w:trPr>
        <w:tc>
          <w:tcPr>
            <w:tcW w:w="63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Fixed assets, net</w:t>
            </w:r>
          </w:p>
        </w:tc>
        <w:tc>
          <w:tcPr>
            <w:tcW w:w="14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639,422</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627,547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1,330,816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1,328,108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Goodwill</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2,179,310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2,179,310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Trade name</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Other intangible assets</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(4,164)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55"/>
        </w:trPr>
        <w:tc>
          <w:tcPr>
            <w:tcW w:w="63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Other intangible assets, net</w:t>
            </w:r>
          </w:p>
        </w:tc>
        <w:tc>
          <w:tcPr>
            <w:tcW w:w="14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629</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long-term assets</w:t>
            </w:r>
          </w:p>
        </w:tc>
        <w:tc>
          <w:tcPr>
            <w:tcW w:w="14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142,347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137,474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assets</w:t>
            </w:r>
          </w:p>
        </w:tc>
        <w:tc>
          <w:tcPr>
            <w:tcW w:w="14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6,193,399</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Accounts payable and book overdrafts</w:t>
            </w:r>
          </w:p>
        </w:tc>
        <w:tc>
          <w:tcPr>
            <w:tcW w:w="16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352,401</w:t>
            </w:r>
          </w:p>
        </w:tc>
        <w:tc>
          <w:tcPr>
            <w:tcW w:w="180" w:type="dxa"/>
            <w:vAlign w:val="bottom"/>
          </w:tcPr>
          <w:p>
            <w:pPr>
              <w:spacing w:after="0"/>
              <w:rPr>
                <w:sz w:val="14"/>
                <w:szCs w:val="14"/>
                <w:color w:val="auto"/>
              </w:rPr>
            </w:pPr>
          </w:p>
        </w:tc>
        <w:tc>
          <w:tcPr>
            <w:tcW w:w="3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339,485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salaries and employee benefits</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127,000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129,484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218,926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145,846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portion of operating lease liabilities</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276,619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258,289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Current portion of long-term debt and other lease liabilities</w:t>
            </w:r>
          </w:p>
        </w:tc>
        <w:tc>
          <w:tcPr>
            <w:tcW w:w="14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20,234</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14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995,180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875,307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tcPr>
          <w:p>
            <w:pPr>
              <w:spacing w:after="0" w:line="155" w:lineRule="exact"/>
              <w:rPr>
                <w:sz w:val="20"/>
                <w:szCs w:val="20"/>
                <w:color w:val="auto"/>
              </w:rPr>
            </w:pPr>
            <w:r>
              <w:rPr>
                <w:rFonts w:ascii="Arial" w:cs="Arial" w:eastAsia="Arial" w:hAnsi="Arial"/>
                <w:sz w:val="14"/>
                <w:szCs w:val="14"/>
                <w:color w:val="auto"/>
              </w:rPr>
              <w:t>Senior secured credit facilities, net, excluding current portion</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1,649,509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1,646,281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liabilities, excluding current portion</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1,056,059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1,083,575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Deferred taxes, net</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282,350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280,920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liabilities</w:t>
            </w:r>
          </w:p>
        </w:tc>
        <w:tc>
          <w:tcPr>
            <w:tcW w:w="14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138,069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134,354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1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4,121,167</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4,020,437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 (Notes 3, 4 and 8)</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Stockholders' equity:</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3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$0.001 par value: Authorized - 1.0 billion shares;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FF0FC"/>
          </w:tcPr>
          <w:p>
            <w:pPr>
              <w:ind w:left="400"/>
              <w:spacing w:after="0" w:line="149" w:lineRule="exact"/>
              <w:rPr>
                <w:sz w:val="20"/>
                <w:szCs w:val="20"/>
                <w:color w:val="auto"/>
              </w:rPr>
            </w:pPr>
            <w:r>
              <w:rPr>
                <w:rFonts w:ascii="Arial" w:cs="Arial" w:eastAsia="Arial" w:hAnsi="Arial"/>
                <w:sz w:val="14"/>
                <w:szCs w:val="14"/>
                <w:color w:val="auto"/>
              </w:rPr>
              <w:t>Issued and outstanding - 226.5 million shares as of May 1, 2021</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and 226.4 million shares as of January 30, 2021</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320" w:type="dxa"/>
            <w:vAlign w:val="bottom"/>
          </w:tcPr>
          <w:p>
            <w:pPr>
              <w:ind w:left="260"/>
              <w:spacing w:after="0" w:line="143" w:lineRule="exact"/>
              <w:rPr>
                <w:sz w:val="20"/>
                <w:szCs w:val="20"/>
                <w:color w:val="auto"/>
              </w:rPr>
            </w:pPr>
            <w:r>
              <w:rPr>
                <w:rFonts w:ascii="Arial" w:cs="Arial" w:eastAsia="Arial" w:hAnsi="Arial"/>
                <w:sz w:val="14"/>
                <w:szCs w:val="14"/>
                <w:color w:val="auto"/>
              </w:rPr>
              <w:t>Class B-1 common stock, $0.001 par value: Authorized - 75.0 million shares;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3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B-2 common stock, $0.000001 par value: Authorized - 75.0 million shares;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320" w:type="dxa"/>
            <w:vAlign w:val="bottom"/>
          </w:tcPr>
          <w:p>
            <w:pPr>
              <w:ind w:left="260"/>
              <w:spacing w:after="0" w:line="143" w:lineRule="exact"/>
              <w:rPr>
                <w:sz w:val="20"/>
                <w:szCs w:val="20"/>
                <w:color w:val="auto"/>
              </w:rPr>
            </w:pPr>
            <w:r>
              <w:rPr>
                <w:rFonts w:ascii="Arial" w:cs="Arial" w:eastAsia="Arial" w:hAnsi="Arial"/>
                <w:sz w:val="14"/>
                <w:szCs w:val="14"/>
                <w:color w:val="auto"/>
              </w:rPr>
              <w:t>Preferred stock, $0.001 par value: Authorized - 25.0 million shares;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tcPr>
          <w:p>
            <w:pPr>
              <w:ind w:left="400"/>
              <w:spacing w:after="0"/>
              <w:rPr>
                <w:sz w:val="20"/>
                <w:szCs w:val="20"/>
                <w:color w:val="auto"/>
              </w:rPr>
            </w:pPr>
            <w:r>
              <w:rPr>
                <w:rFonts w:ascii="Arial" w:cs="Arial" w:eastAsia="Arial" w:hAnsi="Arial"/>
                <w:sz w:val="14"/>
                <w:szCs w:val="14"/>
                <w:color w:val="auto"/>
              </w:rPr>
              <w:t>Issued and outstanding - none</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paid-in-capital</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2,103,714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2,092,110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(14,691)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(22,251)</w:t>
            </w:r>
          </w:p>
        </w:tc>
        <w:tc>
          <w:tcPr>
            <w:tcW w:w="0" w:type="dxa"/>
            <w:vAlign w:val="bottom"/>
          </w:tcPr>
          <w:p>
            <w:pPr>
              <w:spacing w:after="0"/>
              <w:rPr>
                <w:sz w:val="1"/>
                <w:szCs w:val="1"/>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(2,061)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55"/>
        </w:trPr>
        <w:tc>
          <w:tcPr>
            <w:tcW w:w="6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stockholders’ equity</w:t>
            </w:r>
          </w:p>
        </w:tc>
        <w:tc>
          <w:tcPr>
            <w:tcW w:w="14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2,087,226</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2,068,848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Noncontrolling interest</w:t>
            </w:r>
          </w:p>
        </w:tc>
        <w:tc>
          <w:tcPr>
            <w:tcW w:w="14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(14,994)</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(13,583)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equity</w:t>
            </w:r>
          </w:p>
        </w:tc>
        <w:tc>
          <w:tcPr>
            <w:tcW w:w="1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2,072,232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2,055,265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 and equity</w:t>
            </w:r>
          </w:p>
        </w:tc>
        <w:tc>
          <w:tcPr>
            <w:tcW w:w="14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6,193,399</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7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May 1,</w:t>
            </w:r>
          </w:p>
        </w:tc>
        <w:tc>
          <w:tcPr>
            <w:tcW w:w="540" w:type="dxa"/>
            <w:vAlign w:val="bottom"/>
          </w:tcPr>
          <w:p>
            <w:pPr>
              <w:spacing w:after="0"/>
              <w:rPr>
                <w:sz w:val="11"/>
                <w:szCs w:val="11"/>
                <w:color w:val="auto"/>
              </w:rPr>
            </w:pPr>
          </w:p>
        </w:tc>
        <w:tc>
          <w:tcPr>
            <w:tcW w:w="1020" w:type="dxa"/>
            <w:vAlign w:val="bottom"/>
          </w:tcPr>
          <w:p>
            <w:pPr>
              <w:jc w:val="right"/>
              <w:ind w:right="492"/>
              <w:spacing w:after="0" w:line="133" w:lineRule="exact"/>
              <w:rPr>
                <w:sz w:val="20"/>
                <w:szCs w:val="20"/>
                <w:color w:val="auto"/>
              </w:rPr>
            </w:pPr>
            <w:r>
              <w:rPr>
                <w:rFonts w:ascii="Arial" w:cs="Arial" w:eastAsia="Arial" w:hAnsi="Arial"/>
                <w:sz w:val="14"/>
                <w:szCs w:val="14"/>
                <w:b w:val="1"/>
                <w:bCs w:val="1"/>
                <w:color w:val="auto"/>
                <w:w w:val="98"/>
              </w:rPr>
              <w:t>May 2,</w:t>
            </w:r>
          </w:p>
        </w:tc>
        <w:tc>
          <w:tcPr>
            <w:tcW w:w="120" w:type="dxa"/>
            <w:vAlign w:val="bottom"/>
          </w:tcPr>
          <w:p>
            <w:pPr>
              <w:spacing w:after="0"/>
              <w:rPr>
                <w:sz w:val="11"/>
                <w:szCs w:val="1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1,414,994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1,113,521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818,009</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647,239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596,985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466,282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549,236</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449,917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20,838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 and income from</w:t>
            </w: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equity method investees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(44,259)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(10,555)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from equity method investees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(2,425)</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6,149</w:t>
            </w: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(1,411)</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(2,204)</w:t>
            </w:r>
          </w:p>
        </w:tc>
      </w:tr>
      <w:tr>
        <w:trPr>
          <w:trHeight w:val="209"/>
        </w:trPr>
        <w:tc>
          <w:tcPr>
            <w:tcW w:w="7720" w:type="dxa"/>
            <w:vAlign w:val="bottom"/>
          </w:tcPr>
          <w:p>
            <w:pPr>
              <w:ind w:left="500"/>
              <w:spacing w:after="0"/>
              <w:rPr>
                <w:sz w:val="20"/>
                <w:szCs w:val="20"/>
                <w:color w:val="auto"/>
              </w:rPr>
            </w:pPr>
            <w:r>
              <w:rPr>
                <w:rFonts w:ascii="Arial" w:cs="Arial" w:eastAsia="Arial" w:hAnsi="Arial"/>
                <w:sz w:val="18"/>
                <w:szCs w:val="18"/>
                <w:color w:val="auto"/>
              </w:rPr>
              <w:t>Net income (loss) attributable to Class A and B-1 common</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640"/>
              <w:spacing w:after="0"/>
              <w:rPr>
                <w:sz w:val="20"/>
                <w:szCs w:val="20"/>
                <w:color w:val="auto"/>
              </w:rPr>
            </w:pPr>
            <w:r>
              <w:rPr>
                <w:rFonts w:ascii="Arial" w:cs="Arial" w:eastAsia="Arial" w:hAnsi="Arial"/>
                <w:sz w:val="18"/>
                <w:szCs w:val="18"/>
                <w:color w:val="auto"/>
              </w:rPr>
              <w:t>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7,560</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(31,168)</w:t>
            </w:r>
          </w:p>
        </w:tc>
      </w:tr>
      <w:tr>
        <w:trPr>
          <w:trHeight w:val="229"/>
        </w:trPr>
        <w:tc>
          <w:tcPr>
            <w:tcW w:w="7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income (loss) per Class A and B-1 common share (1):</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(0.15)</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r>
      <w:tr>
        <w:trPr>
          <w:trHeight w:val="230"/>
        </w:trPr>
        <w:tc>
          <w:tcPr>
            <w:tcW w:w="7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Weighted average shares used in computing net income (loss) per Class A</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and B-1 common share (1):</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264,215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209,015</w:t>
            </w:r>
          </w:p>
        </w:tc>
        <w:tc>
          <w:tcPr>
            <w:tcW w:w="120" w:type="dxa"/>
            <w:vAlign w:val="bottom"/>
            <w:shd w:val="clear" w:color="auto" w:fill="CFF0FC"/>
          </w:tcPr>
          <w:p>
            <w:pPr>
              <w:spacing w:after="0"/>
              <w:rPr>
                <w:sz w:val="19"/>
                <w:szCs w:val="19"/>
                <w:color w:val="auto"/>
              </w:rPr>
            </w:pPr>
          </w:p>
        </w:tc>
      </w:tr>
      <w:tr>
        <w:trPr>
          <w:trHeight w:val="243"/>
        </w:trPr>
        <w:tc>
          <w:tcPr>
            <w:tcW w:w="7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265,028</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209,015</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0" w:lineRule="exact"/>
        <w:rPr>
          <w:sz w:val="20"/>
          <w:szCs w:val="20"/>
          <w:color w:val="auto"/>
        </w:rPr>
      </w:pPr>
    </w:p>
    <w:p>
      <w:pPr>
        <w:ind w:left="500" w:right="20" w:hanging="492"/>
        <w:spacing w:after="0" w:line="25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for periods prior to the Company’s conversion to a Delaware corporation have been retrospectively adjusted to give effect to the organizational transactions described in Note 1. See Note 7 for further discussion.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772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May 1,</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ind w:right="493"/>
              <w:spacing w:after="0" w:line="133" w:lineRule="exact"/>
              <w:rPr>
                <w:sz w:val="20"/>
                <w:szCs w:val="20"/>
                <w:color w:val="auto"/>
              </w:rPr>
            </w:pPr>
            <w:r>
              <w:rPr>
                <w:rFonts w:ascii="Arial" w:cs="Arial" w:eastAsia="Arial" w:hAnsi="Arial"/>
                <w:sz w:val="14"/>
                <w:szCs w:val="14"/>
                <w:b w:val="1"/>
                <w:bCs w:val="1"/>
                <w:color w:val="auto"/>
                <w:w w:val="98"/>
              </w:rPr>
              <w:t>May 2,</w:t>
            </w:r>
          </w:p>
        </w:tc>
        <w:tc>
          <w:tcPr>
            <w:tcW w:w="120" w:type="dxa"/>
            <w:vAlign w:val="bottom"/>
          </w:tcPr>
          <w:p>
            <w:pPr>
              <w:spacing w:after="0"/>
              <w:rPr>
                <w:sz w:val="11"/>
                <w:szCs w:val="1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(2,204)</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Class A and B-1 common</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7,560</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(31,168)</w:t>
            </w:r>
          </w:p>
        </w:tc>
      </w:tr>
      <w:tr>
        <w:trPr>
          <w:trHeight w:val="229"/>
        </w:trPr>
        <w:tc>
          <w:tcPr>
            <w:tcW w:w="7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(4,970)</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Losses on derivatives reclassified to income</w:t>
            </w:r>
          </w:p>
        </w:tc>
        <w:tc>
          <w:tcPr>
            <w:tcW w:w="10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net of tax</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(36,666)</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Comprehensive loss attributable to noncontrolling</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0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5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(2,204)</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 Class A and B-1</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6,774</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(34,462)</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STOCKHOLDERS’ /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6"/>
          </w:tcPr>
          <w:p>
            <w:pPr>
              <w:ind w:left="240"/>
              <w:spacing w:after="0"/>
              <w:rPr>
                <w:sz w:val="20"/>
                <w:szCs w:val="20"/>
                <w:color w:val="auto"/>
              </w:rPr>
            </w:pPr>
            <w:r>
              <w:rPr>
                <w:rFonts w:ascii="Arial" w:cs="Arial" w:eastAsia="Arial" w:hAnsi="Arial"/>
                <w:sz w:val="11"/>
                <w:szCs w:val="11"/>
                <w:b w:val="1"/>
                <w:bCs w:val="1"/>
                <w:color w:val="auto"/>
                <w:w w:val="98"/>
              </w:rPr>
              <w:t>Common stock</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6"/>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1"/>
              </w:rPr>
              <w:t>Class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1"/>
              </w:rPr>
              <w:t>Class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1"/>
              </w:rPr>
              <w:t>Class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360"/>
              <w:spacing w:after="0" w:line="122" w:lineRule="exact"/>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auto"/>
              </w:rPr>
              <w:t>Members’</w:t>
            </w:r>
          </w:p>
        </w:tc>
        <w:tc>
          <w:tcPr>
            <w:tcW w:w="4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B-1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B-2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780" w:type="dxa"/>
            <w:vAlign w:val="bottom"/>
            <w:gridSpan w:val="4"/>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comprehensive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stockholders’</w:t>
            </w:r>
          </w:p>
        </w:tc>
        <w:tc>
          <w:tcPr>
            <w:tcW w:w="60" w:type="dxa"/>
            <w:vAlign w:val="bottom"/>
          </w:tcPr>
          <w:p>
            <w:pPr>
              <w:spacing w:after="0"/>
              <w:rPr>
                <w:sz w:val="10"/>
                <w:szCs w:val="10"/>
                <w:color w:val="auto"/>
              </w:rPr>
            </w:pPr>
          </w:p>
        </w:tc>
        <w:tc>
          <w:tcPr>
            <w:tcW w:w="8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60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w w:val="88"/>
              </w:rPr>
              <w:t>interest (1)</w:t>
            </w:r>
          </w:p>
        </w:tc>
        <w:tc>
          <w:tcPr>
            <w:tcW w:w="20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84"/>
              </w:rPr>
              <w:t>(shares)</w:t>
            </w:r>
          </w:p>
        </w:tc>
        <w:tc>
          <w:tcPr>
            <w:tcW w:w="1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w w:val="89"/>
              </w:rPr>
              <w:t>deficit (1)</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72"/>
              </w:rPr>
              <w:t>loss</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equity</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interest</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January 30, 2021</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spacing w:after="0"/>
              <w:rPr>
                <w:sz w:val="11"/>
                <w:szCs w:val="11"/>
                <w:color w:val="auto"/>
              </w:rPr>
            </w:pPr>
          </w:p>
        </w:tc>
        <w:tc>
          <w:tcPr>
            <w:tcW w:w="44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226,424</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620" w:type="dxa"/>
            <w:vAlign w:val="bottom"/>
            <w:gridSpan w:val="4"/>
            <w:shd w:val="clear" w:color="auto" w:fill="CFF0FC"/>
          </w:tcPr>
          <w:p>
            <w:pPr>
              <w:jc w:val="center"/>
              <w:ind w:left="226"/>
              <w:spacing w:after="0"/>
              <w:rPr>
                <w:sz w:val="20"/>
                <w:szCs w:val="20"/>
                <w:color w:val="auto"/>
              </w:rPr>
            </w:pPr>
            <w:r>
              <w:rPr>
                <w:rFonts w:ascii="Arial" w:cs="Arial" w:eastAsia="Arial" w:hAnsi="Arial"/>
                <w:sz w:val="11"/>
                <w:szCs w:val="11"/>
                <w:color w:val="auto"/>
                <w:w w:val="89"/>
              </w:rPr>
              <w:t>37,791</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2,092,110</w:t>
            </w:r>
          </w:p>
        </w:tc>
        <w:tc>
          <w:tcPr>
            <w:tcW w:w="280" w:type="dxa"/>
            <w:vAlign w:val="bottom"/>
            <w:gridSpan w:val="3"/>
            <w:shd w:val="clear" w:color="auto" w:fill="CFF0FC"/>
          </w:tcPr>
          <w:p>
            <w:pPr>
              <w:ind w:left="200"/>
              <w:spacing w:after="0"/>
              <w:rPr>
                <w:sz w:val="20"/>
                <w:szCs w:val="20"/>
                <w:color w:val="auto"/>
              </w:rPr>
            </w:pPr>
            <w:r>
              <w:rPr>
                <w:rFonts w:ascii="Arial" w:cs="Arial" w:eastAsia="Arial" w:hAnsi="Arial"/>
                <w:sz w:val="11"/>
                <w:szCs w:val="11"/>
                <w:color w:val="auto"/>
                <w:w w:val="97"/>
              </w:rPr>
              <w:t>$</w:t>
            </w:r>
          </w:p>
        </w:tc>
        <w:tc>
          <w:tcPr>
            <w:tcW w:w="68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(22,251)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(1,275)</w:t>
            </w:r>
          </w:p>
        </w:tc>
        <w:tc>
          <w:tcPr>
            <w:tcW w:w="2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2,068,848</w:t>
            </w:r>
          </w:p>
        </w:tc>
        <w:tc>
          <w:tcPr>
            <w:tcW w:w="140" w:type="dxa"/>
            <w:vAlign w:val="bottom"/>
            <w:shd w:val="clear" w:color="auto" w:fill="CFF0FC"/>
          </w:tcPr>
          <w:p>
            <w:pPr>
              <w:spacing w:after="0"/>
              <w:rPr>
                <w:sz w:val="11"/>
                <w:szCs w:val="11"/>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w w:val="97"/>
              </w:rPr>
              <w:t>$</w:t>
            </w: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(13,583)</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2,055,265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Equity-based compensation expense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(Note 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ind w:left="30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center"/>
              <w:ind w:left="226"/>
              <w:spacing w:after="0"/>
              <w:rPr>
                <w:sz w:val="20"/>
                <w:szCs w:val="20"/>
                <w:color w:val="auto"/>
              </w:rPr>
            </w:pPr>
            <w:r>
              <w:rPr>
                <w:rFonts w:ascii="Arial" w:cs="Arial" w:eastAsia="Arial" w:hAnsi="Arial"/>
                <w:sz w:val="11"/>
                <w:szCs w:val="11"/>
                <w:color w:val="auto"/>
                <w:w w:val="89"/>
              </w:rPr>
              <w:t>11,604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11,604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Net income</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4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7,560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7,560</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(1,411)</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ind w:left="30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1"/>
                <w:szCs w:val="11"/>
                <w:color w:val="auto"/>
              </w:rPr>
              <w:t>(786)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(786)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Issuance of restricted stock awards</w:t>
            </w:r>
          </w:p>
        </w:tc>
        <w:tc>
          <w:tcPr>
            <w:tcW w:w="4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w w:val="90"/>
              </w:rPr>
              <w:t>—</w:t>
            </w:r>
          </w:p>
        </w:tc>
        <w:tc>
          <w:tcPr>
            <w:tcW w:w="200" w:type="dxa"/>
            <w:vAlign w:val="bottom"/>
            <w:gridSpan w:val="2"/>
            <w:shd w:val="clear" w:color="auto" w:fill="CFF0FC"/>
          </w:tcPr>
          <w:p>
            <w:pPr>
              <w:spacing w:after="0"/>
              <w:rPr>
                <w:sz w:val="11"/>
                <w:szCs w:val="11"/>
                <w:color w:val="auto"/>
              </w:rPr>
            </w:pPr>
          </w:p>
        </w:tc>
        <w:tc>
          <w:tcPr>
            <w:tcW w:w="4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55</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tcBorders>
              <w:bottom w:val="single" w:sz="8" w:color="auto"/>
            </w:tcBorders>
            <w:gridSpan w:val="2"/>
            <w:shd w:val="clear" w:color="auto" w:fill="CFF0FC"/>
          </w:tcPr>
          <w:p>
            <w:pPr>
              <w:ind w:left="30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May 1, 2021</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Arial" w:cs="Arial" w:eastAsia="Arial" w:hAnsi="Arial"/>
                <w:sz w:val="11"/>
                <w:szCs w:val="11"/>
                <w:color w:val="auto"/>
                <w:w w:val="90"/>
              </w:rPr>
              <w:t>—</w:t>
            </w:r>
          </w:p>
        </w:tc>
        <w:tc>
          <w:tcPr>
            <w:tcW w:w="200" w:type="dxa"/>
            <w:vAlign w:val="bottom"/>
            <w:gridSpan w:val="2"/>
          </w:tcPr>
          <w:p>
            <w:pPr>
              <w:spacing w:after="0"/>
              <w:rPr>
                <w:sz w:val="11"/>
                <w:szCs w:val="11"/>
                <w:color w:val="auto"/>
              </w:rPr>
            </w:pPr>
          </w:p>
        </w:tc>
        <w:tc>
          <w:tcPr>
            <w:tcW w:w="460" w:type="dxa"/>
            <w:vAlign w:val="bottom"/>
            <w:gridSpan w:val="3"/>
          </w:tcPr>
          <w:p>
            <w:pPr>
              <w:jc w:val="right"/>
              <w:spacing w:after="0"/>
              <w:rPr>
                <w:sz w:val="20"/>
                <w:szCs w:val="20"/>
                <w:color w:val="auto"/>
              </w:rPr>
            </w:pPr>
            <w:r>
              <w:rPr>
                <w:rFonts w:ascii="Arial" w:cs="Arial" w:eastAsia="Arial" w:hAnsi="Arial"/>
                <w:sz w:val="11"/>
                <w:szCs w:val="11"/>
                <w:color w:val="auto"/>
              </w:rPr>
              <w:t>226,479</w:t>
            </w:r>
          </w:p>
        </w:tc>
        <w:tc>
          <w:tcPr>
            <w:tcW w:w="220" w:type="dxa"/>
            <w:vAlign w:val="bottom"/>
            <w:gridSpan w:val="2"/>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37,791</w:t>
            </w:r>
          </w:p>
        </w:tc>
        <w:tc>
          <w:tcPr>
            <w:tcW w:w="200" w:type="dxa"/>
            <w:vAlign w:val="bottom"/>
            <w:gridSpan w:val="2"/>
          </w:tcPr>
          <w:p>
            <w:pPr>
              <w:spacing w:after="0"/>
              <w:rPr>
                <w:sz w:val="11"/>
                <w:szCs w:val="11"/>
                <w:color w:val="auto"/>
              </w:rPr>
            </w:pPr>
          </w:p>
        </w:tc>
        <w:tc>
          <w:tcPr>
            <w:tcW w:w="42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37,791</w:t>
            </w:r>
          </w:p>
        </w:tc>
        <w:tc>
          <w:tcPr>
            <w:tcW w:w="2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264</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2,103,714</w:t>
            </w:r>
          </w:p>
        </w:tc>
        <w:tc>
          <w:tcPr>
            <w:tcW w:w="280" w:type="dxa"/>
            <w:vAlign w:val="bottom"/>
            <w:gridSpan w:val="3"/>
          </w:tcPr>
          <w:p>
            <w:pPr>
              <w:ind w:left="200"/>
              <w:spacing w:after="0"/>
              <w:rPr>
                <w:sz w:val="20"/>
                <w:szCs w:val="20"/>
                <w:color w:val="auto"/>
              </w:rPr>
            </w:pPr>
            <w:r>
              <w:rPr>
                <w:rFonts w:ascii="Arial" w:cs="Arial" w:eastAsia="Arial" w:hAnsi="Arial"/>
                <w:sz w:val="11"/>
                <w:szCs w:val="11"/>
                <w:color w:val="auto"/>
                <w:w w:val="97"/>
              </w:rPr>
              <w:t>$</w:t>
            </w:r>
          </w:p>
        </w:tc>
        <w:tc>
          <w:tcPr>
            <w:tcW w:w="680" w:type="dxa"/>
            <w:vAlign w:val="bottom"/>
            <w:gridSpan w:val="3"/>
          </w:tcPr>
          <w:p>
            <w:pPr>
              <w:jc w:val="right"/>
              <w:ind w:right="80"/>
              <w:spacing w:after="0"/>
              <w:rPr>
                <w:sz w:val="20"/>
                <w:szCs w:val="20"/>
                <w:color w:val="auto"/>
              </w:rPr>
            </w:pPr>
            <w:r>
              <w:rPr>
                <w:rFonts w:ascii="Arial" w:cs="Arial" w:eastAsia="Arial" w:hAnsi="Arial"/>
                <w:sz w:val="11"/>
                <w:szCs w:val="11"/>
                <w:color w:val="auto"/>
              </w:rPr>
              <w:t>(14,691)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1"/>
                <w:szCs w:val="11"/>
                <w:color w:val="auto"/>
              </w:rPr>
              <w:t>(2,061)</w:t>
            </w:r>
          </w:p>
        </w:tc>
        <w:tc>
          <w:tcPr>
            <w:tcW w:w="2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2,087,226</w:t>
            </w:r>
          </w:p>
        </w:tc>
        <w:tc>
          <w:tcPr>
            <w:tcW w:w="140" w:type="dxa"/>
            <w:vAlign w:val="bottom"/>
          </w:tcPr>
          <w:p>
            <w:pPr>
              <w:spacing w:after="0"/>
              <w:rPr>
                <w:sz w:val="11"/>
                <w:szCs w:val="11"/>
                <w:color w:val="auto"/>
              </w:rPr>
            </w:pPr>
          </w:p>
        </w:tc>
        <w:tc>
          <w:tcPr>
            <w:tcW w:w="140" w:type="dxa"/>
            <w:vAlign w:val="bottom"/>
            <w:gridSpan w:val="2"/>
          </w:tcPr>
          <w:p>
            <w:pPr>
              <w:ind w:left="60"/>
              <w:spacing w:after="0"/>
              <w:rPr>
                <w:sz w:val="20"/>
                <w:szCs w:val="20"/>
                <w:color w:val="auto"/>
              </w:rPr>
            </w:pPr>
            <w:r>
              <w:rPr>
                <w:rFonts w:ascii="Arial" w:cs="Arial" w:eastAsia="Arial" w:hAnsi="Arial"/>
                <w:sz w:val="11"/>
                <w:szCs w:val="11"/>
                <w:color w:val="auto"/>
                <w:w w:val="97"/>
              </w:rPr>
              <w:t>$</w:t>
            </w: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(14,994)</w:t>
            </w:r>
          </w:p>
        </w:tc>
        <w:tc>
          <w:tcPr>
            <w:tcW w:w="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2,072,232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6"/>
          </w:tcPr>
          <w:p>
            <w:pPr>
              <w:ind w:left="2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5"/>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1"/>
              </w:rPr>
              <w:t>Class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1"/>
              </w:rPr>
              <w:t>Class</w:t>
            </w:r>
          </w:p>
        </w:tc>
        <w:tc>
          <w:tcPr>
            <w:tcW w:w="120" w:type="dxa"/>
            <w:vAlign w:val="bottom"/>
          </w:tcPr>
          <w:p>
            <w:pPr>
              <w:spacing w:after="0"/>
              <w:rPr>
                <w:sz w:val="10"/>
                <w:szCs w:val="10"/>
                <w:color w:val="auto"/>
              </w:rPr>
            </w:pPr>
          </w:p>
        </w:tc>
        <w:tc>
          <w:tcPr>
            <w:tcW w:w="5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1"/>
              </w:rPr>
              <w:t>Class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right"/>
              <w:ind w:right="16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4"/>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420"/>
              <w:spacing w:after="0" w:line="122" w:lineRule="exact"/>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Members’</w:t>
            </w:r>
          </w:p>
        </w:tc>
        <w:tc>
          <w:tcPr>
            <w:tcW w:w="4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B-1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B-2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84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Accumulated</w:t>
            </w:r>
          </w:p>
        </w:tc>
        <w:tc>
          <w:tcPr>
            <w:tcW w:w="86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comprehensive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members’</w:t>
            </w:r>
          </w:p>
        </w:tc>
        <w:tc>
          <w:tcPr>
            <w:tcW w:w="92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60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85"/>
              </w:rPr>
              <w:t>interest (1)</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4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4"/>
              </w:rPr>
              <w:t>(shares)</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4"/>
              </w:rPr>
              <w:t>(shares)</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deficit (1)</w:t>
            </w:r>
          </w:p>
        </w:tc>
        <w:tc>
          <w:tcPr>
            <w:tcW w:w="200" w:type="dxa"/>
            <w:vAlign w:val="bottom"/>
            <w:tcBorders>
              <w:bottom w:val="single" w:sz="8" w:color="CFF0FC"/>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81"/>
              </w:rPr>
              <w:t>loss</w:t>
            </w:r>
          </w:p>
        </w:tc>
        <w:tc>
          <w:tcPr>
            <w:tcW w:w="16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86"/>
              </w:rPr>
              <w:t>equity</w:t>
            </w:r>
          </w:p>
        </w:tc>
        <w:tc>
          <w:tcPr>
            <w:tcW w:w="200" w:type="dxa"/>
            <w:vAlign w:val="bottom"/>
            <w:tcBorders>
              <w:bottom w:val="single" w:sz="8" w:color="CFF0FC"/>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0"/>
              </w:rPr>
              <w:t>interest</w:t>
            </w:r>
          </w:p>
        </w:tc>
        <w:tc>
          <w:tcPr>
            <w:tcW w:w="20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8"/>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February 1, 2020</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1,358,130</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90"/>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center"/>
              <w:ind w:left="20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(780,466)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(8,273)</w:t>
            </w:r>
          </w:p>
        </w:tc>
        <w:tc>
          <w:tcPr>
            <w:tcW w:w="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569,391</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(8,330)</w:t>
            </w:r>
          </w:p>
        </w:tc>
        <w:tc>
          <w:tcPr>
            <w:tcW w:w="160" w:type="dxa"/>
            <w:vAlign w:val="bottom"/>
            <w:shd w:val="clear" w:color="auto" w:fill="CFF0FC"/>
          </w:tcPr>
          <w:p>
            <w:pPr>
              <w:spacing w:after="0"/>
              <w:rPr>
                <w:sz w:val="11"/>
                <w:szCs w:val="11"/>
                <w:color w:val="auto"/>
              </w:rPr>
            </w:pPr>
          </w:p>
        </w:tc>
        <w:tc>
          <w:tcPr>
            <w:tcW w:w="1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561,061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Equity-based compensation expense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(Note 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2,305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left="2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center"/>
              <w:ind w:left="20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2,305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4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center"/>
              <w:ind w:left="20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(31,168)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(31,168)</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(2,204)</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(33,372)</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left="2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center"/>
              <w:ind w:left="20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(4,970)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(4,970)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(4,970)</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of tax</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4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center"/>
              <w:ind w:left="20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(52)</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(52)</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income, net of tax</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left="2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6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May 2, 2020</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1,360,435</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90"/>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center"/>
              <w:ind w:left="20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(811,634)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(11,567)</w:t>
            </w:r>
          </w:p>
        </w:tc>
        <w:tc>
          <w:tcPr>
            <w:tcW w:w="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537,234</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(10,534)</w:t>
            </w:r>
          </w:p>
        </w:tc>
        <w:tc>
          <w:tcPr>
            <w:tcW w:w="160" w:type="dxa"/>
            <w:vAlign w:val="bottom"/>
            <w:shd w:val="clear" w:color="auto" w:fill="CFF0FC"/>
          </w:tcPr>
          <w:p>
            <w:pPr>
              <w:spacing w:after="0"/>
              <w:rPr>
                <w:sz w:val="11"/>
                <w:szCs w:val="11"/>
                <w:color w:val="auto"/>
              </w:rPr>
            </w:pPr>
          </w:p>
        </w:tc>
        <w:tc>
          <w:tcPr>
            <w:tcW w:w="1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526,700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Balances prior to the Company's conversion to a Delaware corporation were reclassified to additional paid-in capital to give effect to the organizational transactions described in Note 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w w:val="95"/>
              </w:rPr>
              <w:t>Thirteen weeks ended</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720" w:type="dxa"/>
            <w:vAlign w:val="bottom"/>
          </w:tcPr>
          <w:p>
            <w:pPr>
              <w:spacing w:after="0"/>
              <w:rPr>
                <w:sz w:val="10"/>
                <w:szCs w:val="10"/>
                <w:color w:val="auto"/>
              </w:rPr>
            </w:pPr>
          </w:p>
        </w:tc>
        <w:tc>
          <w:tcPr>
            <w:tcW w:w="9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May 1,</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533"/>
              <w:spacing w:after="0" w:line="124" w:lineRule="exact"/>
              <w:rPr>
                <w:sz w:val="20"/>
                <w:szCs w:val="20"/>
                <w:color w:val="auto"/>
              </w:rPr>
            </w:pPr>
            <w:r>
              <w:rPr>
                <w:rFonts w:ascii="Arial" w:cs="Arial" w:eastAsia="Arial" w:hAnsi="Arial"/>
                <w:sz w:val="13"/>
                <w:szCs w:val="13"/>
                <w:b w:val="1"/>
                <w:bCs w:val="1"/>
                <w:color w:val="auto"/>
              </w:rPr>
              <w:t>May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Net income (loss)</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6,149</w:t>
            </w:r>
          </w:p>
        </w:tc>
        <w:tc>
          <w:tcPr>
            <w:tcW w:w="280" w:type="dxa"/>
            <w:vAlign w:val="bottom"/>
          </w:tcPr>
          <w:p>
            <w:pPr>
              <w:spacing w:after="0"/>
              <w:rPr>
                <w:sz w:val="14"/>
                <w:szCs w:val="14"/>
                <w:color w:val="auto"/>
              </w:rPr>
            </w:pPr>
          </w:p>
        </w:tc>
        <w:tc>
          <w:tcPr>
            <w:tcW w:w="520" w:type="dxa"/>
            <w:vAlign w:val="bottom"/>
          </w:tcPr>
          <w:p>
            <w:pPr>
              <w:jc w:val="right"/>
              <w:ind w:right="373"/>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(33,372)</w:t>
            </w:r>
          </w:p>
        </w:tc>
        <w:tc>
          <w:tcPr>
            <w:tcW w:w="0" w:type="dxa"/>
            <w:vAlign w:val="bottom"/>
          </w:tcPr>
          <w:p>
            <w:pPr>
              <w:spacing w:after="0"/>
              <w:rPr>
                <w:sz w:val="1"/>
                <w:szCs w:val="1"/>
                <w:color w:val="auto"/>
              </w:rPr>
            </w:pPr>
          </w:p>
        </w:tc>
      </w:tr>
      <w:tr>
        <w:trPr>
          <w:trHeight w:val="151"/>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income (loss) to net cash provided by (used in) operating</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2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activities:</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41,607</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43,567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debt discounts and issuance costs</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Provision for deferred taxes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1,708</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(11,680)</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Equity-based compensation</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11,604</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947</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and modification of debt</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20,838</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Income from equity method investees</w:t>
            </w:r>
          </w:p>
        </w:tc>
        <w:tc>
          <w:tcPr>
            <w:tcW w:w="9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(2,425)</w:t>
            </w:r>
          </w:p>
        </w:tc>
        <w:tc>
          <w:tcPr>
            <w:tcW w:w="5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51"/>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Amounts reclassified out of accumulated other comprehensive income</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2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(Note 5)</w:t>
            </w:r>
          </w:p>
        </w:tc>
        <w:tc>
          <w:tcPr>
            <w:tcW w:w="9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Change in contingent consideration obligation</w:t>
            </w:r>
          </w:p>
        </w:tc>
        <w:tc>
          <w:tcPr>
            <w:tcW w:w="9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operating lease costs</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105,188</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Changes in assets and liabilities: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Receivables</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3,748</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(3,767)</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Merchandise inventories</w:t>
            </w:r>
          </w:p>
        </w:tc>
        <w:tc>
          <w:tcPr>
            <w:tcW w:w="9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(36,008)</w:t>
            </w:r>
          </w:p>
        </w:tc>
        <w:tc>
          <w:tcPr>
            <w:tcW w:w="5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(3,307)</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assets</w:t>
            </w: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(9,140)</w:t>
            </w: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(6,302)</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Accounts payable and book overdrafts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20,119</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(74,074)</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salaries and employee benefits</w:t>
            </w: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(2,483)</w:t>
            </w: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(10,153)</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66,120</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Operating lease liabilities</w:t>
            </w: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(116,994)</w:t>
            </w: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(64,188)</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3"/>
                <w:szCs w:val="13"/>
                <w:color w:val="auto"/>
              </w:rPr>
              <w:t>Other long-term liabilities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1,859</w:t>
            </w:r>
          </w:p>
        </w:tc>
        <w:tc>
          <w:tcPr>
            <w:tcW w:w="28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ind w:left="1000"/>
              <w:spacing w:after="0"/>
              <w:rPr>
                <w:sz w:val="20"/>
                <w:szCs w:val="20"/>
                <w:color w:val="auto"/>
              </w:rPr>
            </w:pPr>
            <w:r>
              <w:rPr>
                <w:rFonts w:ascii="Arial" w:cs="Arial" w:eastAsia="Arial" w:hAnsi="Arial"/>
                <w:sz w:val="13"/>
                <w:szCs w:val="13"/>
                <w:color w:val="auto"/>
              </w:rPr>
              <w:t>Net cash provided by (used in) operating activities</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115,002</w:t>
            </w: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(32,289)</w:t>
            </w:r>
          </w:p>
        </w:tc>
        <w:tc>
          <w:tcPr>
            <w:tcW w:w="0" w:type="dxa"/>
            <w:vAlign w:val="bottom"/>
          </w:tcPr>
          <w:p>
            <w:pPr>
              <w:spacing w:after="0"/>
              <w:rPr>
                <w:sz w:val="1"/>
                <w:szCs w:val="1"/>
                <w:color w:val="auto"/>
              </w:rPr>
            </w:pPr>
          </w:p>
        </w:tc>
      </w:tr>
      <w:tr>
        <w:trPr>
          <w:trHeight w:val="156"/>
        </w:trPr>
        <w:tc>
          <w:tcPr>
            <w:tcW w:w="772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9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fixed assets</w:t>
            </w: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(47,351)</w:t>
            </w: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(27,895)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(47,351)</w:t>
            </w: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(27,895)</w:t>
            </w: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flows from financing activities:</w:t>
            </w:r>
          </w:p>
        </w:tc>
        <w:tc>
          <w:tcPr>
            <w:tcW w:w="9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Borrowings under long-term debt agreements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1,700,000</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397,000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of long-term debt</w:t>
            </w: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w w:val="93"/>
              </w:rPr>
              <w:t>(1,678,111)</w:t>
            </w: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(142,313)</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Debt refinancing costs</w:t>
            </w:r>
          </w:p>
        </w:tc>
        <w:tc>
          <w:tcPr>
            <w:tcW w:w="9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(24,665)</w:t>
            </w:r>
          </w:p>
        </w:tc>
        <w:tc>
          <w:tcPr>
            <w:tcW w:w="5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for finance lease liabilities</w:t>
            </w: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(593)</w:t>
            </w:r>
          </w:p>
        </w:tc>
        <w:tc>
          <w:tcPr>
            <w:tcW w:w="5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Payment of offering costs</w:t>
            </w:r>
          </w:p>
        </w:tc>
        <w:tc>
          <w:tcPr>
            <w:tcW w:w="9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(3,844)</w:t>
            </w:r>
          </w:p>
        </w:tc>
        <w:tc>
          <w:tcPr>
            <w:tcW w:w="5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1000"/>
              <w:spacing w:after="0"/>
              <w:rPr>
                <w:sz w:val="20"/>
                <w:szCs w:val="20"/>
                <w:color w:val="auto"/>
              </w:rPr>
            </w:pPr>
            <w:r>
              <w:rPr>
                <w:rFonts w:ascii="Arial" w:cs="Arial" w:eastAsia="Arial" w:hAnsi="Arial"/>
                <w:sz w:val="13"/>
                <w:szCs w:val="13"/>
                <w:color w:val="auto"/>
              </w:rPr>
              <w:t>Net cash (used in) provided by financing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vMerge w:val="continue"/>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(7,213)</w:t>
            </w: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253,752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20"/>
                <w:szCs w:val="20"/>
                <w:color w:val="auto"/>
              </w:rPr>
            </w:pPr>
            <w:r>
              <w:rPr>
                <w:rFonts w:ascii="Arial" w:cs="Arial" w:eastAsia="Arial" w:hAnsi="Arial"/>
                <w:sz w:val="13"/>
                <w:szCs w:val="13"/>
                <w:color w:val="auto"/>
              </w:rPr>
              <w:t>Net increase in cash, cash equivalents and restricted cash</w:t>
            </w:r>
          </w:p>
        </w:tc>
        <w:tc>
          <w:tcPr>
            <w:tcW w:w="9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60,438</w:t>
            </w: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193,568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beginning of year</w:t>
            </w:r>
          </w:p>
        </w:tc>
        <w:tc>
          <w:tcPr>
            <w:tcW w:w="9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119,540</w:t>
            </w:r>
          </w:p>
        </w:tc>
        <w:tc>
          <w:tcPr>
            <w:tcW w:w="28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154,718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end of year</w:t>
            </w: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179,978</w:t>
            </w:r>
          </w:p>
        </w:tc>
        <w:tc>
          <w:tcPr>
            <w:tcW w:w="28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348,286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Supplemental cash flow disclosures:</w:t>
            </w: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Interest paid, net</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6,958</w:t>
            </w:r>
          </w:p>
        </w:tc>
        <w:tc>
          <w:tcPr>
            <w:tcW w:w="280" w:type="dxa"/>
            <w:vAlign w:val="bottom"/>
          </w:tcPr>
          <w:p>
            <w:pPr>
              <w:spacing w:after="0"/>
              <w:rPr>
                <w:sz w:val="14"/>
                <w:szCs w:val="14"/>
                <w:color w:val="auto"/>
              </w:rPr>
            </w:pPr>
          </w:p>
        </w:tc>
        <w:tc>
          <w:tcPr>
            <w:tcW w:w="520" w:type="dxa"/>
            <w:vAlign w:val="bottom"/>
          </w:tcPr>
          <w:p>
            <w:pPr>
              <w:jc w:val="right"/>
              <w:ind w:right="37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49,527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Capitalized interest</w:t>
            </w:r>
          </w:p>
        </w:tc>
        <w:tc>
          <w:tcPr>
            <w:tcW w:w="960" w:type="dxa"/>
            <w:vAlign w:val="bottom"/>
            <w:shd w:val="clear" w:color="auto" w:fill="CFF0FC"/>
          </w:tcPr>
          <w:p>
            <w:pPr>
              <w:jc w:val="right"/>
              <w:ind w:right="814"/>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7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Income taxes paid</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218</w:t>
            </w:r>
          </w:p>
        </w:tc>
        <w:tc>
          <w:tcPr>
            <w:tcW w:w="280" w:type="dxa"/>
            <w:vAlign w:val="bottom"/>
          </w:tcPr>
          <w:p>
            <w:pPr>
              <w:spacing w:after="0"/>
              <w:rPr>
                <w:sz w:val="14"/>
                <w:szCs w:val="14"/>
                <w:color w:val="auto"/>
              </w:rPr>
            </w:pPr>
          </w:p>
        </w:tc>
        <w:tc>
          <w:tcPr>
            <w:tcW w:w="520" w:type="dxa"/>
            <w:vAlign w:val="bottom"/>
          </w:tcPr>
          <w:p>
            <w:pPr>
              <w:jc w:val="right"/>
              <w:ind w:right="37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Supplemental non-cash investing and financing activities disclosure:</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3"/>
                <w:szCs w:val="13"/>
                <w:color w:val="auto"/>
              </w:rPr>
              <w:t>Accounts payable and accrued expenses for capital expenditures</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23,386</w:t>
            </w:r>
          </w:p>
        </w:tc>
        <w:tc>
          <w:tcPr>
            <w:tcW w:w="280" w:type="dxa"/>
            <w:vAlign w:val="bottom"/>
          </w:tcPr>
          <w:p>
            <w:pPr>
              <w:spacing w:after="0"/>
              <w:rPr>
                <w:sz w:val="15"/>
                <w:szCs w:val="15"/>
                <w:color w:val="auto"/>
              </w:rPr>
            </w:pPr>
          </w:p>
        </w:tc>
        <w:tc>
          <w:tcPr>
            <w:tcW w:w="520" w:type="dxa"/>
            <w:vAlign w:val="bottom"/>
          </w:tcPr>
          <w:p>
            <w:pPr>
              <w:jc w:val="right"/>
              <w:ind w:right="37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15,946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Petco Health and Wellness Company, Inc. (together with its consolidated subsidiaries, the “Company”) is a national specialty retailer of premium pet consumables, supplies and companion animals and services. The Company manages its business as one reportable operating segment.</w:t>
      </w:r>
    </w:p>
    <w:p>
      <w:pPr>
        <w:spacing w:after="0" w:line="12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84" w:lineRule="exact"/>
        <w:rPr>
          <w:sz w:val="20"/>
          <w:szCs w:val="20"/>
          <w:color w:val="auto"/>
        </w:rPr>
      </w:pPr>
    </w:p>
    <w:p>
      <w:pPr>
        <w:ind w:right="720" w:firstLine="510"/>
        <w:spacing w:after="0" w:line="308" w:lineRule="auto"/>
        <w:rPr>
          <w:sz w:val="20"/>
          <w:szCs w:val="20"/>
          <w:color w:val="auto"/>
        </w:rPr>
      </w:pPr>
      <w:r>
        <w:rPr>
          <w:rFonts w:ascii="Arial" w:cs="Arial" w:eastAsia="Arial" w:hAnsi="Arial"/>
          <w:sz w:val="17"/>
          <w:szCs w:val="17"/>
          <w:color w:val="auto"/>
        </w:rPr>
        <w:t>There have been no significant changes from the significant accounting policies disclosed in Note 1 of the Notes to Consolidated Financial Statements included in the Company’s Annual Report on Form 10-K for the fiscal year ended January 30, 2021.</w:t>
      </w:r>
    </w:p>
    <w:p>
      <w:pPr>
        <w:spacing w:after="0" w:line="14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results of operations for the thirteen weeks ended May 1, 2021 are not necessarily indicative of the results of operations that may be achieved for the entire fiscal year ending January 29,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Conversion and Initial Public Offering</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Company previously operated as a Delaware limited liability company under the name PET Acquisition LLC. In January 2021, the Company converted to a Delaware corporation pursuant to a statutory conversion and changed its name to Petco Health and Wellness Company, Inc. The existing balances of members’ interest and accumulated deficit prior to this conversion were reclassified to additional paid-in capital in the condensed consolidated balance sheets. This reclassification had no effect on the Company’s results of operations.</w:t>
      </w:r>
    </w:p>
    <w:p>
      <w:pPr>
        <w:spacing w:after="0" w:line="187"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On January 19, 2021, the Company completed its initial public offering of 55.2 million newly-issued shares of its Class A common stock. The offering price was $18.00 per share. The net proceeds from the initial public offering were used to pay a portion of the principal amount and accrued interest on the Company’s debt obligations. Refer to Note 3 and Note 4 for further discussion on the Company’s use of proceeds from the initial public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June 1, 2021, Scooby Aggregator, LP, the Company’s principal stockholder, completed the sale of 22 million existing shares of Class A common stock in connection with a secondary offering. The offering price to the public was $24.00 per share. The Company received no proceeds from the secondary offering. Expenses incurred by the Company related to the secondary offering were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sheets to the total amounts reported in the condensed consolidated statements of cash flows.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86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174,034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111,402</w:t>
            </w:r>
          </w:p>
        </w:tc>
        <w:tc>
          <w:tcPr>
            <w:tcW w:w="100" w:type="dxa"/>
            <w:vAlign w:val="bottom"/>
            <w:shd w:val="clear" w:color="auto" w:fill="CFF0FC"/>
          </w:tcPr>
          <w:p>
            <w:pPr>
              <w:spacing w:after="0"/>
              <w:rPr>
                <w:sz w:val="19"/>
                <w:szCs w:val="19"/>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current assets</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FF0FC"/>
            </w:tcBorders>
          </w:tcPr>
          <w:p>
            <w:pPr>
              <w:spacing w:after="0"/>
              <w:rPr>
                <w:sz w:val="19"/>
                <w:szCs w:val="19"/>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in</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statement of cash flows</w:t>
            </w:r>
          </w:p>
        </w:tc>
        <w:tc>
          <w:tcPr>
            <w:tcW w:w="15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179,978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119,540</w:t>
            </w:r>
          </w:p>
        </w:tc>
        <w:tc>
          <w:tcPr>
            <w:tcW w:w="100" w:type="dxa"/>
            <w:vAlign w:val="bottom"/>
            <w:shd w:val="clear" w:color="auto" w:fill="CFF0FC"/>
          </w:tcPr>
          <w:p>
            <w:pPr>
              <w:spacing w:after="0"/>
              <w:rPr>
                <w:sz w:val="20"/>
                <w:szCs w:val="20"/>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Update No. 2016-13 – Financial Instruments – Credit Losses (Topic 326): Measurement of Credit Losses on Financial Instruments, which amends the accounting for recognizing impairments of financial assets. Under the new accounting guidance, credit losses for financial assets held at amortized cost will be estimated based on expected losses rather than the current incurred loss impairment model. The new accounting guidance also modifies the impairment model for available-for-sale debt securities. The Company adopted this accounting policy on February 2, 2020. The adoption did not have a material impact on the Company’s condensed consolidated financial statements and related disclosures.</w:t>
      </w:r>
    </w:p>
    <w:p>
      <w:pPr>
        <w:spacing w:after="0" w:line="192"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In August 2018, FASB issued Accounting Standards Update No. 2018-15 – Intangibles – Goodwill and Other – Internal-Use Software (Subtopic 350-40), which amends ASC 350-40 to address a customer’s accounting for implementation costs incurred in a cloud computing arrangement that is a service contract. The Company adopted this accounting policy on February 2, 2020. The adoption did not have a material impact on the Company’s condensed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sales by product type and services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58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68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200"/>
              <w:spacing w:after="0" w:line="133" w:lineRule="exact"/>
              <w:rPr>
                <w:sz w:val="20"/>
                <w:szCs w:val="20"/>
                <w:color w:val="auto"/>
              </w:rPr>
            </w:pPr>
            <w:r>
              <w:rPr>
                <w:rFonts w:ascii="Arial" w:cs="Arial" w:eastAsia="Arial" w:hAnsi="Arial"/>
                <w:sz w:val="14"/>
                <w:szCs w:val="14"/>
                <w:b w:val="1"/>
                <w:bCs w:val="1"/>
                <w:color w:val="auto"/>
              </w:rPr>
              <w:t>May 1,</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6"/>
              <w:spacing w:after="0" w:line="133" w:lineRule="exact"/>
              <w:rPr>
                <w:sz w:val="20"/>
                <w:szCs w:val="20"/>
                <w:color w:val="auto"/>
              </w:rPr>
            </w:pPr>
            <w:r>
              <w:rPr>
                <w:rFonts w:ascii="Arial" w:cs="Arial" w:eastAsia="Arial" w:hAnsi="Arial"/>
                <w:sz w:val="14"/>
                <w:szCs w:val="14"/>
                <w:b w:val="1"/>
                <w:bCs w:val="1"/>
                <w:color w:val="auto"/>
              </w:rPr>
              <w:t>May 2,</w:t>
            </w:r>
          </w:p>
        </w:tc>
        <w:tc>
          <w:tcPr>
            <w:tcW w:w="100" w:type="dxa"/>
            <w:vAlign w:val="bottom"/>
          </w:tcPr>
          <w:p>
            <w:pPr>
              <w:spacing w:after="0"/>
              <w:rPr>
                <w:sz w:val="11"/>
                <w:szCs w:val="11"/>
                <w:color w:val="auto"/>
              </w:rPr>
            </w:pPr>
          </w:p>
        </w:tc>
      </w:tr>
      <w:tr>
        <w:trPr>
          <w:trHeight w:val="171"/>
        </w:trPr>
        <w:tc>
          <w:tcPr>
            <w:tcW w:w="68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Dog and cat food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525,752</w:t>
            </w:r>
          </w:p>
        </w:tc>
        <w:tc>
          <w:tcPr>
            <w:tcW w:w="100" w:type="dxa"/>
            <w:vAlign w:val="bottom"/>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658,172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493,734</w:t>
            </w:r>
          </w:p>
        </w:tc>
        <w:tc>
          <w:tcPr>
            <w:tcW w:w="100" w:type="dxa"/>
            <w:vAlign w:val="bottom"/>
          </w:tcPr>
          <w:p>
            <w:pPr>
              <w:spacing w:after="0"/>
              <w:rPr>
                <w:sz w:val="19"/>
                <w:szCs w:val="19"/>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94,035</w:t>
            </w:r>
          </w:p>
        </w:tc>
        <w:tc>
          <w:tcPr>
            <w:tcW w:w="100" w:type="dxa"/>
            <w:vAlign w:val="bottom"/>
            <w:shd w:val="clear" w:color="auto" w:fill="CFF0FC"/>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1,414,994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1,113,521</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Senior Secured Credit Facilities</w:t>
      </w:r>
    </w:p>
    <w:p>
      <w:pPr>
        <w:spacing w:after="0" w:line="121" w:lineRule="exact"/>
        <w:rPr>
          <w:sz w:val="20"/>
          <w:szCs w:val="20"/>
          <w:color w:val="auto"/>
        </w:rPr>
      </w:pPr>
    </w:p>
    <w:p>
      <w:pPr>
        <w:ind w:firstLine="514"/>
        <w:spacing w:after="0" w:line="273" w:lineRule="auto"/>
        <w:rPr>
          <w:sz w:val="20"/>
          <w:szCs w:val="20"/>
          <w:color w:val="auto"/>
        </w:rPr>
      </w:pPr>
      <w:r>
        <w:rPr>
          <w:rFonts w:ascii="Arial" w:cs="Arial" w:eastAsia="Arial" w:hAnsi="Arial"/>
          <w:sz w:val="17"/>
          <w:szCs w:val="17"/>
          <w:color w:val="auto"/>
        </w:rPr>
        <w:t>As of January 30, 2021, the Company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 The Amended Term Loan Facility, the Amended Revolving Credit Facility, the First Lien Term Loan, and the ABL Revolving Credit Facility are collectively referred to as the “Senior Secured Credit Facilities.”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7"/>
          <w:szCs w:val="17"/>
          <w:color w:val="auto"/>
        </w:rPr>
        <w:t>As of May 1, 2021, the Company was in compliance with its covenants in the First Lien Term Loan and the ABL Revolving Credit Facility.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225" w:lineRule="exact"/>
        <w:rPr>
          <w:sz w:val="20"/>
          <w:szCs w:val="20"/>
          <w:color w:val="auto"/>
        </w:rPr>
      </w:pPr>
    </w:p>
    <w:p>
      <w:pPr>
        <w:ind w:right="40" w:firstLine="514"/>
        <w:spacing w:after="0" w:line="257" w:lineRule="auto"/>
        <w:rPr>
          <w:sz w:val="20"/>
          <w:szCs w:val="20"/>
          <w:color w:val="auto"/>
        </w:rPr>
      </w:pPr>
      <w:r>
        <w:rPr>
          <w:rFonts w:ascii="Arial" w:cs="Arial" w:eastAsia="Arial" w:hAnsi="Arial"/>
          <w:sz w:val="18"/>
          <w:szCs w:val="18"/>
          <w:color w:val="auto"/>
        </w:rPr>
        <w:t>On January 19, 2021, the Company repaid $727.0 million of the Amended Term Loan Facility using a portion of the proceeds from its initial public offering, in addition to existing cash on hand. The repayment was applied to the remaining principal payments in order of scheduled payment date and, as a result, no quarterly principal payments remained under the Amended Term Loan Facility, other than the remaining principal balance due at maturity. As such, the entire remaining balance was included in senior secured credit facilities, net, excluding current portion in the condensed consolidated balance sheets as of January 30, 2021.</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March 4, 2021, the Company entered into the $1,700.0 million First Lien Term Loan and repaid all outstanding principal and interest on the Amended Term Loan Facility. Interest under the First Lien Term Loan is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and interest payments commence on June 30, 2021. Principal payments are $4.25 million quarterly.</w:t>
      </w:r>
    </w:p>
    <w:p>
      <w:pPr>
        <w:spacing w:after="0" w:line="176"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March 4, 2021 transaction, the Company recognized a loss on debt extinguishment and modification of $19.6 million, which consisted of a $6.5 million write-off of unamortized debt discount and issuance costs on the Amended Term Loan Facility and $13.1 million of third-party expenses.</w:t>
      </w:r>
    </w:p>
    <w:p>
      <w:pPr>
        <w:spacing w:after="0" w:line="18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Fees relating to the Company’s entry into the First Lien Term Loan consisted of arranger fees and other third-party expenses. Of those fees, $3.2 million was capitalized as debt issuance costs, along with $4.3 million of original issue discount. The remaining portion of original issue discount and debt issuance costs of the Amended Term Loan Facility previously capitalized is being amortized over the contractual term of the First Lien Term Loan to interest expense using the effective interest rate in effect on the date of issuance, as these amounts represent the portion that was not substantially modified.</w:t>
      </w:r>
    </w:p>
    <w:p>
      <w:pPr>
        <w:spacing w:after="0" w:line="157" w:lineRule="exact"/>
        <w:rPr>
          <w:sz w:val="20"/>
          <w:szCs w:val="20"/>
          <w:color w:val="auto"/>
        </w:rPr>
      </w:pPr>
    </w:p>
    <w:p>
      <w:pPr>
        <w:ind w:right="20" w:firstLine="514"/>
        <w:spacing w:after="0" w:line="272" w:lineRule="auto"/>
        <w:rPr>
          <w:sz w:val="20"/>
          <w:szCs w:val="20"/>
          <w:color w:val="auto"/>
        </w:rPr>
      </w:pPr>
      <w:r>
        <w:rPr>
          <w:rFonts w:ascii="Arial" w:cs="Arial" w:eastAsia="Arial" w:hAnsi="Arial"/>
          <w:sz w:val="17"/>
          <w:szCs w:val="17"/>
          <w:color w:val="auto"/>
        </w:rPr>
        <w:t>As of May 1, 2021, the outstanding principal balance of the First Lien Term Loan was $1,700.0 million ($1,672.1 million, net of the unamortized discount and debt issuance costs). As of January 30, 2021, the outstanding principal balance of the Amended Term Loan Facility was $1,678.1 million ($1,649.4 million, net of the unamortized discount and debt issuance costs). The weighted average interest rate on the borrowings outstanding was 4.1% and 4.3% as of May 1, 2021 and January 30, 2021, respectively. Debt issuance costs are being amortized over the contractual term to interest expense using the effective interest rate in effect at issuance. As of May 1, 2021, the estimated fair value of the First Lien Term Loan was approximately $1,689.4 million, based upon Level 2 fair value hierarchy inputs. As of January 30, 2021, the estimated fair value of the Amended Term Loan Facility was approximately $1,673.9 million, based upon Level 2 fair value hierarchy inputs.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On March 4, 2021, the Company entered into an agreement establishing the ABL Revolving Credit Facility and terminated the Amended Revolving Credit Facility. The ABL Revolving Credit Facility has availability up to $500.0 million, subject to a borrowing base.</w:t>
      </w:r>
    </w:p>
    <w:p>
      <w:pPr>
        <w:spacing w:after="0" w:line="17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spacing w:after="0" w:line="188" w:lineRule="exact"/>
        <w:rPr>
          <w:sz w:val="20"/>
          <w:szCs w:val="20"/>
          <w:color w:val="auto"/>
        </w:rPr>
      </w:pPr>
    </w:p>
    <w:p>
      <w:pPr>
        <w:ind w:right="200" w:firstLine="514"/>
        <w:spacing w:after="0" w:line="259" w:lineRule="auto"/>
        <w:rPr>
          <w:sz w:val="20"/>
          <w:szCs w:val="20"/>
          <w:color w:val="auto"/>
        </w:rPr>
      </w:pPr>
      <w:r>
        <w:rPr>
          <w:rFonts w:ascii="Arial" w:cs="Arial" w:eastAsia="Arial" w:hAnsi="Arial"/>
          <w:sz w:val="18"/>
          <w:szCs w:val="18"/>
          <w:color w:val="auto"/>
        </w:rPr>
        <w:t>As of May 1, 2021, no amounts were outstanding under the ABL Revolving Credit Facility. As of January 30, 2021, no amounts were outstanding under the Amended Revolving Credit Facility. At May 1, 2021, $420.5 million was available under the ABL Revolving Credit Facility, which is net of $56.6 million of outstanding letters of credit issued in the normal course of business and a $22.9 million borrowing base reduction for a shortfall in qualifying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220"/>
        <w:spacing w:after="0" w:line="259" w:lineRule="auto"/>
        <w:rPr>
          <w:sz w:val="20"/>
          <w:szCs w:val="20"/>
          <w:color w:val="auto"/>
        </w:rPr>
      </w:pPr>
      <w:r>
        <w:rPr>
          <w:rFonts w:ascii="Arial" w:cs="Arial" w:eastAsia="Arial" w:hAnsi="Arial"/>
          <w:sz w:val="18"/>
          <w:szCs w:val="18"/>
          <w:color w:val="auto"/>
        </w:rPr>
        <w:t>assets, net of reserves. Unamortized debt issuance costs of $5.6 million relating to the ABL Revolving Credit Facility were outstanding and were being amortized using the straight-line method over the remaining term of the agreement as of May 1, 2021. Unamortized debt issuance costs of $3.1 million relating to the Amended Revolving Credit Facility were outstanding and were being amortized using the straight-line method over the remaining term of the agreement as of January 30, 2021.</w:t>
      </w:r>
    </w:p>
    <w:p>
      <w:pPr>
        <w:spacing w:after="0" w:line="18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5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Interest on the ABL Revolving Credit Facility is based on either the base rate or Adjusted LIBOR subject to a floor of 0%, in either case, plus an applicable margin. The applicable margin is currently equal to 25 basis points in the case of base rate loans and 125 basis points in the case of Adjusted LIBOR loans.</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Applicable</w:t>
            </w: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Adjusted</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Average Historical Excess Availability</w:t>
            </w:r>
          </w:p>
        </w:tc>
        <w:tc>
          <w:tcPr>
            <w:tcW w:w="140" w:type="dxa"/>
            <w:vAlign w:val="bottom"/>
            <w:vMerge w:val="restart"/>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LIBOR</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Less than 33.3% of the Line Cap</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5"/>
        </w:trPr>
        <w:tc>
          <w:tcPr>
            <w:tcW w:w="6040" w:type="dxa"/>
            <w:vAlign w:val="bottom"/>
            <w:gridSpan w:val="2"/>
          </w:tcPr>
          <w:p>
            <w:pPr>
              <w:spacing w:after="0"/>
              <w:rPr>
                <w:sz w:val="20"/>
                <w:szCs w:val="20"/>
                <w:color w:val="auto"/>
              </w:rPr>
            </w:pPr>
            <w:r>
              <w:rPr>
                <w:rFonts w:ascii="Arial" w:cs="Arial" w:eastAsia="Arial" w:hAnsi="Arial"/>
                <w:sz w:val="18"/>
                <w:szCs w:val="18"/>
                <w:color w:val="auto"/>
              </w:rPr>
              <w:t>Less than 66.7% but greater than or equal to 33.3%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the Line Cap</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Greater than or equal to 66.7% of the Line Cap</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80" w:firstLine="510"/>
        <w:spacing w:after="0" w:line="308" w:lineRule="auto"/>
        <w:rPr>
          <w:sz w:val="20"/>
          <w:szCs w:val="20"/>
          <w:color w:val="auto"/>
        </w:rPr>
      </w:pPr>
      <w:r>
        <w:rPr>
          <w:rFonts w:ascii="Arial" w:cs="Arial" w:eastAsia="Arial" w:hAnsi="Arial"/>
          <w:sz w:val="17"/>
          <w:szCs w:val="17"/>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Senior Notes</w:t>
      </w:r>
    </w:p>
    <w:p>
      <w:pPr>
        <w:spacing w:after="0" w:line="11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On January 26, 2016, the Company issued $750.0 million of unsecured senior notes maturing on January 26, 2024 in a private offering (the “Floating Rate Senior Notes”). Debt issuance costs of $26.2 million related to the Floating Rate Senior Notes were being amortized over the contractual term to interest expense using the effective interest rate in effect at issuance. The Floating Rate Senior Notes bore interest at a floating rate equal to three-month LIBOR, subject to a 1.00% floor, plus 8.0% per annum (the “Applicable Margin”) payable quarterly in arrears.</w:t>
      </w:r>
    </w:p>
    <w:p>
      <w:pPr>
        <w:spacing w:after="0" w:line="17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On January 19, 2021, in connection with the Company’s initial public offering, the holders of the outstanding Floating Rate Senior Notes exchanged $450.0 million of the aggregate principal amount of the Floating Rate Senior Notes for a new series of notes with a principal amount of $450.0 million issued by Scooby Aggregator, LP, the Company’s principal stockholder. Scooby Aggregator, LP, as the new holder of $450.0 million of Floating Rate Senior Notes, contributed the principal balance to the Company. This contribution, offset by approximately $7.4 million of unamortized deferred financing costs associated with the principal balance contributed, was recorded as an adjustment to additional paid-in capital.</w:t>
      </w:r>
    </w:p>
    <w:p>
      <w:pPr>
        <w:spacing w:after="0" w:line="17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On January 19, 2021, the Company repaid the remaining $300.0 million principal balance of the Floating Rate Senior Notes using a portion of the proceeds from its initial public offering, in addition to existing cash on hand.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3.00% Senior Notes</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On January 26, 2016, the Company issued senior unsecured notes maturing on January 25, 2019 in a private offering to its members. Interest on the notes was originally 0.75% per annum, payable semi-annually either in cash or by means of capitalizing such interest and adding it to the then outstanding principal amount of the notes.</w:t>
      </w:r>
    </w:p>
    <w:p>
      <w:pPr>
        <w:spacing w:after="0" w:line="18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On April 6, 2019, the Company amended the notes to extend their maturity to July 25, 2019. Interest under these notes (the “3.00% Senior Notes”) was 3.00% per annum, payable upon maturity. On July 25, 2019, February 3, 2020, and September 28, 2020, the Company further amended the notes to extend their maturity to January 25, 2020, January 25, 2021, and January 25, 2023, respectively.</w:t>
      </w:r>
    </w:p>
    <w:p>
      <w:pPr>
        <w:spacing w:after="0" w:line="18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On January 19, 2021, in connection with its initial public offering, the Company repaid $4.0 million of the principal balance of the 3.00% Senior Notes. The remaining $127.7 million of principal and $3.6 million of accrued interest was then contributed to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March 2016, the Company entered into a series of five interest rate cap agreements with four counterparties with a total notional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$1,950.0 million to limit the maximum interest rate on a portion of the Company’s variable-rate debt and limit its exposure to interest rate variability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three-month LIBOR exceeds 2.25%.</w:t>
      </w:r>
    </w:p>
    <w:p>
      <w:pPr>
        <w:spacing w:after="0" w:line="21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interest rate caps were accounted for as cash flow hedges because the interest rate caps were expected to be highly effective in hedging variable rate interest payments. Changes in the fair value of the interest rate caps were reported as a component of AOCI. The interest rate caps expired and were settled in accordance with their contractual terms on January 29,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5"/>
              </w:rPr>
              <w:t>May 1, 2021</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3"/>
                <w:szCs w:val="13"/>
                <w:color w:val="auto"/>
              </w:rPr>
            </w:pPr>
          </w:p>
        </w:tc>
        <w:tc>
          <w:tcPr>
            <w:tcW w:w="106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Money market mutual funds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121,405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of officer’s life insurance</w:t>
            </w:r>
          </w:p>
        </w:tc>
        <w:tc>
          <w:tcPr>
            <w:tcW w:w="1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Non-qualified deferred compensation plan</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(16,862)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472"/>
        </w:trPr>
        <w:tc>
          <w:tcPr>
            <w:tcW w:w="4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January 30, 2021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3"/>
                <w:szCs w:val="13"/>
                <w:color w:val="auto"/>
              </w:rPr>
            </w:pPr>
          </w:p>
        </w:tc>
        <w:tc>
          <w:tcPr>
            <w:tcW w:w="106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Money market mutual funds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63,798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of officer’s life insurance</w:t>
            </w:r>
          </w:p>
        </w:tc>
        <w:tc>
          <w:tcPr>
            <w:tcW w:w="1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Non-qualified deferred compensation plan</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(15,526)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$116.0 million and $56.0 million as of May 1, 2021 and January 30, 2021, respectively. Also included in the Company’s money market mutual funds balances were $5.4 million and $7.8 million as of May 1, 2021 and January 30, 2021, respectively, which relate to the Company’s restricted cash, and are included in other current assets in the condensed consolidated balance sheets.</w:t>
      </w:r>
    </w:p>
    <w:p>
      <w:pPr>
        <w:spacing w:after="0" w:line="18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fully funded by investments in officers’ life insurance. The fair value of this obligation is based on participants’ elected investments, which reflect the closing market prices of similar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The Company’s non-financial assets, which primarily consist of goodwill, other intangible assets, fixed assets and equity and cost method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76"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There were no triggering events identified and no indication of impairment of the Company’s goodwill, indefinite lived trade name, other intangible assets or equity and cost method investments during the thirteen week periods ended May 1, 2021 and May 2, 2020. During the thirteen week periods ended May 1, 2021 and May 2, 2020, the Company recorded fixed asset and right-of-use asset impairment charges of $1.1 million and $3.1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Equity-based compensation awards under the Company’s current incentive plan (the “2021 Equity Incentive Plan”) include restricted stock units (“RSUs”), restricted stock awards (“RSAs”), stock options, and other equity compensation awards. The Company also has an employee stock purchase plan (“ESPP”).</w:t>
      </w:r>
    </w:p>
    <w:p>
      <w:pPr>
        <w:spacing w:after="0" w:line="184" w:lineRule="exact"/>
        <w:rPr>
          <w:sz w:val="20"/>
          <w:szCs w:val="20"/>
          <w:color w:val="auto"/>
        </w:rPr>
      </w:pPr>
    </w:p>
    <w:p>
      <w:pPr>
        <w:jc w:val="both"/>
        <w:ind w:right="320" w:firstLine="510"/>
        <w:spacing w:after="0" w:line="277" w:lineRule="auto"/>
        <w:rPr>
          <w:sz w:val="20"/>
          <w:szCs w:val="20"/>
          <w:color w:val="auto"/>
        </w:rPr>
      </w:pPr>
      <w:r>
        <w:rPr>
          <w:rFonts w:ascii="Arial" w:cs="Arial" w:eastAsia="Arial" w:hAnsi="Arial"/>
          <w:sz w:val="18"/>
          <w:szCs w:val="18"/>
          <w:color w:val="auto"/>
        </w:rPr>
        <w:t>Scooby LP, the direct owner of Scooby Aggregator, LP, also maintains an incentive plan (the “2016 Incentive Plan”) under which it has awarded partnership unit awards to employees, consultants, and non-employee directors of the Company.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rPr>
              <w:t>May 1,</w:t>
            </w:r>
          </w:p>
        </w:tc>
        <w:tc>
          <w:tcPr>
            <w:tcW w:w="540" w:type="dxa"/>
            <w:vAlign w:val="bottom"/>
          </w:tcPr>
          <w:p>
            <w:pPr>
              <w:spacing w:after="0"/>
              <w:rPr>
                <w:sz w:val="11"/>
                <w:szCs w:val="11"/>
                <w:color w:val="auto"/>
              </w:rPr>
            </w:pPr>
          </w:p>
        </w:tc>
        <w:tc>
          <w:tcPr>
            <w:tcW w:w="1020" w:type="dxa"/>
            <w:vAlign w:val="bottom"/>
          </w:tcPr>
          <w:p>
            <w:pPr>
              <w:jc w:val="center"/>
              <w:ind w:right="474"/>
              <w:spacing w:after="0" w:line="133" w:lineRule="exact"/>
              <w:rPr>
                <w:sz w:val="20"/>
                <w:szCs w:val="20"/>
                <w:color w:val="auto"/>
              </w:rPr>
            </w:pPr>
            <w:r>
              <w:rPr>
                <w:rFonts w:ascii="Arial" w:cs="Arial" w:eastAsia="Arial" w:hAnsi="Arial"/>
                <w:sz w:val="14"/>
                <w:szCs w:val="14"/>
                <w:b w:val="1"/>
                <w:bCs w:val="1"/>
                <w:color w:val="auto"/>
                <w:w w:val="98"/>
              </w:rPr>
              <w:t>May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 and RSAs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Partnership units of Scooby LP under the 2016 Incentive 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equity-based compensation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Arial" w:cs="Arial" w:eastAsia="Arial" w:hAnsi="Arial"/>
                <w:sz w:val="18"/>
                <w:szCs w:val="18"/>
                <w:color w:val="auto"/>
                <w:w w:val="95"/>
              </w:rPr>
              <w:t>Activity under the 2021 Equity Incentive Plan was as follows (shares and dollars in thousands):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RSUs and RSAs</w:t>
            </w:r>
          </w:p>
        </w:tc>
        <w:tc>
          <w:tcPr>
            <w:tcW w:w="540" w:type="dxa"/>
            <w:vAlign w:val="bottom"/>
          </w:tcPr>
          <w:p>
            <w:pPr>
              <w:spacing w:after="0"/>
              <w:rPr>
                <w:sz w:val="24"/>
                <w:szCs w:val="2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and RSAs/options outstanding, January 30, 2021</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 and RSAs vested/options exercised</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Forfeited/expired</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and RSAs/options outstanding, May 1, 2021</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Unrecognized compensation expense as of May 1, 2021</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54,714</w:t>
            </w:r>
          </w:p>
        </w:tc>
        <w:tc>
          <w:tcPr>
            <w:tcW w:w="2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expense period as of May 1, 2021</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 years</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RSA activity has not been material and relates to an RSA of Class A common stock granted to an executive in March 2021. For this grant, 50% of the RSA becomes vested on each of the first two anniversaries of the grant date. Unvested RSAs are not considered participating securities for earnings per share purposes, as any related dividends are forfeitable.</w:t>
      </w:r>
    </w:p>
    <w:p>
      <w:pPr>
        <w:spacing w:after="0" w:line="184"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Enrollment in the ESPP began in April 2021. The ESPP will allow eligible employees to contribute up to 15% of their base earnings towards purchases of Class A common stock, subject to an annual maximum. The purchase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ind w:right="80"/>
        <w:spacing w:after="0" w:line="277" w:lineRule="auto"/>
        <w:rPr>
          <w:sz w:val="20"/>
          <w:szCs w:val="20"/>
          <w:color w:val="auto"/>
        </w:rPr>
      </w:pPr>
      <w:r>
        <w:rPr>
          <w:rFonts w:ascii="Arial" w:cs="Arial" w:eastAsia="Arial" w:hAnsi="Arial"/>
          <w:sz w:val="18"/>
          <w:szCs w:val="18"/>
          <w:color w:val="auto"/>
        </w:rPr>
        <w:t>price will be 85% of the lower of (i) the fair market value of the stock on the associated lookback date and (ii) the fair market value of the stock on the last day of the related purchase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30,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63"/>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May 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211,345</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May 1, 2021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94,418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Available for future grant, May 1, 2021</w:t>
            </w: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of May 1, 2021, unrecognized compensation expense related to the unvested portion of Scooby LP’s Series C Units was $23.8 million, which is expected to be recognized over a weighted average period of 2.9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171" w:lineRule="exact"/>
        <w:rPr>
          <w:sz w:val="20"/>
          <w:szCs w:val="20"/>
          <w:color w:val="auto"/>
        </w:rPr>
      </w:pPr>
    </w:p>
    <w:p>
      <w:pPr>
        <w:jc w:val="both"/>
        <w:ind w:right="420" w:firstLine="510"/>
        <w:spacing w:after="0" w:line="342" w:lineRule="auto"/>
        <w:rPr>
          <w:sz w:val="20"/>
          <w:szCs w:val="20"/>
          <w:color w:val="auto"/>
        </w:rPr>
      </w:pPr>
      <w:r>
        <w:rPr>
          <w:rFonts w:ascii="Arial" w:cs="Arial" w:eastAsia="Arial" w:hAnsi="Arial"/>
          <w:sz w:val="16"/>
          <w:szCs w:val="16"/>
          <w:color w:val="auto"/>
        </w:rPr>
        <w:t>There were approximately 3.6 million potential shares that were anti-dilutive and excluded from the computation of diluted shares outstanding during the thirteen weeks ended May 1, 2021. There were no potentially dilutive securities outstanding during the thirteen weeks ended May 2, 2020.</w:t>
      </w:r>
    </w:p>
    <w:p>
      <w:pPr>
        <w:spacing w:after="0" w:line="12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For periods prior to the Company’s conversion to a Delaware corporation in January 2021, the Company has retrospectively presented net loss per share as if the conversion had occurred at the beginning of the earliest period presented. The weighted average shares used in computing net loss per Class A and B-1 common share in these periods are based on the number of Common Series A and Common Series B Units of PET Acquisition LLC held by members. For periods prior to the conversion, these calculations do not include the 55.2 million shares of Class A common stock issued in the Company’s initial public offering.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COVID-19 pandemic has been a highly disruptive economic and societal event that has affected the Company’s business and has had a significant impact on consumer shopping behavior. To serve pet parents while also providing for the safety of employees, the Company has adapted certain aspects of the business. Throughout the pandemic, the Company has monitored the rapidly evolving situation and will continue to adapt its operations to (i) address federal, state and local standards, (ii) meet the needs of pets and pet parents, and (iii) implement standards that the Company believes to be in the best interests of the safety and well-being of its employees and customers. The duration and severity of the pandemic remains uncertain.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condensed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condensed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condensed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30, 2021 (the “2020 Form 10-K”). The discussion and analysis below contain certain forward-looking statements about our business and operations that are subject to the risks, uncertainties, and other factors described in the sections entitled “Risk Factors” in Part I, Item 1A in the 2020 Form 10-K and Part II, Item 1A in this Form 10-Q. These risks, uncertainties, and other factors could cause our actual results to differ materially from those expressed in, or implied by, the forward-looking statements. Please read the section entitled “Cautionary Note Regarding Forward-Looking Statements” in the 2020 Form 10-K. All amounts herein are unaudited.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Petco Health and Wellness Company, Inc. (“Petco”, the “Company”, “we”, “our” and “us”) is category-defining health and wellness company focused on improving the lives of pets, pet parents and our own partners. Since our founding in 1965, we have been striving to set new standards in pet care, delivering comprehensive wellness solutions through our products and services, and creating communities that deepen the pet-pet parent bond. Over the last three years, our world-class leadership team and our dedicated and passionate partners have transformed the business form a successful yet traditional retailer to a disruptive, fully integrated, digital-focused provider of premium nutrition, products, services and veterinary care. We operate more than 1,500 Petco locations across the U.S., Mexico, and Puerto Rico, including a growing network of 137 in-store veterinary hospitals, and offer a complete online resource for pet health and wellness at petco.com and on the Petco app.</w:t>
      </w:r>
    </w:p>
    <w:p>
      <w:pPr>
        <w:spacing w:after="0" w:line="69"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Our go-to-market strategy is powered by a multi-channel platform that integrates our digital presence with a nationwide physical network. Our e-commerce site and personalized mobile app serve as a hub for pet parents to manage their pets’ health, wellness, and merchandise needs, while enabling them to shop wherever, whenever, and however they want. By leveraging an extensive physical network we are able to offer a comprehensive product and service offering in a localized manner with a meaningful last-mile advantage over the competition.</w:t>
      </w:r>
    </w:p>
    <w:p>
      <w:pPr>
        <w:spacing w:after="0" w:line="63"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We strive to be a truly unique company, one that is saving and improving millions of pet lives and tangibly improving the lives of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more than 6.5 million animals.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12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COVID-19 pandemic has impacted every aspect of the economy. As an essential retailer, all of our pet care centers have remained open, as we are the grocery store, pharmacy, and doctor’s office for many of our nation’s pets. Market data indicates that with more of the working population staying home, there has been an increase in pet ownership and the percentage of disposable income spent on home-related goods and services, including pet care. Overall, this macroeconomic trend has continued to favorably impact our business results to date with millions of additional new pets that need to be fed, groomed and vaccinated for years to come, but the possible sustained spread or resurgence of the pandemic, and any government response thereto, increases the uncertainty regarding potential economic conditions that could impact our business in the future.</w:t>
      </w:r>
    </w:p>
    <w:p>
      <w:pPr>
        <w:spacing w:after="0" w:line="16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We cannot predict the duration or severity of COVID-19 or its ultimate impact on the broader economy or our operations and liquidity. Please refer to the risk factors described in the sections entitled “Risk Factors” in Part I, Item 1A in the 2020 Form 10-K and Part II, Item 1A in this Form 10-Q.</w:t>
      </w:r>
    </w:p>
    <w:p>
      <w:pPr>
        <w:spacing w:after="0" w:line="22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9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Management and our board of directors review, in addition to GAAP (as defined herein) measures, certain non-GAAP financial measures, including Adjusted EBITDA, Free Cash Flow and Net Debt, to evaluate our operating performance, generate future operating plans, and make strategic decisions regarding the allocation of capital. Further explanations of our non-GAAP measures, along with reconciliations to their most comparable GAAP measures, are presented below under “Reconciliation of Non-GAAP Financial Measures to GAAP Measures.”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business transformation initiatives, accelerated by an increase in pet ownership and a shift in customer discretionary spend toward the pet category, have driven strong top- and bottom-line growth in our business. Comparing the thirteen weeks ended May 1, 2021 with the thirteen weeks ended May 2, 2020, we achieved the following results:</w:t>
      </w:r>
    </w:p>
    <w:p>
      <w:pPr>
        <w:spacing w:after="0" w:line="76"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sales from $1.11 billion to $1.41 billion, representing period-over-period growth of 27.1%;</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sales growth of 28.4%;</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operating income from $16.4 million to $47.7 million, representing period-over-period growth of 191.8%;</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income (loss) attributable to Class A and B-1 common stockholders from a loss of $31.2 million to income of $7.6 million, representing a period-over-period improvement of 124.3%;</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Adjusted EBITDA from $86.8 million to $125.7 million, representing period-over-period growth of 44.8%; and</w:t>
      </w:r>
    </w:p>
    <w:p>
      <w:pPr>
        <w:spacing w:after="0" w:line="14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operating cash flows improved from $32.3 million used in operating activities during the thirteen weeks ended May 2, 2020 to $115.0 million provided by operating activities during the thirteen weeks ended May 1, 2021.</w:t>
      </w:r>
    </w:p>
    <w:p>
      <w:pPr>
        <w:spacing w:after="0" w:line="17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 a description of our non-GAAP measures and reconciliations to their most comparable GAAP measures, please read the section below titled “Reconciliation of Non-GAAP Financial Measures to GAAP Measures.”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11"/>
          </w:tcPr>
          <w:p>
            <w:pPr>
              <w:jc w:val="right"/>
              <w:ind w:right="11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jc w:val="right"/>
              <w:ind w:right="760"/>
              <w:spacing w:after="0" w:line="133" w:lineRule="exact"/>
              <w:rPr>
                <w:sz w:val="20"/>
                <w:szCs w:val="20"/>
                <w:color w:val="auto"/>
              </w:rPr>
            </w:pPr>
            <w:r>
              <w:rPr>
                <w:rFonts w:ascii="Arial" w:cs="Arial" w:eastAsia="Arial" w:hAnsi="Arial"/>
                <w:sz w:val="14"/>
                <w:szCs w:val="14"/>
                <w:b w:val="1"/>
                <w:bCs w:val="1"/>
                <w:color w:val="auto"/>
              </w:rPr>
              <w:t>May 1,</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right"/>
              <w:ind w:right="580"/>
              <w:spacing w:after="0" w:line="133" w:lineRule="exact"/>
              <w:rPr>
                <w:sz w:val="20"/>
                <w:szCs w:val="20"/>
                <w:color w:val="auto"/>
              </w:rPr>
            </w:pPr>
            <w:r>
              <w:rPr>
                <w:rFonts w:ascii="Arial" w:cs="Arial" w:eastAsia="Arial" w:hAnsi="Arial"/>
                <w:sz w:val="14"/>
                <w:szCs w:val="14"/>
                <w:b w:val="1"/>
                <w:bCs w:val="1"/>
                <w:color w:val="auto"/>
              </w:rPr>
              <w:t>May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1,414,994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1,113,521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818,009</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647,239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596,985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466,282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4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549,236</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449,917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47,749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20,529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20,838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 and income from</w:t>
            </w:r>
          </w:p>
        </w:tc>
        <w:tc>
          <w:tcPr>
            <w:tcW w:w="24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equity method investees</w:t>
            </w:r>
          </w:p>
        </w:tc>
        <w:tc>
          <w:tcPr>
            <w:tcW w:w="24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6,403</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(44,259)</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2,679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(10,555)</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from equity method investees</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(2,425)</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6,149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(33,372)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(1,411)</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09"/>
        </w:trPr>
        <w:tc>
          <w:tcPr>
            <w:tcW w:w="5140" w:type="dxa"/>
            <w:vAlign w:val="bottom"/>
          </w:tcPr>
          <w:p>
            <w:pPr>
              <w:ind w:left="500"/>
              <w:spacing w:after="0"/>
              <w:rPr>
                <w:sz w:val="20"/>
                <w:szCs w:val="20"/>
                <w:color w:val="auto"/>
              </w:rPr>
            </w:pPr>
            <w:r>
              <w:rPr>
                <w:rFonts w:ascii="Arial" w:cs="Arial" w:eastAsia="Arial" w:hAnsi="Arial"/>
                <w:sz w:val="18"/>
                <w:szCs w:val="18"/>
                <w:color w:val="auto"/>
                <w:w w:val="99"/>
              </w:rPr>
              <w:t>Net income (loss) attributable to Class A and B-1 common</w:t>
            </w: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640"/>
              <w:spacing w:after="0"/>
              <w:rPr>
                <w:sz w:val="20"/>
                <w:szCs w:val="20"/>
                <w:color w:val="auto"/>
              </w:rPr>
            </w:pPr>
            <w:r>
              <w:rPr>
                <w:rFonts w:ascii="Arial" w:cs="Arial" w:eastAsia="Arial" w:hAnsi="Arial"/>
                <w:sz w:val="18"/>
                <w:szCs w:val="18"/>
                <w:color w:val="auto"/>
              </w:rPr>
              <w:t>stockholders</w:t>
            </w:r>
          </w:p>
        </w:tc>
        <w:tc>
          <w:tcPr>
            <w:tcW w:w="284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7,560</w:t>
            </w:r>
          </w:p>
        </w:tc>
        <w:tc>
          <w:tcPr>
            <w:tcW w:w="200" w:type="dxa"/>
            <w:vAlign w:val="bottom"/>
          </w:tcPr>
          <w:p>
            <w:pPr>
              <w:spacing w:after="0"/>
              <w:rPr>
                <w:sz w:val="20"/>
                <w:szCs w:val="20"/>
                <w:color w:val="auto"/>
              </w:rPr>
            </w:pPr>
          </w:p>
        </w:tc>
        <w:tc>
          <w:tcPr>
            <w:tcW w:w="5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(31,168)</w:t>
            </w:r>
          </w:p>
        </w:tc>
        <w:tc>
          <w:tcPr>
            <w:tcW w:w="0" w:type="dxa"/>
            <w:vAlign w:val="bottom"/>
          </w:tcPr>
          <w:p>
            <w:pPr>
              <w:spacing w:after="0"/>
              <w:rPr>
                <w:sz w:val="1"/>
                <w:szCs w:val="1"/>
                <w:color w:val="auto"/>
              </w:rPr>
            </w:pPr>
          </w:p>
        </w:tc>
      </w:tr>
      <w:tr>
        <w:trPr>
          <w:trHeight w:val="473"/>
        </w:trPr>
        <w:tc>
          <w:tcPr>
            <w:tcW w:w="5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4"/>
          </w:tcPr>
          <w:p>
            <w:pPr>
              <w:jc w:val="right"/>
              <w:ind w:right="920"/>
              <w:spacing w:after="0" w:line="133" w:lineRule="exact"/>
              <w:rPr>
                <w:sz w:val="20"/>
                <w:szCs w:val="20"/>
                <w:color w:val="auto"/>
              </w:rPr>
            </w:pPr>
            <w:r>
              <w:rPr>
                <w:rFonts w:ascii="Arial" w:cs="Arial" w:eastAsia="Arial" w:hAnsi="Arial"/>
                <w:sz w:val="14"/>
                <w:szCs w:val="14"/>
                <w:b w:val="1"/>
                <w:bCs w:val="1"/>
                <w:color w:val="auto"/>
              </w:rPr>
              <w:t>May 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jc w:val="right"/>
              <w:ind w:right="493"/>
              <w:spacing w:after="0" w:line="133" w:lineRule="exact"/>
              <w:rPr>
                <w:sz w:val="20"/>
                <w:szCs w:val="20"/>
                <w:color w:val="auto"/>
              </w:rPr>
            </w:pPr>
            <w:r>
              <w:rPr>
                <w:rFonts w:ascii="Arial" w:cs="Arial" w:eastAsia="Arial" w:hAnsi="Arial"/>
                <w:sz w:val="14"/>
                <w:szCs w:val="14"/>
                <w:b w:val="1"/>
                <w:bCs w:val="1"/>
                <w:color w:val="auto"/>
                <w:w w:val="93"/>
              </w:rPr>
              <w:t>May 2,</w:t>
            </w:r>
          </w:p>
        </w:tc>
        <w:tc>
          <w:tcPr>
            <w:tcW w:w="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4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4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and modification of debt</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40" w:type="dxa"/>
            <w:vAlign w:val="bottom"/>
          </w:tcPr>
          <w:p>
            <w:pPr>
              <w:ind w:left="500"/>
              <w:spacing w:after="0"/>
              <w:rPr>
                <w:sz w:val="20"/>
                <w:szCs w:val="20"/>
                <w:color w:val="auto"/>
              </w:rPr>
            </w:pPr>
            <w:r>
              <w:rPr>
                <w:rFonts w:ascii="Arial" w:cs="Arial" w:eastAsia="Arial" w:hAnsi="Arial"/>
                <w:sz w:val="18"/>
                <w:szCs w:val="18"/>
                <w:color w:val="auto"/>
              </w:rPr>
              <w:t>Income (loss) before income taxes and income from</w:t>
            </w:r>
          </w:p>
        </w:tc>
        <w:tc>
          <w:tcPr>
            <w:tcW w:w="2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640"/>
              <w:spacing w:after="0"/>
              <w:rPr>
                <w:sz w:val="20"/>
                <w:szCs w:val="20"/>
                <w:color w:val="auto"/>
              </w:rPr>
            </w:pPr>
            <w:r>
              <w:rPr>
                <w:rFonts w:ascii="Arial" w:cs="Arial" w:eastAsia="Arial" w:hAnsi="Arial"/>
                <w:sz w:val="18"/>
                <w:szCs w:val="18"/>
                <w:color w:val="auto"/>
              </w:rPr>
              <w:t>equity method investees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4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9"/>
              </w:rPr>
              <w:t>Net income (loss) attributable to Class A and B-1 common</w:t>
            </w:r>
          </w:p>
        </w:tc>
        <w:tc>
          <w:tcPr>
            <w:tcW w:w="24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stockholders</w:t>
            </w:r>
          </w:p>
        </w:tc>
        <w:tc>
          <w:tcPr>
            <w:tcW w:w="24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73"/>
        </w:trPr>
        <w:tc>
          <w:tcPr>
            <w:tcW w:w="5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4"/>
          </w:tcPr>
          <w:p>
            <w:pPr>
              <w:jc w:val="right"/>
              <w:ind w:right="900"/>
              <w:spacing w:after="0" w:line="133" w:lineRule="exact"/>
              <w:rPr>
                <w:sz w:val="20"/>
                <w:szCs w:val="20"/>
                <w:color w:val="auto"/>
              </w:rPr>
            </w:pPr>
            <w:r>
              <w:rPr>
                <w:rFonts w:ascii="Arial" w:cs="Arial" w:eastAsia="Arial" w:hAnsi="Arial"/>
                <w:sz w:val="14"/>
                <w:szCs w:val="14"/>
                <w:b w:val="1"/>
                <w:bCs w:val="1"/>
                <w:color w:val="auto"/>
              </w:rPr>
              <w:t>May 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May 2,</w:t>
            </w: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Operational Data:</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Comparable sales increase (decrease)</w:t>
            </w: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pet care centers at end of period</w:t>
            </w:r>
          </w:p>
        </w:tc>
        <w:tc>
          <w:tcPr>
            <w:tcW w:w="2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Total pet care centers with veterinarian practices at</w:t>
            </w: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end of period</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(in thousands)</w:t>
            </w:r>
          </w:p>
        </w:tc>
        <w:tc>
          <w:tcPr>
            <w:tcW w:w="2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125,746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86,836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140" w:type="dxa"/>
            <w:vAlign w:val="bottom"/>
          </w:tcPr>
          <w:p>
            <w:pPr>
              <w:spacing w:after="0"/>
              <w:rPr>
                <w:sz w:val="24"/>
                <w:szCs w:val="24"/>
                <w:color w:val="auto"/>
              </w:rPr>
            </w:pPr>
          </w:p>
        </w:tc>
        <w:tc>
          <w:tcPr>
            <w:tcW w:w="2440" w:type="dxa"/>
            <w:vAlign w:val="bottom"/>
          </w:tcPr>
          <w:p>
            <w:pPr>
              <w:jc w:val="right"/>
              <w:ind w:right="177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2240" w:firstLine="2231"/>
        <w:spacing w:after="0" w:line="378" w:lineRule="auto"/>
        <w:rPr>
          <w:sz w:val="20"/>
          <w:szCs w:val="20"/>
          <w:color w:val="auto"/>
        </w:rPr>
      </w:pPr>
      <w:r>
        <w:rPr>
          <w:rFonts w:ascii="Arial" w:cs="Arial" w:eastAsia="Arial" w:hAnsi="Arial"/>
          <w:sz w:val="18"/>
          <w:szCs w:val="18"/>
          <w:b w:val="1"/>
          <w:bCs w:val="1"/>
          <w:color w:val="auto"/>
        </w:rPr>
        <w:t xml:space="preserve">Thirteen Weeks Ended May 1, 2021 Compared with Thirteen Weeks Ended May 2, 2020 </w:t>
      </w:r>
      <w:r>
        <w:rPr>
          <w:rFonts w:ascii="Arial" w:cs="Arial" w:eastAsia="Arial" w:hAnsi="Arial"/>
          <w:sz w:val="18"/>
          <w:szCs w:val="18"/>
          <w:b w:val="1"/>
          <w:bCs w:val="1"/>
          <w:i w:val="1"/>
          <w:iCs w:val="1"/>
          <w:color w:val="auto"/>
        </w:rPr>
        <w:t>Net Sales and Comparable Sales</w:t>
      </w:r>
    </w:p>
    <w:p>
      <w:pPr>
        <w:ind w:right="120" w:firstLine="510"/>
        <w:spacing w:after="0" w:line="272" w:lineRule="auto"/>
        <w:rPr>
          <w:sz w:val="20"/>
          <w:szCs w:val="20"/>
          <w:color w:val="auto"/>
        </w:rPr>
      </w:pPr>
      <w:r>
        <w:rPr>
          <w:rFonts w:ascii="Arial" w:cs="Arial" w:eastAsia="Arial" w:hAnsi="Arial"/>
          <w:sz w:val="17"/>
          <w:szCs w:val="17"/>
          <w:color w:val="auto"/>
        </w:rPr>
        <w:t>Net sales increased $301.5 million, or 27.1%, to $1.41 billion in the thirteen weeks ended May 1, 2021 compared to net sales of $1.11 billion in the thirteen weeks ended May 2, 2020, driven by a 28.4% increase in our comparable sales. Our sales growth period-over-period was driven by our strong execution and unique model across digital and in our pet care centers, coupled with an increase in pet ownership associated with the COVID-19 pandemic and benefits from government stimulus payments. Pet care centers delivered growth of 26.1% driven by an increase in pet adoptions and more customer traffic in our centers. Our e-commerce and digital sales increased 21.2%, lapping strong digital sales growth in the same period last year at the start of the COVID-19 pandemic. This growth is driven by the increase in pets as well as our integrated offerings, which include buy online and pick up in store, curbside pick-up, ship-from-store, repeat delivery, and same day delivery.</w:t>
      </w:r>
    </w:p>
    <w:p>
      <w:pPr>
        <w:spacing w:after="0" w:line="17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Supplies and companion animal sales increased 33.3% between the periods due to increases in pet ownership and shifts in disposable income toward pets. Dog and cat food sales increased 13.2% and services and other sales increased 71.9% between the periods, respectively. The increase in services was due in part to growth in our veterinary hospital business with the addition of 48 new hospitals period-over-period coupled with headwinds experienced during the thirteen weeks ended May 2, 2020 with the temporary suspension of our training, grooming and vaccination clinic services while stay-at-home orders were in place.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Gross profit increased $130.7 million, or 28.0%, to $597.0 million in the thirteen weeks ended May 1, 2021 compared to gross profit of</w:t>
      </w:r>
    </w:p>
    <w:p>
      <w:pPr>
        <w:spacing w:after="0" w:line="2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$466.3 million for the thirteen weeks ended May 2, 2020. As a percentage of sales, our gross profit rate improved slightly at 42.2% for the thirteen weeks ended May 1, 2021 compared to 41.9% for the thirteen weeks ended May 2, 2020. The increase in gross profit was due to the overall increase in net sales across key business areas, which was partially offset by an increase in supply chain expenses to support higher sales volume.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SG&amp;A expenses increased $99.3 million, or 22.1%, to $549.2 million for the thirteen weeks ended May 1, 2021 compared to $449.9 million for the thirteen weeks ended May 2, 2020. As a percentage of net sales, SG&amp;A expenses improved from 40.4% for the thirteen weeks ended May 2, 2020 to</w:t>
      </w:r>
    </w:p>
    <w:p>
      <w:pPr>
        <w:ind w:right="80"/>
        <w:spacing w:after="0" w:line="253" w:lineRule="auto"/>
        <w:rPr>
          <w:sz w:val="20"/>
          <w:szCs w:val="20"/>
          <w:color w:val="auto"/>
        </w:rPr>
      </w:pPr>
      <w:r>
        <w:rPr>
          <w:rFonts w:ascii="Arial" w:cs="Arial" w:eastAsia="Arial" w:hAnsi="Arial"/>
          <w:sz w:val="18"/>
          <w:szCs w:val="18"/>
          <w:color w:val="auto"/>
        </w:rPr>
        <w:t>38.8% for the thirteen weeks ended May 1, 2021, reflecting operating leverage from net sales growth. The increase in expenses period-over-period was driven by a $40.7 million increase in advertising expenses to support the acceleration of our sales growth. The remainder of the increase was predominately due to higher incentive compensation for corporate and field employees along with increased variable costs associated with our higher sales growth. In addition, SG&amp;A expenses were lower for the thirteen weeks ended May 2, 2020 due to cost containment measures implemented at the start of the COVID-19 pandemic.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Interest expense decreased $40.3 million, or 66.2%, to $20.5 million in the thirteen weeks ended May 1, 2021 compared with $60.8 million in the thirteen weeks ended May 2, 2020. The decrease was primarily driven by the redemption/cancellation of the Floating Rate Senior Notes and the 3.00% Senior Notes (each as defined in Note 3, “</w:t>
      </w:r>
      <w:r>
        <w:rPr>
          <w:rFonts w:ascii="Arial" w:cs="Arial" w:eastAsia="Arial" w:hAnsi="Arial"/>
          <w:sz w:val="17"/>
          <w:szCs w:val="17"/>
          <w:i w:val="1"/>
          <w:iCs w:val="1"/>
          <w:color w:val="auto"/>
        </w:rPr>
        <w:t>Senior Secured Credit Facilities</w:t>
      </w:r>
      <w:r>
        <w:rPr>
          <w:rFonts w:ascii="Arial" w:cs="Arial" w:eastAsia="Arial" w:hAnsi="Arial"/>
          <w:sz w:val="17"/>
          <w:szCs w:val="17"/>
          <w:color w:val="auto"/>
        </w:rPr>
        <w:t>,” to the Notes to Consolidated Financial Statements included in Part I, Item 1 of this Form 10-Q) and repayment of a portion of our then-outstanding senior secured term loan facility (the “Amended Term Loan Facility”) in connection with our initial public offering. In March 2020, we borrowed $250.0 million on our then-outstanding senior secured asset-based revolving credit facility (the “Amended Revolving Credit Facility”) as a precautionary measure given the uncertainty of the macroeconomic environment at the start of the COVID-19 pandemic. We subsequently repaid the amount in full in the second quarter of fiscal 2020 and had no borrowings outstanding on the Amended Revolving Credit Facility as of January 30,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and Modification of Debt</w:t>
      </w:r>
    </w:p>
    <w:p>
      <w:pPr>
        <w:spacing w:after="0" w:line="225"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Loss on extinguishment and modification of debt was $20.8 million for the thirteen weeks ended May 1, 2021. This loss was recognized in conjunction with the March 4, 2021 debt refinancing transaction described above. There was no loss on debt extinguishment and modification for the thirteen weeks ended May 2, 2020. For more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ind w:right="300"/>
        <w:spacing w:after="0" w:line="277" w:lineRule="auto"/>
        <w:rPr>
          <w:sz w:val="20"/>
          <w:szCs w:val="20"/>
          <w:color w:val="auto"/>
        </w:rPr>
      </w:pPr>
      <w:r>
        <w:rPr>
          <w:rFonts w:ascii="Arial" w:cs="Arial" w:eastAsia="Arial" w:hAnsi="Arial"/>
          <w:sz w:val="18"/>
          <w:szCs w:val="18"/>
          <w:color w:val="auto"/>
        </w:rPr>
        <w:t>information regarding these activities,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Our effective tax rate was 26.2% for the thirteen weeks ended May 1, 2021, resulting in income tax expense of $2.7 million, compared to an effective tax rate of 25.8% and income tax benefit of $10.6 million for the thirteen weeks ended May 2, 2020. The increase in effective tax rate is primarily driven by an increase in earnings along with an increase in stock-based compensation for the thirteen weeks ended May 1, 2021.</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following information provides definitions and reconciliations of certain non-GAAP financial measures to the most directly comparable financial measures calculated and presented in accordance with GAAP. Such non-GAAP financial measures are not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Operations—Reconciliation of Non-GAAP Financial Measures to GAAP Measures” included in the 2020 Form 10-K for more information regarding how we define Adjusted EBITDA.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420" w:firstLine="510"/>
        <w:spacing w:after="0" w:line="277" w:lineRule="auto"/>
        <w:rPr>
          <w:sz w:val="20"/>
          <w:szCs w:val="20"/>
          <w:color w:val="auto"/>
        </w:rPr>
      </w:pPr>
      <w:r>
        <w:rPr>
          <w:rFonts w:ascii="Arial" w:cs="Arial" w:eastAsia="Arial" w:hAnsi="Arial"/>
          <w:sz w:val="18"/>
          <w:szCs w:val="18"/>
          <w:color w:val="auto"/>
        </w:rPr>
        <w:t>The table below reflects the calculation of Adjusted EBITDA and Adjusted EBITDA Margin, after taking into account net sales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30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2"/>
          </w:tcPr>
          <w:p>
            <w:pPr>
              <w:jc w:val="right"/>
              <w:ind w:right="820"/>
              <w:spacing w:after="0" w:line="133" w:lineRule="exact"/>
              <w:rPr>
                <w:sz w:val="20"/>
                <w:szCs w:val="20"/>
                <w:color w:val="auto"/>
              </w:rPr>
            </w:pPr>
            <w:r>
              <w:rPr>
                <w:rFonts w:ascii="Arial" w:cs="Arial" w:eastAsia="Arial" w:hAnsi="Arial"/>
                <w:sz w:val="14"/>
                <w:szCs w:val="14"/>
                <w:b w:val="1"/>
                <w:bCs w:val="1"/>
                <w:color w:val="auto"/>
              </w:rPr>
              <w:t>May 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jc w:val="right"/>
              <w:ind w:right="492"/>
              <w:spacing w:after="0" w:line="133" w:lineRule="exact"/>
              <w:rPr>
                <w:sz w:val="20"/>
                <w:szCs w:val="20"/>
                <w:color w:val="auto"/>
              </w:rPr>
            </w:pPr>
            <w:r>
              <w:rPr>
                <w:rFonts w:ascii="Arial" w:cs="Arial" w:eastAsia="Arial" w:hAnsi="Arial"/>
                <w:sz w:val="14"/>
                <w:szCs w:val="14"/>
                <w:b w:val="1"/>
                <w:bCs w:val="1"/>
                <w:color w:val="auto"/>
                <w:w w:val="98"/>
              </w:rPr>
              <w:t>May 2,</w:t>
            </w:r>
          </w:p>
        </w:tc>
        <w:tc>
          <w:tcPr>
            <w:tcW w:w="220" w:type="dxa"/>
            <w:vAlign w:val="bottom"/>
          </w:tcPr>
          <w:p>
            <w:pPr>
              <w:spacing w:after="0"/>
              <w:rPr>
                <w:sz w:val="11"/>
                <w:szCs w:val="11"/>
                <w:color w:val="auto"/>
              </w:rPr>
            </w:pPr>
          </w:p>
        </w:tc>
      </w:tr>
      <w:tr>
        <w:trPr>
          <w:trHeight w:val="171"/>
        </w:trPr>
        <w:tc>
          <w:tcPr>
            <w:tcW w:w="3000" w:type="dxa"/>
            <w:vAlign w:val="bottom"/>
            <w:tcBorders>
              <w:bottom w:val="single" w:sz="8" w:color="CFF0FC"/>
            </w:tcBorders>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r>
      <w:tr>
        <w:trPr>
          <w:trHeight w:val="205"/>
        </w:trPr>
        <w:tc>
          <w:tcPr>
            <w:tcW w:w="652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Reconciliation of Net Income (Loss) Attributable to Class A and B-1</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34"/>
        </w:trPr>
        <w:tc>
          <w:tcPr>
            <w:tcW w:w="652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Common Stockholders to Adjusted EBITDA</w:t>
            </w: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9"/>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Class A and B-1 common stockholders</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7,560</w:t>
            </w:r>
          </w:p>
        </w:tc>
        <w:tc>
          <w:tcPr>
            <w:tcW w:w="260" w:type="dxa"/>
            <w:vAlign w:val="bottom"/>
          </w:tcPr>
          <w:p>
            <w:pPr>
              <w:spacing w:after="0"/>
              <w:rPr>
                <w:sz w:val="19"/>
                <w:szCs w:val="19"/>
                <w:color w:val="auto"/>
              </w:rPr>
            </w:pPr>
          </w:p>
        </w:tc>
        <w:tc>
          <w:tcPr>
            <w:tcW w:w="62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(31,168)</w:t>
            </w:r>
          </w:p>
        </w:tc>
      </w:tr>
      <w:tr>
        <w:trPr>
          <w:trHeight w:val="229"/>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60,624</w:t>
            </w:r>
          </w:p>
        </w:tc>
        <w:tc>
          <w:tcPr>
            <w:tcW w:w="22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Income tax expense (benefit)</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(10,555)</w:t>
            </w:r>
          </w:p>
        </w:tc>
      </w:tr>
      <w:tr>
        <w:trPr>
          <w:trHeight w:val="229"/>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43,567</w:t>
            </w:r>
          </w:p>
        </w:tc>
        <w:tc>
          <w:tcPr>
            <w:tcW w:w="220" w:type="dxa"/>
            <w:vAlign w:val="bottom"/>
            <w:shd w:val="clear" w:color="auto" w:fill="CFF0FC"/>
          </w:tcPr>
          <w:p>
            <w:pPr>
              <w:spacing w:after="0"/>
              <w:rPr>
                <w:sz w:val="19"/>
                <w:szCs w:val="19"/>
                <w:color w:val="auto"/>
              </w:rPr>
            </w:pPr>
          </w:p>
        </w:tc>
      </w:tr>
      <w:tr>
        <w:trPr>
          <w:trHeight w:val="229"/>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Income from equity method investees</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r>
      <w:tr>
        <w:trPr>
          <w:trHeight w:val="230"/>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debt extinguishment and modification</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Asset impairments and write offs</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3,409</w:t>
            </w:r>
          </w:p>
        </w:tc>
        <w:tc>
          <w:tcPr>
            <w:tcW w:w="220" w:type="dxa"/>
            <w:vAlign w:val="bottom"/>
          </w:tcPr>
          <w:p>
            <w:pPr>
              <w:spacing w:after="0"/>
              <w:rPr>
                <w:sz w:val="19"/>
                <w:szCs w:val="19"/>
                <w:color w:val="auto"/>
              </w:rPr>
            </w:pPr>
          </w:p>
        </w:tc>
      </w:tr>
      <w:tr>
        <w:trPr>
          <w:trHeight w:val="230"/>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Equity-based compensation</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220" w:type="dxa"/>
            <w:vAlign w:val="bottom"/>
            <w:shd w:val="clear" w:color="auto" w:fill="CFF0FC"/>
          </w:tcPr>
          <w:p>
            <w:pPr>
              <w:spacing w:after="0"/>
              <w:rPr>
                <w:sz w:val="19"/>
                <w:szCs w:val="19"/>
                <w:color w:val="auto"/>
              </w:rPr>
            </w:pPr>
          </w:p>
        </w:tc>
      </w:tr>
      <w:tr>
        <w:trPr>
          <w:trHeight w:val="229"/>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Mexico joint venture EBITDA (1)</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4,019</w:t>
            </w:r>
          </w:p>
        </w:tc>
        <w:tc>
          <w:tcPr>
            <w:tcW w:w="220" w:type="dxa"/>
            <w:vAlign w:val="bottom"/>
          </w:tcPr>
          <w:p>
            <w:pPr>
              <w:spacing w:after="0"/>
              <w:rPr>
                <w:sz w:val="19"/>
                <w:szCs w:val="19"/>
                <w:color w:val="auto"/>
              </w:rPr>
            </w:pPr>
          </w:p>
        </w:tc>
      </w:tr>
      <w:tr>
        <w:trPr>
          <w:trHeight w:val="229"/>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Store pre-opening expenses</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2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Store closing expenses</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19"/>
                <w:szCs w:val="19"/>
                <w:color w:val="auto"/>
              </w:rPr>
            </w:pPr>
          </w:p>
        </w:tc>
      </w:tr>
      <w:tr>
        <w:trPr>
          <w:trHeight w:val="229"/>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Severance</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w:t>
            </w:r>
          </w:p>
        </w:tc>
        <w:tc>
          <w:tcPr>
            <w:tcW w:w="220" w:type="dxa"/>
            <w:vAlign w:val="bottom"/>
            <w:shd w:val="clear" w:color="auto" w:fill="CFF0FC"/>
          </w:tcPr>
          <w:p>
            <w:pPr>
              <w:spacing w:after="0"/>
              <w:rPr>
                <w:sz w:val="19"/>
                <w:szCs w:val="19"/>
                <w:color w:val="auto"/>
              </w:rPr>
            </w:pPr>
          </w:p>
        </w:tc>
      </w:tr>
      <w:tr>
        <w:trPr>
          <w:trHeight w:val="229"/>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Non-cash occupancy-related costs (2)</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7,200</w:t>
            </w:r>
          </w:p>
        </w:tc>
        <w:tc>
          <w:tcPr>
            <w:tcW w:w="220" w:type="dxa"/>
            <w:vAlign w:val="bottom"/>
          </w:tcPr>
          <w:p>
            <w:pPr>
              <w:spacing w:after="0"/>
              <w:rPr>
                <w:sz w:val="19"/>
                <w:szCs w:val="19"/>
                <w:color w:val="auto"/>
              </w:rPr>
            </w:pPr>
          </w:p>
        </w:tc>
      </w:tr>
      <w:tr>
        <w:trPr>
          <w:trHeight w:val="230"/>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Non-recurring costs (3)</w:t>
            </w:r>
          </w:p>
        </w:tc>
        <w:tc>
          <w:tcPr>
            <w:tcW w:w="1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20" w:type="dxa"/>
            <w:vAlign w:val="bottom"/>
            <w:shd w:val="clear" w:color="auto" w:fill="CFF0FC"/>
          </w:tcPr>
          <w:p>
            <w:pPr>
              <w:spacing w:after="0"/>
              <w:rPr>
                <w:sz w:val="19"/>
                <w:szCs w:val="19"/>
                <w:color w:val="auto"/>
              </w:rPr>
            </w:pPr>
          </w:p>
        </w:tc>
      </w:tr>
      <w:tr>
        <w:trPr>
          <w:trHeight w:val="263"/>
        </w:trPr>
        <w:tc>
          <w:tcPr>
            <w:tcW w:w="65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Adjusted EBITDA</w:t>
            </w:r>
          </w:p>
        </w:tc>
        <w:tc>
          <w:tcPr>
            <w:tcW w:w="10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125,746</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86,836</w:t>
            </w:r>
          </w:p>
        </w:tc>
        <w:tc>
          <w:tcPr>
            <w:tcW w:w="220" w:type="dxa"/>
            <w:vAlign w:val="bottom"/>
            <w:tcBorders>
              <w:bottom w:val="single" w:sz="8" w:color="CFF0FC"/>
            </w:tcBorders>
          </w:tcPr>
          <w:p>
            <w:pPr>
              <w:spacing w:after="0"/>
              <w:rPr>
                <w:sz w:val="22"/>
                <w:szCs w:val="22"/>
                <w:color w:val="auto"/>
              </w:rPr>
            </w:pPr>
          </w:p>
        </w:tc>
      </w:tr>
      <w:tr>
        <w:trPr>
          <w:trHeight w:val="210"/>
        </w:trPr>
        <w:tc>
          <w:tcPr>
            <w:tcW w:w="6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1,414,994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1,113,521</w:t>
            </w:r>
          </w:p>
        </w:tc>
        <w:tc>
          <w:tcPr>
            <w:tcW w:w="220" w:type="dxa"/>
            <w:vAlign w:val="bottom"/>
            <w:shd w:val="clear" w:color="auto" w:fill="CFF0FC"/>
          </w:tcPr>
          <w:p>
            <w:pPr>
              <w:spacing w:after="0"/>
              <w:rPr>
                <w:sz w:val="18"/>
                <w:szCs w:val="18"/>
                <w:color w:val="auto"/>
              </w:rPr>
            </w:pPr>
          </w:p>
        </w:tc>
      </w:tr>
      <w:tr>
        <w:trPr>
          <w:trHeight w:val="230"/>
        </w:trPr>
        <w:tc>
          <w:tcPr>
            <w:tcW w:w="6520" w:type="dxa"/>
            <w:vAlign w:val="bottom"/>
            <w:gridSpan w:val="2"/>
          </w:tcPr>
          <w:p>
            <w:pPr>
              <w:ind w:left="500"/>
              <w:spacing w:after="0"/>
              <w:rPr>
                <w:sz w:val="20"/>
                <w:szCs w:val="20"/>
                <w:color w:val="auto"/>
              </w:rPr>
            </w:pPr>
            <w:r>
              <w:rPr>
                <w:rFonts w:ascii="Arial" w:cs="Arial" w:eastAsia="Arial" w:hAnsi="Arial"/>
                <w:sz w:val="18"/>
                <w:szCs w:val="18"/>
                <w:color w:val="auto"/>
              </w:rPr>
              <w:t>Net margin (4)</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29"/>
        </w:trPr>
        <w:tc>
          <w:tcPr>
            <w:tcW w:w="65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Adjusted EBITDA Margin (4)</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w:t>
            </w:r>
          </w:p>
        </w:tc>
      </w:tr>
      <w:tr>
        <w:trPr>
          <w:trHeight w:val="95"/>
        </w:trPr>
        <w:tc>
          <w:tcPr>
            <w:tcW w:w="300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89" w:lineRule="exact"/>
        <w:rPr>
          <w:sz w:val="20"/>
          <w:szCs w:val="20"/>
          <w:color w:val="auto"/>
        </w:rPr>
      </w:pPr>
    </w:p>
    <w:p>
      <w:pPr>
        <w:ind w:left="500" w:right="40" w:hanging="492"/>
        <w:spacing w:after="0" w:line="23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May 1,</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ind w:right="494"/>
              <w:spacing w:after="0" w:line="133" w:lineRule="exact"/>
              <w:rPr>
                <w:sz w:val="20"/>
                <w:szCs w:val="20"/>
                <w:color w:val="auto"/>
              </w:rPr>
            </w:pPr>
            <w:r>
              <w:rPr>
                <w:rFonts w:ascii="Arial" w:cs="Arial" w:eastAsia="Arial" w:hAnsi="Arial"/>
                <w:sz w:val="14"/>
                <w:szCs w:val="14"/>
                <w:b w:val="1"/>
                <w:bCs w:val="1"/>
                <w:color w:val="auto"/>
                <w:w w:val="98"/>
              </w:rPr>
              <w:t>May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gridSpan w:val="2"/>
            <w:vMerge w:val="continue"/>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Foreign currency (gain) loss</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EBITDA</w:t>
            </w:r>
          </w:p>
        </w:tc>
        <w:tc>
          <w:tcPr>
            <w:tcW w:w="1000" w:type="dxa"/>
            <w:vAlign w:val="bottom"/>
            <w:tcBorders>
              <w:bottom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12,012</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50% of EBITDA</w:t>
            </w: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0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Non-cash occupancy-related costs include the difference between cash and straight-line rent for all periods.</w:t>
      </w:r>
    </w:p>
    <w:p>
      <w:pPr>
        <w:spacing w:after="0" w:line="109" w:lineRule="exact"/>
        <w:rPr>
          <w:rFonts w:ascii="Arial" w:cs="Arial" w:eastAsia="Arial" w:hAnsi="Arial"/>
          <w:sz w:val="14"/>
          <w:szCs w:val="14"/>
          <w:color w:val="auto"/>
        </w:rPr>
      </w:pPr>
    </w:p>
    <w:p>
      <w:pPr>
        <w:ind w:left="500" w:right="120" w:hanging="492"/>
        <w:spacing w:after="0" w:line="23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Non-recurring costs include: unrealized fair market value adjustments on non-operating investments; legal reserves and related fees; one-time consulting and other costs associated with the Company’s strategic transformation initiatives; discontinuation and liquidation costs; and costs related to our initial public offering. While we incurred significant costs associated with the COVID-19 pandemic during fiscal 2020, we have not classified any of these costs as non-recurring due to the uncertainty surrounding the pandemic’s length and long-term impact on the macroeconomic operating environment.</w:t>
      </w:r>
    </w:p>
    <w:p>
      <w:pPr>
        <w:spacing w:after="0" w:line="76" w:lineRule="exact"/>
        <w:rPr>
          <w:rFonts w:ascii="Arial" w:cs="Arial" w:eastAsia="Arial" w:hAnsi="Arial"/>
          <w:sz w:val="14"/>
          <w:szCs w:val="14"/>
          <w:color w:val="auto"/>
        </w:rPr>
      </w:pPr>
    </w:p>
    <w:p>
      <w:pPr>
        <w:ind w:left="500" w:right="80" w:hanging="492"/>
        <w:spacing w:after="0" w:line="25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define net margin as net income (loss) attributable to Class A and B-1 common stockholders divided by net sales and Adjusted EBITDA margin as Adjusted EBITDA divided by net sales.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Free Cash Flow is a non-GAAP financial measure that is calculated as net cash provided by operations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220" w:firstLine="510"/>
        <w:spacing w:after="0" w:line="342" w:lineRule="auto"/>
        <w:rPr>
          <w:sz w:val="20"/>
          <w:szCs w:val="20"/>
          <w:color w:val="auto"/>
        </w:rPr>
      </w:pPr>
      <w:r>
        <w:rPr>
          <w:rFonts w:ascii="Arial" w:cs="Arial" w:eastAsia="Arial" w:hAnsi="Arial"/>
          <w:sz w:val="16"/>
          <w:szCs w:val="16"/>
          <w:color w:val="auto"/>
        </w:rPr>
        <w:t>Although other companies report their free cash flow, numerous methods exist for calculating a company’s free cash flow. As a result, the method used by the Company to calculate our Free Cash Flow may differ from the methods used by other companies to calculate their free cash flow.</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5"/>
          </w:tcPr>
          <w:p>
            <w:pPr>
              <w:ind w:left="7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May 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19"/>
              <w:spacing w:after="0" w:line="133" w:lineRule="exact"/>
              <w:rPr>
                <w:sz w:val="20"/>
                <w:szCs w:val="20"/>
                <w:color w:val="auto"/>
              </w:rPr>
            </w:pPr>
            <w:r>
              <w:rPr>
                <w:rFonts w:ascii="Arial" w:cs="Arial" w:eastAsia="Arial" w:hAnsi="Arial"/>
                <w:sz w:val="14"/>
                <w:szCs w:val="14"/>
                <w:b w:val="1"/>
                <w:bCs w:val="1"/>
                <w:color w:val="auto"/>
                <w:w w:val="98"/>
              </w:rPr>
              <w:t>May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(52 weeks)</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5" w:lineRule="exact"/>
              <w:rPr>
                <w:sz w:val="20"/>
                <w:szCs w:val="20"/>
                <w:color w:val="auto"/>
              </w:rPr>
            </w:pPr>
            <w:r>
              <w:rPr>
                <w:rFonts w:ascii="Arial" w:cs="Arial" w:eastAsia="Arial" w:hAnsi="Arial"/>
                <w:sz w:val="14"/>
                <w:szCs w:val="14"/>
                <w:b w:val="1"/>
                <w:bCs w:val="1"/>
                <w:color w:val="auto"/>
                <w:w w:val="90"/>
              </w:rPr>
              <w:t>(52 weeks)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8"/>
              </w:rPr>
              <w:t>(32,289)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paid for fixed assets</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(47,351)</w:t>
            </w:r>
          </w:p>
        </w:tc>
        <w:tc>
          <w:tcPr>
            <w:tcW w:w="280" w:type="dxa"/>
            <w:vAlign w:val="bottom"/>
          </w:tcPr>
          <w:p>
            <w:pPr>
              <w:spacing w:after="0"/>
              <w:rPr>
                <w:sz w:val="19"/>
                <w:szCs w:val="19"/>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w w:val="98"/>
              </w:rPr>
              <w:t>(27,895)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Free Cash Flow</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67,651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0"/>
              </w:rPr>
              <w:t>(60,184)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Debt</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Debt is a non-GAAP financial measure that is calculated as the sum of current and non-current debt, less cash and cash equivalents. Management considers this adjustment useful because it reduces the volatility of total debt caused by fluctuations between cash paid against the Company’s revolving credit facility and cash held on hand in cash and cash equivalents.</w:t>
      </w:r>
    </w:p>
    <w:p>
      <w:pPr>
        <w:spacing w:after="0" w:line="18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Although other companies report their net debt, numerous methods exist for calculating a company’s net debt. As a result, the method used by the Company to calculate our Net Debt may differ from the methods used by other companies to calculate their net debt.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calculation of Net Debt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May 1,</w:t>
            </w:r>
          </w:p>
        </w:tc>
        <w:tc>
          <w:tcPr>
            <w:tcW w:w="32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Senior secured credit facilities, net, including current portion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1,666,509</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2,647,461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notes, net</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leases, including current portion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16,409</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1,682,918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(174,034)</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(341,506)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Debt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1,508,884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3,188,411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523,258</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Debt / Adjusted EBITDA ratio</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2.9x</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7.7x</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May 1, 2021 was $594.5 million inclusive of cash and cash equivalents of $174.0 million and $420.5 million of availability on the ABL Revolving Credit Facility.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81"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We are a party to contractual obligations involving commitments to make payments to third parties. These obligations impact our short-term and long-term liquidity and capital resource needs. There have been no material changes to our contractual obligations as compared to those described in the 2020 Form 10-K, except for the debt refinancing transaction that occurred on March 4, 2021. For more information regarding our primary obligations,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260"/>
        <w:spacing w:after="0" w:line="263" w:lineRule="auto"/>
        <w:rPr>
          <w:sz w:val="20"/>
          <w:szCs w:val="20"/>
          <w:color w:val="auto"/>
        </w:rPr>
      </w:pPr>
      <w:r>
        <w:rPr>
          <w:rFonts w:ascii="Arial" w:cs="Arial" w:eastAsia="Arial" w:hAnsi="Arial"/>
          <w:sz w:val="18"/>
          <w:szCs w:val="18"/>
          <w:color w:val="auto"/>
        </w:rPr>
        <w:t>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 for amounts outstanding as of May 1, 2021 related to our debt. Also refer to further discussion on our debt refinancing transaction in “Sources of Liquidity”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3"/>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May 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18"/>
              <w:spacing w:after="0" w:line="133" w:lineRule="exact"/>
              <w:rPr>
                <w:sz w:val="20"/>
                <w:szCs w:val="20"/>
                <w:color w:val="auto"/>
              </w:rPr>
            </w:pPr>
            <w:r>
              <w:rPr>
                <w:rFonts w:ascii="Arial" w:cs="Arial" w:eastAsia="Arial" w:hAnsi="Arial"/>
                <w:sz w:val="14"/>
                <w:szCs w:val="14"/>
                <w:b w:val="1"/>
                <w:bCs w:val="1"/>
                <w:color w:val="auto"/>
                <w:w w:val="98"/>
              </w:rPr>
              <w:t>May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Total cash provided by (used in):</w:t>
            </w:r>
          </w:p>
        </w:tc>
        <w:tc>
          <w:tcPr>
            <w:tcW w:w="280" w:type="dxa"/>
            <w:vAlign w:val="bottom"/>
          </w:tcPr>
          <w:p>
            <w:pPr>
              <w:spacing w:after="0"/>
              <w:rPr>
                <w:sz w:val="15"/>
                <w:szCs w:val="15"/>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(52 weeks)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(52 weeks)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(32,289)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(47,351)</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(27,895)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(7,213)</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60,438</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and the effect of changes in operating assets and liabilities.</w:t>
      </w:r>
    </w:p>
    <w:p>
      <w:pPr>
        <w:spacing w:after="0" w:line="16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Net cash provided by operating activities was $115.0 million in the thirteen weeks ended May 1, 2021 compared with net cash used in operating activities of $32.3 million in the thirteen weeks ended May 2, 2020. The increase in operating cash flow was due to strong operating performance and working capital benefit generated by higher sales as well as lower interest payments due to the reduction of debt balances in connection with the initial public offering and the refinancing transaction that occurred on March 4, 2021 discussed under “Sources of Liquidity” below. The increase in operating cash flows between the periods was partially offset by higher payroll, bonus and fringe benefits driven by operating performance and pet care center appreciation bonuses, an increase in cash paid for inventory driven by higher inventory turns, an increase in cash paid on operating leases due to the timing of rent payments and an increase in advertising spend.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right="140" w:firstLine="468"/>
        <w:spacing w:after="0" w:line="257" w:lineRule="auto"/>
        <w:rPr>
          <w:sz w:val="20"/>
          <w:szCs w:val="20"/>
          <w:color w:val="auto"/>
        </w:rPr>
      </w:pPr>
      <w:r>
        <w:rPr>
          <w:rFonts w:ascii="Arial" w:cs="Arial" w:eastAsia="Arial" w:hAnsi="Arial"/>
          <w:sz w:val="18"/>
          <w:szCs w:val="18"/>
          <w:color w:val="auto"/>
        </w:rPr>
        <w:t>Cash used in investing activities consists of capital expenditures, which in the thirteen weeks ended May 1, 2021 and the thirteen weeks ended May 2, 2020 primarily supported our transformation initiatives. Net cash used in investing activities was $47.4 million and $27.9 million for the thirteen weeks ended May 1, 2021 and May 2, 2020, respectively. The increase in capital expenditures between the periods is partially due to a reduction in capital expenditures put in place for the thirteen weeks ended May 2, 2020 at the start of the COVID-19 pandemic. The majority of our capital expenditures are discretionary in nature and made to expand our business.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Net cash used in financing activities was $7.2 million for the thirteen weeks ended May 1, 2021, compared with $253.8 million provided by financing activities in the thirteen weeks ended May 2, 2020.</w:t>
      </w:r>
    </w:p>
    <w:p>
      <w:pPr>
        <w:spacing w:after="0" w:line="170"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Financing cash flows in the thirteen weeks ended May 1, 2021 primarily consisted of borrowings and repayments of debt in connection with the March 4, 2021 debt refinancing transaction. For more information regarding these activities,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right="40" w:firstLine="510"/>
        <w:spacing w:after="0" w:line="263" w:lineRule="auto"/>
        <w:rPr>
          <w:sz w:val="20"/>
          <w:szCs w:val="20"/>
          <w:color w:val="auto"/>
        </w:rPr>
      </w:pPr>
      <w:r>
        <w:rPr>
          <w:rFonts w:ascii="Arial" w:cs="Arial" w:eastAsia="Arial" w:hAnsi="Arial"/>
          <w:sz w:val="18"/>
          <w:szCs w:val="18"/>
          <w:color w:val="auto"/>
        </w:rPr>
        <w:t>Financing cash flows in the thirteen weeks ended May 2, 2020 included a precautionary draw on the Amended Revolving Credit Facility of $250.0 million in March 2020 at the start of the COVID-19 pandemic. As operations stabilized and financial results improved, the balance was repaid in full in the second quarter of fiscal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As of January 30, 2021, the Company had $1,678.1 million outstanding on the Amended Term Loan Facility and no balance on the Amended Revolving Credit Facility, providing for senior secured financing of up to $500.0 million, subject to a borrowing base.</w:t>
      </w:r>
    </w:p>
    <w:p>
      <w:pPr>
        <w:spacing w:after="0" w:line="170"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On March 4, 2021, the Company completed a refinancing transaction by entering into the $1,700 million secured term loan facility maturing on March 4, 2028 (the “First Lien Term Loan”) and the ABL Revolving Credit Facility, which matures on March 4, 2026 and has availability of up to $500.0 million, subject to a borrowing base. The refinancing transaction, in combination with the application of the proceeds from the Company’s initial public offering and other recapitalization transactions in connection therewith, reduced the Company’s total debt by 52.3% percent over the thirteen weeks ended May 2, 2020. Net Debt as a result of these transactions decreased $1,700 million or 52.7% to $1,500 million at May 1, 2021. Interest under the First Lien Term Loan is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payments are $4.25 million quarterly and commence on June 30, 2021. The terms under the ABL Revolving Credit Facility are substantially similar to those of the Amended Revolving Credit Facility.</w:t>
      </w:r>
    </w:p>
    <w:p>
      <w:pPr>
        <w:spacing w:after="0" w:line="194"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For more information regarding this indebtedness,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In March 2016, the Company entered into a series of five interest rate cap agreements with four counterparties totaling $1,950.0 million to limit the maximum interest rate on a portion of the variable-rate debt and limit exposure to interest rate variability when three-month LIBOR exceeds 2.25%. The interest rate caps were accounted for as cash flow hedges, and changes in the fair value of the interest rate caps were reported as a component of accumulated other comprehensive income. The interest rate caps were settled in accordance with their contractual terms on January 29, 2021.</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5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the 2020 Form 10-K.</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Consolidated Financial Statements included in Part I, Item 1 of this Form 10-Q for information regarding recently issued accounting pronouncements.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subject to interest rate risk in connection with the First Lien Term Loan and the ABL Revolving Credit Facility. As of May 1, 2021, we had $1,700.0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May 1, 2021 would have increased annual cash interest in the aggregate by approximately $17.2 million. As of May 1, 2021, the underlying interest rates on the First Lien Term Loan and the ABL Revolving Credit Facility were at the floor in the applicable agreements.</w:t>
      </w:r>
    </w:p>
    <w:p>
      <w:pPr>
        <w:spacing w:after="0" w:line="192"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As of May 1, 2021,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right="280" w:firstLine="468"/>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57" w:lineRule="exact"/>
        <w:rPr>
          <w:sz w:val="20"/>
          <w:szCs w:val="20"/>
          <w:color w:val="auto"/>
        </w:rPr>
      </w:pPr>
    </w:p>
    <w:p>
      <w:pPr>
        <w:jc w:val="both"/>
        <w:ind w:right="100" w:firstLine="468"/>
        <w:spacing w:after="0" w:line="259" w:lineRule="auto"/>
        <w:rPr>
          <w:sz w:val="20"/>
          <w:szCs w:val="20"/>
          <w:color w:val="auto"/>
        </w:rPr>
      </w:pPr>
      <w:r>
        <w:rPr>
          <w:rFonts w:ascii="Arial" w:cs="Arial" w:eastAsia="Arial" w:hAnsi="Arial"/>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May 1,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80" w:firstLine="468"/>
        <w:spacing w:after="0" w:line="277" w:lineRule="auto"/>
        <w:rPr>
          <w:sz w:val="20"/>
          <w:szCs w:val="20"/>
          <w:color w:val="auto"/>
        </w:rPr>
      </w:pPr>
      <w:r>
        <w:rPr>
          <w:rFonts w:ascii="Arial" w:cs="Arial" w:eastAsia="Arial" w:hAnsi="Arial"/>
          <w:sz w:val="18"/>
          <w:szCs w:val="18"/>
          <w:color w:val="auto"/>
        </w:rPr>
        <w:t>This Form 10-Q does not include disclosure of changes in internal control over financial reporting due to a transition period established by rules of the SEC for newly public companies.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60" w:firstLine="562"/>
        <w:spacing w:after="0" w:line="277" w:lineRule="auto"/>
        <w:rPr>
          <w:sz w:val="20"/>
          <w:szCs w:val="20"/>
          <w:color w:val="auto"/>
        </w:rPr>
      </w:pPr>
      <w:r>
        <w:rPr>
          <w:rFonts w:ascii="Arial" w:cs="Arial" w:eastAsia="Arial" w:hAnsi="Arial"/>
          <w:sz w:val="18"/>
          <w:szCs w:val="18"/>
          <w:color w:val="auto"/>
        </w:rPr>
        <w:t>See Note 8, “</w:t>
      </w:r>
      <w:r>
        <w:rPr>
          <w:rFonts w:ascii="Arial" w:cs="Arial" w:eastAsia="Arial" w:hAnsi="Arial"/>
          <w:sz w:val="18"/>
          <w:szCs w:val="18"/>
          <w:i w:val="1"/>
          <w:iCs w:val="1"/>
          <w:color w:val="auto"/>
        </w:rPr>
        <w:t>Commitments and Contingencies—Litigation</w:t>
      </w:r>
      <w:r>
        <w:rPr>
          <w:rFonts w:ascii="Arial" w:cs="Arial" w:eastAsia="Arial" w:hAnsi="Arial"/>
          <w:sz w:val="18"/>
          <w:szCs w:val="18"/>
          <w:color w:val="auto"/>
        </w:rPr>
        <w:t>,” to the Notes to Consolidated Financial Statements included in Part I, Item 1 of this Form 10-Q for a description of legal proceedings,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Reference is made to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the 2020 Form 10-K for information concerning risk factors. Except as set forth below, there have been no material changes with respect to the risk factors disclosed in our 2020 Form 10-K. The risk factors set forth below update, and should be read together with, the risk factors in our 2020 Form 10-K. You should carefully consider such factors, which could materially affect our business, financial condition or future results. The risks described in this Form 10-Q and in the 2020 Form 10-K are not the only risks we face. Additional risks and uncertainties not currently known to us or that we currently deem to be immaterial also may materially and adversely affect our business, financial condition and/or results of operation.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The loss of any of our key merchandise vendors, or of any of our exclusive distribution arrangements with certain of our vendors, could negatively impact our business.</w:t>
      </w:r>
    </w:p>
    <w:p>
      <w:pPr>
        <w:spacing w:after="0" w:line="62" w:lineRule="exact"/>
        <w:rPr>
          <w:sz w:val="20"/>
          <w:szCs w:val="20"/>
          <w:color w:val="auto"/>
        </w:rPr>
      </w:pPr>
    </w:p>
    <w:p>
      <w:pPr>
        <w:jc w:val="both"/>
        <w:ind w:right="40" w:firstLine="562"/>
        <w:spacing w:after="0" w:line="287" w:lineRule="auto"/>
        <w:rPr>
          <w:sz w:val="20"/>
          <w:szCs w:val="20"/>
          <w:color w:val="auto"/>
        </w:rPr>
      </w:pPr>
      <w:r>
        <w:rPr>
          <w:rFonts w:ascii="Arial" w:cs="Arial" w:eastAsia="Arial" w:hAnsi="Arial"/>
          <w:sz w:val="16"/>
          <w:szCs w:val="16"/>
          <w:color w:val="231F20"/>
        </w:rPr>
        <w:t>We purchase significant amounts of products from a number of vendors with limited supply capabilities. There can be no assurance that our current pet food or supply vendors will be able to accommodate our anticipated growth and expansion of our locations and e-commerce business. As a result of the disruptions resulting from COVID-19, some of our existing vendors have not been able to supply us with products in a timely or cost-effective manner.</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231F20"/>
        </w:rPr>
        <w:t xml:space="preserve">While these disruptions </w:t>
      </w:r>
      <w:r>
        <w:rPr>
          <w:rFonts w:ascii="Arial" w:cs="Arial" w:eastAsia="Arial" w:hAnsi="Arial"/>
          <w:sz w:val="18"/>
          <w:szCs w:val="18"/>
          <w:color w:val="000000"/>
        </w:rPr>
        <w:t>have so far proven</w:t>
      </w:r>
      <w:r>
        <w:rPr>
          <w:rFonts w:ascii="Arial" w:cs="Arial" w:eastAsia="Arial" w:hAnsi="Arial"/>
          <w:sz w:val="18"/>
          <w:szCs w:val="18"/>
          <w:color w:val="231F20"/>
        </w:rPr>
        <w:t xml:space="preserve"> to be temporary, </w:t>
      </w:r>
      <w:r>
        <w:rPr>
          <w:rFonts w:ascii="Arial" w:cs="Arial" w:eastAsia="Arial" w:hAnsi="Arial"/>
          <w:sz w:val="18"/>
          <w:szCs w:val="18"/>
          <w:color w:val="000000"/>
        </w:rPr>
        <w:t>an</w:t>
      </w:r>
      <w:r>
        <w:rPr>
          <w:rFonts w:ascii="Arial" w:cs="Arial" w:eastAsia="Arial" w:hAnsi="Arial"/>
          <w:sz w:val="18"/>
          <w:szCs w:val="18"/>
          <w:color w:val="231F20"/>
        </w:rPr>
        <w:t xml:space="preserve"> inability of our existing vendors to provide products or other product supply disruptions that may occur in the future could impair our business, financial condition, and results of operations. To date, vendor-related supply challenges have not had a material effect on our business or our sales and profitability. We do not maintain long-term supply contracts with any of our merchandise vendors. Any vendor could discontinue selling to us at any time. Although we do not materially rely on any particular vendor, the loss of any of our significant vendors of pet food, particularly premium pet food, or pet supplies that we offer could have a negative impact on our business, financial condition, and results of operations.</w:t>
      </w:r>
    </w:p>
    <w:p>
      <w:pPr>
        <w:spacing w:after="0" w:line="194" w:lineRule="exact"/>
        <w:rPr>
          <w:sz w:val="20"/>
          <w:szCs w:val="20"/>
          <w:color w:val="auto"/>
        </w:rPr>
      </w:pPr>
    </w:p>
    <w:p>
      <w:pPr>
        <w:ind w:right="200" w:firstLine="562"/>
        <w:spacing w:after="0" w:line="263" w:lineRule="auto"/>
        <w:rPr>
          <w:sz w:val="20"/>
          <w:szCs w:val="20"/>
          <w:color w:val="auto"/>
        </w:rPr>
      </w:pPr>
      <w:r>
        <w:rPr>
          <w:rFonts w:ascii="Arial" w:cs="Arial" w:eastAsia="Arial" w:hAnsi="Arial"/>
          <w:sz w:val="18"/>
          <w:szCs w:val="18"/>
          <w:color w:val="231F20"/>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spacing w:after="0" w:line="18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231F20"/>
        </w:rPr>
        <w:t>Most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spacing w:after="0" w:line="192" w:lineRule="exact"/>
        <w:rPr>
          <w:sz w:val="20"/>
          <w:szCs w:val="20"/>
          <w:color w:val="auto"/>
        </w:rPr>
      </w:pPr>
    </w:p>
    <w:p>
      <w:pPr>
        <w:ind w:right="160" w:firstLine="562"/>
        <w:spacing w:after="0" w:line="259" w:lineRule="auto"/>
        <w:rPr>
          <w:sz w:val="20"/>
          <w:szCs w:val="20"/>
          <w:color w:val="auto"/>
        </w:rPr>
      </w:pPr>
      <w:r>
        <w:rPr>
          <w:rFonts w:ascii="Arial" w:cs="Arial" w:eastAsia="Arial" w:hAnsi="Arial"/>
          <w:sz w:val="18"/>
          <w:szCs w:val="18"/>
          <w:color w:val="231F20"/>
        </w:rPr>
        <w:t>Several of the pet food brands and product lines we currently purchase and offer for sale to our customers are not offered by our closest pet specialty competitor. However, in most cases, we have not entered into formal exclusivity agreements with the vendors for such brands. In the event these vendors choose to enter into distribution arrangements with other specialty pet retailers or other competitors our sales could suffer and our business could be adversely affected.</w:t>
      </w:r>
    </w:p>
    <w:p>
      <w:pPr>
        <w:spacing w:after="0" w:line="187" w:lineRule="exact"/>
        <w:rPr>
          <w:sz w:val="20"/>
          <w:szCs w:val="20"/>
          <w:color w:val="auto"/>
        </w:rPr>
      </w:pPr>
    </w:p>
    <w:p>
      <w:pPr>
        <w:ind w:right="100" w:firstLine="562"/>
        <w:spacing w:after="0" w:line="308" w:lineRule="auto"/>
        <w:rPr>
          <w:sz w:val="20"/>
          <w:szCs w:val="20"/>
          <w:color w:val="auto"/>
        </w:rPr>
      </w:pPr>
      <w:r>
        <w:rPr>
          <w:rFonts w:ascii="Arial" w:cs="Arial" w:eastAsia="Arial" w:hAnsi="Arial"/>
          <w:sz w:val="17"/>
          <w:szCs w:val="17"/>
          <w:color w:val="231F20"/>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ind w:right="380"/>
        <w:spacing w:after="0" w:line="277" w:lineRule="auto"/>
        <w:rPr>
          <w:sz w:val="20"/>
          <w:szCs w:val="20"/>
          <w:color w:val="auto"/>
        </w:rPr>
      </w:pPr>
      <w:r>
        <w:rPr>
          <w:rFonts w:ascii="Arial" w:cs="Arial" w:eastAsia="Arial" w:hAnsi="Arial"/>
          <w:sz w:val="18"/>
          <w:szCs w:val="18"/>
          <w:b w:val="1"/>
          <w:bCs w:val="1"/>
          <w:i w:val="1"/>
          <w:iCs w:val="1"/>
          <w:color w:val="231F20"/>
        </w:rPr>
        <w:t>Fluctuations in the prices and availability of certain commodities, such as grains and meat protein, could materially adversely affect our operating results.</w:t>
      </w:r>
    </w:p>
    <w:p>
      <w:pPr>
        <w:spacing w:after="0" w:line="62" w:lineRule="exact"/>
        <w:rPr>
          <w:sz w:val="20"/>
          <w:szCs w:val="20"/>
          <w:color w:val="auto"/>
        </w:rPr>
      </w:pPr>
    </w:p>
    <w:p>
      <w:pPr>
        <w:ind w:right="40" w:firstLine="562"/>
        <w:spacing w:after="0" w:line="259" w:lineRule="auto"/>
        <w:rPr>
          <w:sz w:val="20"/>
          <w:szCs w:val="20"/>
          <w:color w:val="auto"/>
        </w:rPr>
      </w:pPr>
      <w:r>
        <w:rPr>
          <w:rFonts w:ascii="Arial" w:cs="Arial" w:eastAsia="Arial" w:hAnsi="Arial"/>
          <w:sz w:val="18"/>
          <w:szCs w:val="18"/>
          <w:color w:val="231F20"/>
        </w:rPr>
        <w:t xml:space="preserve">The pet food and supplies industry is subject to risks related to increases in the price of and the availability of certain commodities used in the production of certain pet food and other pet-related products, specifically seed, wheat, and rice, as well as other materials that are used in certain pet accessories. Additionally, increased human </w:t>
      </w:r>
      <w:r>
        <w:rPr>
          <w:rFonts w:ascii="Arial" w:cs="Arial" w:eastAsia="Arial" w:hAnsi="Arial"/>
          <w:sz w:val="18"/>
          <w:szCs w:val="18"/>
          <w:color w:val="000000"/>
        </w:rPr>
        <w:t>and/or pet</w:t>
      </w:r>
      <w:r>
        <w:rPr>
          <w:rFonts w:ascii="Arial" w:cs="Arial" w:eastAsia="Arial" w:hAnsi="Arial"/>
          <w:sz w:val="18"/>
          <w:szCs w:val="18"/>
          <w:color w:val="231F20"/>
        </w:rPr>
        <w:t xml:space="preserve"> consumption or population increases may potentially limit the supply of or increase prices for certain meat proteins used in animal feed.</w:t>
      </w:r>
    </w:p>
    <w:p>
      <w:pPr>
        <w:spacing w:after="0" w:line="187" w:lineRule="exact"/>
        <w:rPr>
          <w:sz w:val="20"/>
          <w:szCs w:val="20"/>
          <w:color w:val="auto"/>
        </w:rPr>
      </w:pPr>
    </w:p>
    <w:p>
      <w:pPr>
        <w:ind w:right="240" w:firstLine="562"/>
        <w:spacing w:after="0" w:line="301" w:lineRule="auto"/>
        <w:rPr>
          <w:sz w:val="20"/>
          <w:szCs w:val="20"/>
          <w:color w:val="auto"/>
        </w:rPr>
      </w:pPr>
      <w:r>
        <w:rPr>
          <w:rFonts w:ascii="Arial" w:cs="Arial" w:eastAsia="Arial" w:hAnsi="Arial"/>
          <w:sz w:val="16"/>
          <w:szCs w:val="16"/>
          <w:color w:val="231F20"/>
        </w:rPr>
        <w:t>Historically, in circumstances where these price increases have resulted in our manufacturers or vendors increasing the costs we pay for our food products, we have been able to pass these increases on to customers. However, our ability to pass on increased purchase costs in the future will be significantly impacted by market conditions and competitive factors. If we are unable to pass on any increased purchase costs to customers, we may experience reduced margins, which could have a material adverse effect on our business, financial condition,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Legal and Regulatory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 and our Petco Pay promotional financing program.</w:t>
      </w:r>
    </w:p>
    <w:p>
      <w:pPr>
        <w:spacing w:after="0" w:line="117" w:lineRule="exact"/>
        <w:rPr>
          <w:sz w:val="20"/>
          <w:szCs w:val="20"/>
          <w:color w:val="auto"/>
        </w:rPr>
      </w:pPr>
    </w:p>
    <w:p>
      <w:pPr>
        <w:ind w:right="160" w:firstLine="562"/>
        <w:spacing w:after="0" w:line="272" w:lineRule="auto"/>
        <w:rPr>
          <w:sz w:val="20"/>
          <w:szCs w:val="20"/>
          <w:color w:val="auto"/>
        </w:rPr>
      </w:pPr>
      <w:r>
        <w:rPr>
          <w:rFonts w:ascii="Arial" w:cs="Arial" w:eastAsia="Arial" w:hAnsi="Arial"/>
          <w:sz w:val="17"/>
          <w:szCs w:val="17"/>
          <w:color w:val="231F20"/>
        </w:rPr>
        <w:t>We currently accept payments using a variety of methods, including credit cards, debit cards, PayPal, and gift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As a merchant that accepts debit and credit cards for payment, we are subject to the Payment Card Industry (“PCI”) Data Security Standard (“PCI DSS”), issued by the PCI Council. PCI DSS contains compliance guidelines and standards with regard to our security surrounding the physical administrative and technical storage, processing, and transmission of individual cardholder data. By accepting debit cards for payment, we are also subject to compliance with American National Standards Institute data encryption standards and payment network security operating guidelines.</w:t>
      </w:r>
    </w:p>
    <w:p>
      <w:pPr>
        <w:spacing w:after="0" w:line="177" w:lineRule="exact"/>
        <w:rPr>
          <w:sz w:val="20"/>
          <w:szCs w:val="20"/>
          <w:color w:val="auto"/>
        </w:rPr>
      </w:pPr>
    </w:p>
    <w:p>
      <w:pPr>
        <w:ind w:right="60" w:firstLine="562"/>
        <w:spacing w:after="0" w:line="277" w:lineRule="auto"/>
        <w:rPr>
          <w:sz w:val="20"/>
          <w:szCs w:val="20"/>
          <w:color w:val="auto"/>
        </w:rPr>
      </w:pPr>
      <w:r>
        <w:rPr>
          <w:rFonts w:ascii="Arial" w:cs="Arial" w:eastAsia="Arial" w:hAnsi="Arial"/>
          <w:sz w:val="18"/>
          <w:szCs w:val="18"/>
          <w:color w:val="231F20"/>
        </w:rPr>
        <w:t>Failure to be PCI compliant or to meet other payment card standards may result in the imposition of financial penalties or the allocation by the card brands of the costs of fraudulent charges to us.</w:t>
      </w:r>
    </w:p>
    <w:p>
      <w:pPr>
        <w:spacing w:after="0" w:line="170" w:lineRule="exact"/>
        <w:rPr>
          <w:sz w:val="20"/>
          <w:szCs w:val="20"/>
          <w:color w:val="auto"/>
        </w:rPr>
      </w:pPr>
    </w:p>
    <w:p>
      <w:pPr>
        <w:ind w:right="180" w:firstLine="562"/>
        <w:spacing w:after="0" w:line="277" w:lineRule="auto"/>
        <w:rPr>
          <w:sz w:val="20"/>
          <w:szCs w:val="20"/>
          <w:color w:val="auto"/>
        </w:rPr>
      </w:pPr>
      <w:r>
        <w:rPr>
          <w:rFonts w:ascii="Arial" w:cs="Arial" w:eastAsia="Arial" w:hAnsi="Arial"/>
          <w:sz w:val="18"/>
          <w:szCs w:val="18"/>
          <w:color w:val="231F20"/>
        </w:rPr>
        <w:t>Additionally, the Fair and Accurate Credit Transactions Act requires systems that print payment card receipts to employ personal account number truncation so that the customer’s full account number is not viewable on the slip.</w:t>
      </w:r>
    </w:p>
    <w:p>
      <w:pPr>
        <w:spacing w:after="0" w:line="170"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231F20"/>
        </w:rPr>
        <w:t>Further, 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192" w:lineRule="exact"/>
        <w:rPr>
          <w:sz w:val="20"/>
          <w:szCs w:val="20"/>
          <w:color w:val="auto"/>
        </w:rPr>
      </w:pPr>
    </w:p>
    <w:p>
      <w:pPr>
        <w:ind w:right="40" w:firstLine="562"/>
        <w:spacing w:after="0" w:line="277" w:lineRule="auto"/>
        <w:rPr>
          <w:sz w:val="20"/>
          <w:szCs w:val="20"/>
          <w:color w:val="auto"/>
        </w:rPr>
      </w:pPr>
      <w:r>
        <w:rPr>
          <w:rFonts w:ascii="Arial" w:cs="Arial" w:eastAsia="Arial" w:hAnsi="Arial"/>
          <w:sz w:val="18"/>
          <w:szCs w:val="18"/>
          <w:color w:val="231F20"/>
        </w:rPr>
        <w:t>We also occasionally receive orders placed with fraudulent data. If we are unable to detect or control fraud, our liability for these transactions could harm our business, financial condition, and results of operations.</w:t>
      </w:r>
    </w:p>
    <w:p>
      <w:pPr>
        <w:spacing w:after="0" w:line="170"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We offer promotional financing and credit cards issued by third-party banks that manage and directly extend credit to our customers through our Petco Pay program. Customers using Petco Pay can earn rewards for making purchases on the Petco-branded credit cards or receive extended payment terms and low interest financing on qualifying purchases. We believe Petco Pay will generate incremental revenue from customers who prefer the financing terms to other available forms of payment or otherwise need access to financing in order to make purchases. In addition, we earn profit- share income and share in any losses from certain of our banking partners based on the performance of the programs. The income or loss we earn in this regard is subject to numerous factors,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right="60"/>
        <w:spacing w:after="0" w:line="286" w:lineRule="auto"/>
        <w:rPr>
          <w:sz w:val="20"/>
          <w:szCs w:val="20"/>
          <w:color w:val="auto"/>
        </w:rPr>
      </w:pPr>
      <w:r>
        <w:rPr>
          <w:rFonts w:ascii="Arial" w:cs="Arial" w:eastAsia="Arial" w:hAnsi="Arial"/>
          <w:sz w:val="17"/>
          <w:szCs w:val="17"/>
          <w:color w:val="auto"/>
        </w:rPr>
        <w:t>including the volume and value of transactions, the terms of promotional financing offers, bad debt rates, interest rates, the macroeconomic, regulatory and competitive environment, and expenses of operating the program. Adverse changes to any of these factors could impair our ability to offer Petco Pay to customers, reduce customer purchases, or impair our ability to earn income from sharing in the profits of the program.</w:t>
      </w:r>
    </w:p>
    <w:p>
      <w:pPr>
        <w:spacing w:after="0" w:line="165" w:lineRule="exact"/>
        <w:rPr>
          <w:sz w:val="20"/>
          <w:szCs w:val="20"/>
          <w:color w:val="auto"/>
        </w:rPr>
      </w:pPr>
    </w:p>
    <w:p>
      <w:pPr>
        <w:ind w:right="300" w:firstLine="562"/>
        <w:spacing w:after="0" w:line="277" w:lineRule="auto"/>
        <w:rPr>
          <w:sz w:val="20"/>
          <w:szCs w:val="20"/>
          <w:color w:val="auto"/>
        </w:rPr>
      </w:pPr>
      <w:r>
        <w:rPr>
          <w:rFonts w:ascii="Arial" w:cs="Arial" w:eastAsia="Arial" w:hAnsi="Arial"/>
          <w:sz w:val="18"/>
          <w:szCs w:val="18"/>
          <w:color w:val="auto"/>
        </w:rPr>
        <w:t>In addition, the continued economic ramifications of COVID-19 may lead to higher credit card defaults over time, which could have an adverse effect on our profitability.</w:t>
      </w:r>
    </w:p>
    <w:p>
      <w:pPr>
        <w:spacing w:after="0" w:line="31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231F20"/>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1" w:lineRule="exact"/>
        <w:rPr>
          <w:sz w:val="20"/>
          <w:szCs w:val="20"/>
          <w:color w:val="auto"/>
        </w:rPr>
      </w:pPr>
    </w:p>
    <w:p>
      <w:pPr>
        <w:ind w:firstLine="562"/>
        <w:spacing w:after="0" w:line="284" w:lineRule="auto"/>
        <w:rPr>
          <w:sz w:val="20"/>
          <w:szCs w:val="20"/>
          <w:color w:val="auto"/>
        </w:rPr>
      </w:pPr>
      <w:r>
        <w:rPr>
          <w:rFonts w:ascii="Arial" w:cs="Arial" w:eastAsia="Arial" w:hAnsi="Arial"/>
          <w:sz w:val="16"/>
          <w:szCs w:val="16"/>
          <w:color w:val="231F20"/>
        </w:rPr>
        <w:t xml:space="preserve">Our trademarks, such as Bond &amp; Co., </w:t>
      </w:r>
      <w:r>
        <w:rPr>
          <w:rFonts w:ascii="Arial" w:cs="Arial" w:eastAsia="Arial" w:hAnsi="Arial"/>
          <w:sz w:val="16"/>
          <w:szCs w:val="16"/>
          <w:color w:val="000000"/>
        </w:rPr>
        <w:t>EveryYay,</w:t>
      </w:r>
      <w:r>
        <w:rPr>
          <w:rFonts w:ascii="Arial" w:cs="Arial" w:eastAsia="Arial" w:hAnsi="Arial"/>
          <w:sz w:val="16"/>
          <w:szCs w:val="16"/>
          <w:color w:val="231F20"/>
        </w:rPr>
        <w:t xml:space="preserve"> Good 2 Go, Good Lovin’, Harmony, Imagitarium, Leaps &amp; Bounds, Pals Rewards, Petco, </w:t>
      </w:r>
      <w:r>
        <w:rPr>
          <w:rFonts w:ascii="Arial" w:cs="Arial" w:eastAsia="Arial" w:hAnsi="Arial"/>
          <w:sz w:val="16"/>
          <w:szCs w:val="16"/>
          <w:color w:val="000000"/>
        </w:rPr>
        <w:t>Petco</w:t>
      </w:r>
      <w:r>
        <w:rPr>
          <w:rFonts w:ascii="Arial" w:cs="Arial" w:eastAsia="Arial" w:hAnsi="Arial"/>
          <w:sz w:val="16"/>
          <w:szCs w:val="16"/>
          <w:color w:val="231F20"/>
        </w:rPr>
        <w:t xml:space="preserve"> </w:t>
      </w:r>
      <w:r>
        <w:rPr>
          <w:rFonts w:ascii="Arial" w:cs="Arial" w:eastAsia="Arial" w:hAnsi="Arial"/>
          <w:sz w:val="16"/>
          <w:szCs w:val="16"/>
          <w:color w:val="000000"/>
        </w:rPr>
        <w:t xml:space="preserve">Love, </w:t>
      </w:r>
      <w:r>
        <w:rPr>
          <w:rFonts w:ascii="Arial" w:cs="Arial" w:eastAsia="Arial" w:hAnsi="Arial"/>
          <w:sz w:val="16"/>
          <w:szCs w:val="16"/>
          <w:color w:val="231F20"/>
        </w:rPr>
        <w:t>PetCoach, PupBox, Reddy, Ruff &amp; Mews, So Phresh, Vetco, Well &amp; Good, WholeHearted, You &amp; Me</w:t>
      </w:r>
      <w:r>
        <w:rPr>
          <w:rFonts w:ascii="Arial" w:cs="Arial" w:eastAsia="Arial" w:hAnsi="Arial"/>
          <w:sz w:val="16"/>
          <w:szCs w:val="16"/>
          <w:color w:val="000000"/>
        </w:rPr>
        <w:t xml:space="preserve">, and Youly </w:t>
      </w:r>
      <w:r>
        <w:rPr>
          <w:rFonts w:ascii="Arial" w:cs="Arial" w:eastAsia="Arial" w:hAnsi="Arial"/>
          <w:sz w:val="16"/>
          <w:szCs w:val="16"/>
          <w:color w:val="231F20"/>
        </w:rPr>
        <w:t>are valuable assets that support our</w:t>
      </w:r>
      <w:r>
        <w:rPr>
          <w:rFonts w:ascii="Arial" w:cs="Arial" w:eastAsia="Arial" w:hAnsi="Arial"/>
          <w:sz w:val="16"/>
          <w:szCs w:val="16"/>
          <w:color w:val="000000"/>
        </w:rPr>
        <w:t xml:space="preserve"> </w:t>
      </w:r>
      <w:r>
        <w:rPr>
          <w:rFonts w:ascii="Arial" w:cs="Arial" w:eastAsia="Arial" w:hAnsi="Arial"/>
          <w:sz w:val="16"/>
          <w:szCs w:val="16"/>
          <w:color w:val="231F20"/>
        </w:rPr>
        <w:t>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 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a holding company with nominal net worth and will depend on dividends and distributions from our subsidiaries to pay any dividends.</w:t>
      </w:r>
    </w:p>
    <w:p>
      <w:pPr>
        <w:spacing w:after="0" w:line="140" w:lineRule="exact"/>
        <w:rPr>
          <w:sz w:val="20"/>
          <w:szCs w:val="20"/>
          <w:color w:val="auto"/>
        </w:rPr>
      </w:pPr>
    </w:p>
    <w:p>
      <w:pPr>
        <w:ind w:right="20" w:firstLine="562"/>
        <w:spacing w:after="0" w:line="273" w:lineRule="auto"/>
        <w:rPr>
          <w:sz w:val="20"/>
          <w:szCs w:val="20"/>
          <w:color w:val="auto"/>
        </w:rPr>
      </w:pPr>
      <w:r>
        <w:rPr>
          <w:rFonts w:ascii="Arial" w:cs="Arial" w:eastAsia="Arial" w:hAnsi="Arial"/>
          <w:sz w:val="17"/>
          <w:szCs w:val="17"/>
          <w:color w:val="231F20"/>
        </w:rPr>
        <w:t xml:space="preserve">Petco Health and Wellness Company, Inc. and </w:t>
      </w:r>
      <w:r>
        <w:rPr>
          <w:rFonts w:ascii="Arial" w:cs="Arial" w:eastAsia="Arial" w:hAnsi="Arial"/>
          <w:sz w:val="17"/>
          <w:szCs w:val="17"/>
          <w:color w:val="000000"/>
        </w:rPr>
        <w:t>certain of our subsidiaries</w:t>
      </w:r>
      <w:r>
        <w:rPr>
          <w:rFonts w:ascii="Arial" w:cs="Arial" w:eastAsia="Arial" w:hAnsi="Arial"/>
          <w:sz w:val="17"/>
          <w:szCs w:val="17"/>
          <w:color w:val="231F20"/>
        </w:rPr>
        <w:t xml:space="preserve"> are holding companies with nominal net worth. We do not have any material assets or conduct any business operations other than our investments in our subsidiaries. Our business operations are conducted primarily out of our indirect operating subsidiary, Petco Animal Supplies </w:t>
      </w:r>
      <w:r>
        <w:rPr>
          <w:rFonts w:ascii="Arial" w:cs="Arial" w:eastAsia="Arial" w:hAnsi="Arial"/>
          <w:sz w:val="17"/>
          <w:szCs w:val="17"/>
          <w:color w:val="000000"/>
        </w:rPr>
        <w:t>Stores, Inc.</w:t>
      </w:r>
      <w:r>
        <w:rPr>
          <w:rFonts w:ascii="Arial" w:cs="Arial" w:eastAsia="Arial" w:hAnsi="Arial"/>
          <w:sz w:val="17"/>
          <w:szCs w:val="17"/>
          <w:color w:val="231F20"/>
        </w:rPr>
        <w:t xml:space="preserve"> and its subsidiaries. As a result, in addition to the restrictions on payment of dividends that apply under the terms of our existing indebtedness,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231F20"/>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 xml:space="preserve">An active, liquid trading market for our Class A common stock may not </w:t>
      </w:r>
      <w:r>
        <w:rPr>
          <w:rFonts w:ascii="Arial" w:cs="Arial" w:eastAsia="Arial" w:hAnsi="Arial"/>
          <w:sz w:val="17"/>
          <w:szCs w:val="17"/>
          <w:b w:val="1"/>
          <w:bCs w:val="1"/>
          <w:i w:val="1"/>
          <w:iCs w:val="1"/>
          <w:color w:val="000000"/>
        </w:rPr>
        <w:t>be sustained</w:t>
      </w:r>
      <w:r>
        <w:rPr>
          <w:rFonts w:ascii="Arial" w:cs="Arial" w:eastAsia="Arial" w:hAnsi="Arial"/>
          <w:sz w:val="17"/>
          <w:szCs w:val="17"/>
          <w:b w:val="1"/>
          <w:bCs w:val="1"/>
          <w:i w:val="1"/>
          <w:iCs w:val="1"/>
          <w:color w:val="231F20"/>
        </w:rPr>
        <w:t>, which may limit your ability to sell your shares.</w:t>
      </w:r>
    </w:p>
    <w:p>
      <w:pPr>
        <w:spacing w:after="0" w:line="129" w:lineRule="exact"/>
        <w:rPr>
          <w:sz w:val="20"/>
          <w:szCs w:val="20"/>
          <w:color w:val="auto"/>
        </w:rPr>
      </w:pPr>
    </w:p>
    <w:p>
      <w:pPr>
        <w:ind w:firstLine="562"/>
        <w:spacing w:after="0" w:line="272" w:lineRule="auto"/>
        <w:rPr>
          <w:sz w:val="20"/>
          <w:szCs w:val="20"/>
          <w:color w:val="auto"/>
        </w:rPr>
      </w:pPr>
      <w:r>
        <w:rPr>
          <w:rFonts w:ascii="Arial" w:cs="Arial" w:eastAsia="Arial" w:hAnsi="Arial"/>
          <w:sz w:val="17"/>
          <w:szCs w:val="17"/>
          <w:color w:val="231F20"/>
        </w:rPr>
        <w:t xml:space="preserve">Prior to our initial public offering in January 2021, there was no public market for our Class A common stock. Although our Class A common stock is now listed on Nasdaq under the symbol “WOOF,” an active trading market for our shares may </w:t>
      </w:r>
      <w:r>
        <w:rPr>
          <w:rFonts w:ascii="Arial" w:cs="Arial" w:eastAsia="Arial" w:hAnsi="Arial"/>
          <w:sz w:val="17"/>
          <w:szCs w:val="17"/>
          <w:color w:val="000000"/>
        </w:rPr>
        <w:t>not</w:t>
      </w:r>
      <w:r>
        <w:rPr>
          <w:rFonts w:ascii="Arial" w:cs="Arial" w:eastAsia="Arial" w:hAnsi="Arial"/>
          <w:sz w:val="17"/>
          <w:szCs w:val="17"/>
          <w:color w:val="231F20"/>
        </w:rPr>
        <w:t xml:space="preserve"> be sustained. A public trading market having the desirable characteristics of depth, liquidity, and orderliness depends upon the existence of willing buyers and sellers at any given time, and its existence is dependent upon the individual decisions of buyers and sellers over which neither we nor any market maker has control. The failure of an active and liquid trading market to continue would likely have a material adverse effect on the value of our Class A common stock. The market price of our Class A common stock may decline. An inactive market may also impair our ability to raise capital to continue to fund operations by selling shares and may impair our ability to acquire other companies or technologies by using our shares as consideration.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9300" w:type="dxa"/>
            <w:vAlign w:val="bottom"/>
            <w:gridSpan w:val="6"/>
            <w:vMerge w:val="restart"/>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4"/>
                <w:szCs w:val="14"/>
                <w:color w:val="auto"/>
              </w:rPr>
            </w:pPr>
          </w:p>
        </w:tc>
        <w:tc>
          <w:tcPr>
            <w:tcW w:w="93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54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adopted pursuant to Section 302 of the Sarbanes-Oxley Act of 2002</w:t>
              </w:r>
            </w:hyperlink>
          </w:p>
        </w:tc>
        <w:tc>
          <w:tcPr>
            <w:tcW w:w="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99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101.INS</w:t>
            </w:r>
          </w:p>
        </w:tc>
        <w:tc>
          <w:tcPr>
            <w:tcW w:w="10160" w:type="dxa"/>
            <w:vAlign w:val="bottom"/>
            <w:gridSpan w:val="7"/>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101.SCH</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101.CAL</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101.DEF</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101.LAB</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101.PRE</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80" w:hanging="98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3" w:lineRule="exact"/>
        <w:rPr>
          <w:rFonts w:ascii="Arial" w:cs="Arial" w:eastAsia="Arial" w:hAnsi="Arial"/>
          <w:sz w:val="18"/>
          <w:szCs w:val="18"/>
          <w:color w:val="auto"/>
        </w:rPr>
      </w:pPr>
    </w:p>
    <w:p>
      <w:pPr>
        <w:ind w:left="500" w:right="240" w:hanging="499"/>
        <w:spacing w:after="0" w:line="263" w:lineRule="auto"/>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1903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480"/>
              <w:spacing w:after="0"/>
              <w:rPr>
                <w:sz w:val="20"/>
                <w:szCs w:val="20"/>
                <w:color w:val="auto"/>
              </w:rPr>
            </w:pPr>
            <w:r>
              <w:rPr>
                <w:rFonts w:ascii="Arial" w:cs="Arial" w:eastAsia="Arial" w:hAnsi="Arial"/>
                <w:sz w:val="18"/>
                <w:szCs w:val="18"/>
                <w:b w:val="1"/>
                <w:bCs w:val="1"/>
                <w:color w:val="auto"/>
              </w:rPr>
              <w:t>Petco Health and Wellness Company,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June 10, 2021</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  /s/ Michael Nuzzo</w:t>
            </w:r>
          </w:p>
        </w:tc>
      </w:tr>
      <w:tr>
        <w:trPr>
          <w:trHeight w:val="222"/>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Nuzzo</w:t>
            </w: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69"/>
        </w:trPr>
        <w:tc>
          <w:tcPr>
            <w:tcW w:w="3500" w:type="dxa"/>
            <w:vAlign w:val="bottom"/>
          </w:tcPr>
          <w:p>
            <w:pPr>
              <w:spacing w:after="0"/>
              <w:rPr>
                <w:sz w:val="24"/>
                <w:szCs w:val="24"/>
                <w:color w:val="auto"/>
              </w:rPr>
            </w:pP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Nuzzo, certify that:</w:t>
      </w:r>
    </w:p>
    <w:p>
      <w:pPr>
        <w:spacing w:after="0" w:line="22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Nuzzo</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May 1, 2021,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May 1, 2021, as filed with the Securities and Exchange Commission on the date hereof (the “Report”), I, Michael Nuzzo, Chief Financial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Nuzzo</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2021-06-10T15:37:01Z</dcterms:created>
  <dcterms:modified xsi:type="dcterms:W3CDTF">2021-06-10T15:37:01Z</dcterms:modified>
</cp:coreProperties>
</file>