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594360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55880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78740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4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7" w:lineRule="exact"/>
        <w:rPr>
          <w:sz w:val="24"/>
          <w:szCs w:val="24"/>
          <w:color w:val="auto"/>
        </w:rPr>
      </w:pPr>
    </w:p>
    <w:p>
      <w:pPr>
        <w:ind w:left="3840" w:right="1620" w:hanging="3819"/>
        <w:spacing w:after="0" w:line="306" w:lineRule="auto"/>
        <w:tabs>
          <w:tab w:leader="none" w:pos="477"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August 3,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88" w:lineRule="exact"/>
        <w:rPr>
          <w:sz w:val="24"/>
          <w:szCs w:val="24"/>
          <w:color w:val="auto"/>
        </w:rPr>
      </w:pPr>
    </w:p>
    <w:p>
      <w:pPr>
        <w:ind w:left="378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3904615</wp:posOffset>
            </wp:positionH>
            <wp:positionV relativeFrom="paragraph">
              <wp:posOffset>-5080</wp:posOffset>
            </wp:positionV>
            <wp:extent cx="3422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265"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001-39878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71120</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Petco Health and Wellness Company,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81280</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ectPr>
          <w:pgSz w:w="11900" w:h="16838" w:orient="portrait"/>
          <w:cols w:equalWidth="0" w:num="1">
            <w:col w:w="11240"/>
          </w:cols>
          <w:pgMar w:left="320" w:top="1063" w:right="339" w:bottom="1440" w:gutter="0" w:footer="0" w:header="0"/>
        </w:sectPr>
      </w:pPr>
    </w:p>
    <w:p>
      <w:pPr>
        <w:spacing w:after="0" w:line="201"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8"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spacing w:after="0" w:line="13"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4"/>
          <w:szCs w:val="14"/>
          <w:b w:val="1"/>
          <w:bCs w:val="1"/>
          <w:color w:val="auto"/>
        </w:rPr>
        <w:t>81-1005932</w:t>
      </w:r>
    </w:p>
    <w:p>
      <w:pPr>
        <w:spacing w:after="0" w:line="3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00" w:lineRule="exact"/>
        <w:rPr>
          <w:sz w:val="24"/>
          <w:szCs w:val="24"/>
          <w:color w:val="auto"/>
        </w:rPr>
      </w:pPr>
    </w:p>
    <w:p>
      <w:pPr>
        <w:sectPr>
          <w:pgSz w:w="11900" w:h="16838" w:orient="portrait"/>
          <w:cols w:equalWidth="0" w:num="2">
            <w:col w:w="7220" w:space="720"/>
            <w:col w:w="3300"/>
          </w:cols>
          <w:pgMar w:left="320" w:top="1063" w:right="339" w:bottom="1440" w:gutter="0" w:footer="0" w:header="0"/>
          <w:type w:val="continuous"/>
        </w:sectPr>
      </w:pPr>
    </w:p>
    <w:p>
      <w:pPr>
        <w:ind w:left="2080"/>
        <w:spacing w:after="0"/>
        <w:rPr>
          <w:sz w:val="20"/>
          <w:szCs w:val="20"/>
          <w:color w:val="auto"/>
        </w:rPr>
      </w:pPr>
      <w:r>
        <w:rPr>
          <w:rFonts w:ascii="Times New Roman" w:cs="Times New Roman" w:eastAsia="Times New Roman" w:hAnsi="Times New Roman"/>
          <w:sz w:val="18"/>
          <w:szCs w:val="18"/>
          <w:b w:val="1"/>
          <w:bCs w:val="1"/>
          <w:color w:val="auto"/>
        </w:rPr>
        <w:t>10850 Via Frontera</w:t>
      </w:r>
    </w:p>
    <w:p>
      <w:pPr>
        <w:spacing w:after="0" w:line="31" w:lineRule="exact"/>
        <w:rPr>
          <w:sz w:val="24"/>
          <w:szCs w:val="24"/>
          <w:color w:val="auto"/>
        </w:rPr>
      </w:pPr>
    </w:p>
    <w:p>
      <w:pPr>
        <w:ind w:left="2000"/>
        <w:spacing w:after="0"/>
        <w:tabs>
          <w:tab w:leader="none" w:pos="8200" w:val="left"/>
        </w:tabs>
        <w:rPr>
          <w:sz w:val="20"/>
          <w:szCs w:val="20"/>
          <w:color w:val="auto"/>
        </w:rPr>
      </w:pPr>
      <w:r>
        <w:rPr>
          <w:rFonts w:ascii="Times New Roman" w:cs="Times New Roman" w:eastAsia="Times New Roman" w:hAnsi="Times New Roman"/>
          <w:sz w:val="18"/>
          <w:szCs w:val="18"/>
          <w:b w:val="1"/>
          <w:bCs w:val="1"/>
          <w:color w:val="auto"/>
        </w:rPr>
        <w:t>San Diego, California</w:t>
      </w:r>
      <w:r>
        <w:rPr>
          <w:sz w:val="20"/>
          <w:szCs w:val="20"/>
          <w:color w:val="auto"/>
        </w:rPr>
        <w:tab/>
      </w:r>
      <w:r>
        <w:rPr>
          <w:rFonts w:ascii="Times New Roman" w:cs="Times New Roman" w:eastAsia="Times New Roman" w:hAnsi="Times New Roman"/>
          <w:sz w:val="17"/>
          <w:szCs w:val="17"/>
          <w:b w:val="1"/>
          <w:bCs w:val="1"/>
          <w:color w:val="auto"/>
        </w:rPr>
        <w:t>92127</w:t>
      </w:r>
    </w:p>
    <w:p>
      <w:pPr>
        <w:spacing w:after="0" w:line="15" w:lineRule="exact"/>
        <w:rPr>
          <w:sz w:val="24"/>
          <w:szCs w:val="24"/>
          <w:color w:val="auto"/>
        </w:r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64"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453-7845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79375</wp:posOffset>
            </wp:positionV>
            <wp:extent cx="1430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20" w:type="dxa"/>
            <w:vAlign w:val="bottom"/>
          </w:tcPr>
          <w:p>
            <w:pPr>
              <w:spacing w:after="0"/>
              <w:rPr>
                <w:sz w:val="13"/>
                <w:szCs w:val="13"/>
                <w:color w:val="auto"/>
              </w:rPr>
            </w:pPr>
          </w:p>
        </w:tc>
        <w:tc>
          <w:tcPr>
            <w:tcW w:w="4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6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4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Class A Common Stock, par value $0.001 per share</w:t>
            </w:r>
          </w:p>
        </w:tc>
        <w:tc>
          <w:tcPr>
            <w:tcW w:w="12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WOOF</w:t>
            </w:r>
          </w:p>
        </w:tc>
        <w:tc>
          <w:tcPr>
            <w:tcW w:w="120" w:type="dxa"/>
            <w:vAlign w:val="bottom"/>
          </w:tcPr>
          <w:p>
            <w:pPr>
              <w:spacing w:after="0"/>
              <w:rPr>
                <w:sz w:val="16"/>
                <w:szCs w:val="16"/>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The Nasdaq Stock Market LLC</w:t>
            </w:r>
          </w:p>
        </w:tc>
        <w:tc>
          <w:tcPr>
            <w:tcW w:w="0" w:type="dxa"/>
            <w:vAlign w:val="bottom"/>
          </w:tcPr>
          <w:p>
            <w:pPr>
              <w:spacing w:after="0"/>
              <w:rPr>
                <w:sz w:val="1"/>
                <w:szCs w:val="1"/>
                <w:color w:val="auto"/>
              </w:rPr>
            </w:pPr>
          </w:p>
        </w:tc>
      </w:tr>
    </w:tbl>
    <w:p>
      <w:pPr>
        <w:spacing w:after="0" w:line="31" w:lineRule="exact"/>
        <w:rPr>
          <w:sz w:val="24"/>
          <w:szCs w:val="24"/>
          <w:color w:val="auto"/>
        </w:rPr>
      </w:pPr>
    </w:p>
    <w:p>
      <w:pPr>
        <w:jc w:val="both"/>
        <w:ind w:right="2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420"/>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140"/>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47" w:lineRule="exact"/>
        <w:rPr>
          <w:sz w:val="24"/>
          <w:szCs w:val="24"/>
          <w:color w:val="auto"/>
        </w:rPr>
      </w:pPr>
    </w:p>
    <w:p>
      <w:pPr>
        <w:ind w:right="600"/>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7540" w:val="left"/>
          <w:tab w:leader="none" w:pos="81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9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the registrant’s Class A Common Stock outstanding as of September 6, 2024 was 236,566,841.</w:t>
      </w:r>
    </w:p>
    <w:p>
      <w:pPr>
        <w:spacing w:after="0" w:line="7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the registrant’s Class B-1 Common Stock outstanding as of September 6, 2024 was 37,790,781.</w:t>
      </w:r>
    </w:p>
    <w:p>
      <w:pPr>
        <w:spacing w:after="0" w:line="7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the registrant’s Class B-2 Common Stock outstanding as of September 6, 2024 was 37,790,781.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923925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76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r>
      <w:tr>
        <w:trPr>
          <w:trHeight w:val="377"/>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FINANCIAL INFORMATION</w:t>
            </w:r>
          </w:p>
        </w:tc>
        <w:tc>
          <w:tcPr>
            <w:tcW w:w="20" w:type="dxa"/>
            <w:vAlign w:val="bottom"/>
            <w:tcBorders>
              <w:bottom w:val="single" w:sz="8" w:color="0000EE"/>
            </w:tcBorders>
          </w:tcPr>
          <w:p>
            <w:pPr>
              <w:spacing w:after="0"/>
              <w:rPr>
                <w:sz w:val="24"/>
                <w:szCs w:val="24"/>
                <w:color w:val="auto"/>
              </w:rPr>
            </w:pPr>
          </w:p>
        </w:tc>
        <w:tc>
          <w:tcPr>
            <w:tcW w:w="702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3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0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20" w:type="dxa"/>
            <w:vAlign w:val="bottom"/>
            <w:tcBorders>
              <w:top w:val="single" w:sz="8" w:color="0000FF"/>
              <w:bottom w:val="single" w:sz="8" w:color="0000EE"/>
            </w:tcBorders>
          </w:tcPr>
          <w:p>
            <w:pPr>
              <w:spacing w:after="0"/>
              <w:rPr>
                <w:sz w:val="18"/>
                <w:szCs w:val="18"/>
                <w:color w:val="auto"/>
              </w:rPr>
            </w:pPr>
          </w:p>
        </w:tc>
        <w:tc>
          <w:tcPr>
            <w:tcW w:w="300" w:type="dxa"/>
            <w:vAlign w:val="bottom"/>
            <w:tcBorders>
              <w:top w:val="single" w:sz="8" w:color="0000FF"/>
            </w:tcBorders>
            <w:gridSpan w:val="4"/>
          </w:tcPr>
          <w:p>
            <w:pPr>
              <w:spacing w:after="0"/>
              <w:rPr>
                <w:sz w:val="18"/>
                <w:szCs w:val="18"/>
                <w:color w:val="auto"/>
              </w:rPr>
            </w:pPr>
          </w:p>
        </w:tc>
        <w:tc>
          <w:tcPr>
            <w:tcW w:w="688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20" w:type="dxa"/>
            <w:vAlign w:val="bottom"/>
            <w:tcBorders>
              <w:bottom w:val="single" w:sz="8" w:color="0000EE"/>
            </w:tcBorders>
          </w:tcPr>
          <w:p>
            <w:pPr>
              <w:spacing w:after="0"/>
              <w:rPr>
                <w:sz w:val="18"/>
                <w:szCs w:val="18"/>
                <w:color w:val="auto"/>
              </w:rPr>
            </w:pPr>
          </w:p>
        </w:tc>
        <w:tc>
          <w:tcPr>
            <w:tcW w:w="646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Loss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4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Equity</w:t>
            </w:r>
          </w:p>
        </w:tc>
        <w:tc>
          <w:tcPr>
            <w:tcW w:w="576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5"/>
            <w:shd w:val="clear" w:color="auto" w:fill="0000FF"/>
          </w:tcPr>
          <w:p>
            <w:pPr>
              <w:spacing w:after="0" w:line="20" w:lineRule="exact"/>
              <w:rPr>
                <w:sz w:val="1"/>
                <w:szCs w:val="1"/>
                <w:color w:val="auto"/>
              </w:rPr>
            </w:pPr>
          </w:p>
        </w:tc>
        <w:tc>
          <w:tcPr>
            <w:tcW w:w="200" w:type="dxa"/>
            <w:vAlign w:val="bottom"/>
            <w:tcBorders>
              <w:right w:val="single" w:sz="8" w:color="0000EE"/>
            </w:tcBorders>
            <w:gridSpan w:val="2"/>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42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Notes to Unaudited Consolidated 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5"/>
            <w:shd w:val="clear" w:color="auto" w:fill="0000FF"/>
          </w:tcPr>
          <w:p>
            <w:pPr>
              <w:spacing w:after="0" w:line="20" w:lineRule="exact"/>
              <w:rPr>
                <w:sz w:val="1"/>
                <w:szCs w:val="1"/>
                <w:color w:val="auto"/>
              </w:rPr>
            </w:pPr>
          </w:p>
        </w:tc>
        <w:tc>
          <w:tcPr>
            <w:tcW w:w="1640" w:type="dxa"/>
            <w:vAlign w:val="bottom"/>
            <w:tcBorders>
              <w:right w:val="single" w:sz="8" w:color="0000EE"/>
            </w:tcBorders>
            <w:gridSpan w:val="7"/>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94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8"/>
                <w:szCs w:val="18"/>
                <w:color w:val="auto"/>
              </w:rPr>
            </w:pPr>
          </w:p>
        </w:tc>
        <w:tc>
          <w:tcPr>
            <w:tcW w:w="7500" w:type="dxa"/>
            <w:vAlign w:val="bottom"/>
            <w:gridSpan w:val="1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3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3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3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40" w:type="dxa"/>
            <w:vAlign w:val="bottom"/>
            <w:tcBorders>
              <w:top w:val="single" w:sz="8" w:color="0000FF"/>
            </w:tcBorders>
            <w:gridSpan w:val="3"/>
          </w:tcPr>
          <w:p>
            <w:pPr>
              <w:spacing w:after="0"/>
              <w:rPr>
                <w:sz w:val="24"/>
                <w:szCs w:val="24"/>
                <w:color w:val="auto"/>
              </w:rPr>
            </w:pPr>
          </w:p>
        </w:tc>
        <w:tc>
          <w:tcPr>
            <w:tcW w:w="7420" w:type="dxa"/>
            <w:vAlign w:val="bottom"/>
            <w:gridSpan w:val="16"/>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18"/>
                <w:szCs w:val="18"/>
                <w:color w:val="auto"/>
              </w:rPr>
            </w:pPr>
          </w:p>
        </w:tc>
        <w:tc>
          <w:tcPr>
            <w:tcW w:w="8360" w:type="dxa"/>
            <w:vAlign w:val="bottom"/>
            <w:gridSpan w:val="21"/>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96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7"/>
          </w:tcPr>
          <w:p>
            <w:pPr>
              <w:spacing w:after="0"/>
              <w:rPr>
                <w:sz w:val="18"/>
                <w:szCs w:val="18"/>
                <w:color w:val="auto"/>
              </w:rPr>
            </w:pPr>
          </w:p>
        </w:tc>
        <w:tc>
          <w:tcPr>
            <w:tcW w:w="698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980" w:type="dxa"/>
            <w:vAlign w:val="bottom"/>
            <w:gridSpan w:val="20"/>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897"/>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460" w:type="dxa"/>
            <w:vAlign w:val="bottom"/>
            <w:gridSpan w:val="23"/>
          </w:tcPr>
          <w:p>
            <w:pPr>
              <w:ind w:left="4420"/>
              <w:spacing w:after="0"/>
              <w:rPr>
                <w:sz w:val="20"/>
                <w:szCs w:val="20"/>
                <w:color w:val="auto"/>
              </w:rPr>
            </w:pPr>
            <w:r>
              <w:rPr>
                <w:rFonts w:ascii="Times New Roman" w:cs="Times New Roman" w:eastAsia="Times New Roman" w:hAnsi="Times New Roman"/>
                <w:sz w:val="18"/>
                <w:szCs w:val="18"/>
                <w:color w:val="auto"/>
              </w:rPr>
              <w:t>1</w:t>
            </w:r>
          </w:p>
        </w:tc>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762"/>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82"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(this “Form 10-Q”) contains “forward-looking statements” within the meaning of the Private Securities Litigation Reform Act of 1995 as contained in Section 27A of the Securities Act of 1933, as amended, and Section 21E of the Securities Exchange Act of 1934, as amended, concerning expectations, beliefs, plans, objectives, goals, strategies, future events or performance, and underlying assumptions and other statements that are not statements of historical fact, including, but not limited to, statements regarding: our expectations with respect to our revenue, expenses, profitability, and other operating results; our growth plans; our ability to compete effectively in the markets in which we participate; the execution on our transformation initiatives; and the impact of certain macroeconomic factors, including inflationary and interest rate pressures, consumer spending patterns, global supply chain constraints, and global economic and geopolitical developments, on our business. Forward-looking and other statements in this Form 10-Q may also address our progress, plans, and goals with respect to sustainability initiatives, and the inclusion of such statements is not an indication that these contents are necessarily material to investors or required to be disclosed in our filings with the U.S. Securities and Exchange Commission (the “SEC”). Such plans and goals may change, and statements regarding such plans and goals are not guarantees or promises that they will be met. In addition, historical, current, and forward-looking sustainability-related statements may be based on standards for measuring progress that are still developing, internal controls and processes that continue to evolve, and assumptions that are subject to change in the future.</w:t>
      </w:r>
    </w:p>
    <w:p>
      <w:pPr>
        <w:spacing w:after="0" w:line="78" w:lineRule="exact"/>
        <w:rPr>
          <w:sz w:val="20"/>
          <w:szCs w:val="20"/>
          <w:color w:val="auto"/>
        </w:rPr>
      </w:pPr>
    </w:p>
    <w:p>
      <w:pPr>
        <w:ind w:right="180" w:firstLine="749"/>
        <w:spacing w:after="0" w:line="272" w:lineRule="auto"/>
        <w:rPr>
          <w:sz w:val="20"/>
          <w:szCs w:val="20"/>
          <w:color w:val="auto"/>
        </w:rPr>
      </w:pPr>
      <w:r>
        <w:rPr>
          <w:rFonts w:ascii="Times New Roman" w:cs="Times New Roman" w:eastAsia="Times New Roman" w:hAnsi="Times New Roman"/>
          <w:sz w:val="17"/>
          <w:szCs w:val="17"/>
          <w:color w:val="auto"/>
        </w:rPr>
        <w:t>Such forward-looking statements can generally be identified by the use of forward-looking terms such as “believes,” “expects,” “may,” “intends,” “will,” “shall,” “should,” “anticipates,” “opportunity,” “illustrative”, or the negative thereof or other variations thereon or comparable terminology. Although we believe that the expectations and assumptions reflected in these statements are reasonable, there can be no assurance that these expectations will prove to be correct or that any forward-looking results will occur or be realized. Nothing contained in this Form 10-Q is, or should be relied upon as, a promise or representation or warranty as to any future matter, including any matter in respect of our operations or business or financial condition. All forward-looking statements are based on current expectations and assumptions about future events that may or may not be correct or necessarily take place and that are by their nature subject to significant uncertainties and contingencies, many of which are outside of our control.</w:t>
      </w:r>
    </w:p>
    <w:p>
      <w:pPr>
        <w:spacing w:after="0" w:line="67"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Forward-looking statements are subject to many risks, uncertainties and other factors that could cause actual results or events to differ materially from the potential results or events discussed in such forward-looking statements, including, without limitation, those identified in this Form 10-Q as well as the following: (i) increased competition (including from multi-channel retailers, mass and grocery retailers, and e-Commerce providers); (ii) reduced consumer demand for our products and/or services; (iii) our reliance on key vendors; (iv) our ability to attract and retain qualified employees; (v) risks arising from statutory, regulatory, and/or legal developments; (vi) macroeconomic pressures in the markets in which we operate, including inflation and prevailing interest rates; (vii) failure to effectively manage our costs; (viii) our reliance on our information technology systems; (ix) our ability to prevent or effectively respond to a data privacy or security breach; (x) our ability to effectively manage or integrate strategic ventures, alliances, or acquisitions and realize the anticipated benefits of such transactions; (xi) economic or regulatory developments that might affect our ability to provide attractive promotional financing; (xii) business interruptions and other supply chain issues; (xiii) catastrophic events, political tensions, conflicts and wars (such as the ongoing conflicts in Ukraine and the Middle East), health crises, and pandemics; (xiv) our ability to maintain positive brand perception and recognition; (xv) product safety and quality concerns; (xvi) changes to labor or employment laws or regulations; (xvii) our ability to effectively manage our real estate portfolio; (xviii) constraints in the capital markets or our vendor credit terms; (xix) changes in our credit ratings; (xx) impairments of the carrying value of our goodwill and other intangible assets; (xxi) our ability to successfully implement our operational adjustments, achieve the expected benefits of our cost action plans, and drive improved profitability; and (xxii) the other risks, uncertainties and other factors referred to under “Risk Factors” and identified elsewhere in this Form 10-Q and our other filings with the SEC. The occurrence of any such factors could significantly alter the results set forth in these statements.</w:t>
      </w:r>
    </w:p>
    <w:p>
      <w:pPr>
        <w:spacing w:after="0" w:line="136" w:lineRule="exact"/>
        <w:rPr>
          <w:sz w:val="20"/>
          <w:szCs w:val="20"/>
          <w:color w:val="auto"/>
        </w:rPr>
      </w:pPr>
    </w:p>
    <w:p>
      <w:pPr>
        <w:ind w:right="140" w:firstLine="749"/>
        <w:spacing w:after="0" w:line="265" w:lineRule="auto"/>
        <w:rPr>
          <w:sz w:val="20"/>
          <w:szCs w:val="20"/>
          <w:color w:val="auto"/>
        </w:rPr>
      </w:pPr>
      <w:r>
        <w:rPr>
          <w:rFonts w:ascii="Times New Roman" w:cs="Times New Roman" w:eastAsia="Times New Roman" w:hAnsi="Times New Roman"/>
          <w:sz w:val="18"/>
          <w:szCs w:val="18"/>
          <w:color w:val="auto"/>
        </w:rPr>
        <w:t>We caution that the foregoing list of risks, uncertainties and other factors is not complete, and forward-looking statements speak only as of the date they are made. We undertake no duty to update publicly any such forward-looking statement, whether as a result of new information, future events or otherwise, except as may be required by applicable law, regulation or other competent legal authority.</w:t>
      </w:r>
    </w:p>
    <w:p>
      <w:pPr>
        <w:spacing w:after="0" w:line="69" w:lineRule="exact"/>
        <w:rPr>
          <w:sz w:val="20"/>
          <w:szCs w:val="20"/>
          <w:color w:val="auto"/>
        </w:rPr>
      </w:pPr>
    </w:p>
    <w:p>
      <w:pPr>
        <w:jc w:val="both"/>
        <w:ind w:right="100" w:firstLine="749"/>
        <w:spacing w:after="0" w:line="265" w:lineRule="auto"/>
        <w:rPr>
          <w:sz w:val="20"/>
          <w:szCs w:val="20"/>
          <w:color w:val="auto"/>
        </w:rPr>
      </w:pPr>
      <w:r>
        <w:rPr>
          <w:rFonts w:ascii="Times New Roman" w:cs="Times New Roman" w:eastAsia="Times New Roman" w:hAnsi="Times New Roman"/>
          <w:sz w:val="18"/>
          <w:szCs w:val="18"/>
          <w:color w:val="auto"/>
        </w:rPr>
        <w:t>In addition, statements such as “we believe” and similar statements reflect our beliefs and opinions on the relevant subject. These statements are based on information available to us as of the date of this Form 10-Q. While we believe that information provides a reasonable basis for these statements, that information may be limited or</w:t>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8" w:right="359" w:bottom="1440" w:gutter="0" w:footer="0" w:header="0"/>
        </w:sectPr>
      </w:pPr>
    </w:p>
    <w:bookmarkStart w:id="3" w:name="page4"/>
    <w:bookmarkEnd w:id="3"/>
    <w:p>
      <w:pPr>
        <w:spacing w:after="0" w:line="281" w:lineRule="auto"/>
        <w:rPr>
          <w:sz w:val="20"/>
          <w:szCs w:val="20"/>
          <w:color w:val="auto"/>
        </w:rPr>
      </w:pPr>
      <w:r>
        <w:rPr>
          <w:rFonts w:ascii="Times New Roman" w:cs="Times New Roman" w:eastAsia="Times New Roman" w:hAnsi="Times New Roman"/>
          <w:sz w:val="18"/>
          <w:szCs w:val="18"/>
          <w:color w:val="auto"/>
        </w:rPr>
        <w:t>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200" w:lineRule="exact"/>
        <w:rPr>
          <w:sz w:val="20"/>
          <w:szCs w:val="20"/>
          <w:color w:val="auto"/>
        </w:rPr>
      </w:pPr>
    </w:p>
    <w:p>
      <w:pPr>
        <w:spacing w:after="0" w:line="28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46" w:right="4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w w:val="98"/>
              </w:rPr>
              <w:t>August 3,</w:t>
            </w:r>
          </w:p>
        </w:tc>
        <w:tc>
          <w:tcPr>
            <w:tcW w:w="280" w:type="dxa"/>
            <w:vAlign w:val="bottom"/>
          </w:tcPr>
          <w:p>
            <w:pPr>
              <w:spacing w:after="0"/>
              <w:rPr>
                <w:sz w:val="12"/>
                <w:szCs w:val="12"/>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February 3,</w:t>
            </w:r>
          </w:p>
        </w:tc>
        <w:tc>
          <w:tcPr>
            <w:tcW w:w="0" w:type="dxa"/>
            <w:vAlign w:val="bottom"/>
          </w:tcPr>
          <w:p>
            <w:pPr>
              <w:spacing w:after="0"/>
              <w:rPr>
                <w:sz w:val="1"/>
                <w:szCs w:val="1"/>
                <w:color w:val="auto"/>
              </w:rPr>
            </w:pPr>
          </w:p>
        </w:tc>
      </w:tr>
      <w:tr>
        <w:trPr>
          <w:trHeight w:val="167"/>
        </w:trPr>
        <w:tc>
          <w:tcPr>
            <w:tcW w:w="77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209"/>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center"/>
              <w:ind w:right="209"/>
              <w:spacing w:after="0"/>
              <w:rPr>
                <w:sz w:val="20"/>
                <w:szCs w:val="20"/>
                <w:color w:val="auto"/>
              </w:rPr>
            </w:pPr>
            <w:r>
              <w:rPr>
                <w:rFonts w:ascii="Times New Roman" w:cs="Times New Roman" w:eastAsia="Times New Roman" w:hAnsi="Times New Roman"/>
                <w:sz w:val="14"/>
                <w:szCs w:val="14"/>
                <w:color w:val="auto"/>
              </w:rPr>
              <w:t>(Unaudited)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127,620</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125,428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Receivables, less allowance for credit losses ($1,859 and $1,806, respectively)</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47,035</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Merchandise inventories, net</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672,328</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684,502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Prepaid expenses</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59,758</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current assets</w:t>
            </w:r>
          </w:p>
        </w:tc>
        <w:tc>
          <w:tcPr>
            <w:tcW w:w="28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35,152</w:t>
            </w:r>
          </w:p>
        </w:tc>
        <w:tc>
          <w:tcPr>
            <w:tcW w:w="2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38,830</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current assets</w:t>
            </w: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941,893</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951,744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Fixed assets</w:t>
            </w:r>
          </w:p>
        </w:tc>
        <w:tc>
          <w:tcPr>
            <w:tcW w:w="28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2,206,885</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2,173,015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280" w:type="dxa"/>
            <w:vAlign w:val="bottom"/>
          </w:tcPr>
          <w:p>
            <w:pPr>
              <w:spacing w:after="0"/>
              <w:rPr>
                <w:sz w:val="15"/>
                <w:szCs w:val="15"/>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(1,447,180 )</w:t>
            </w:r>
          </w:p>
        </w:tc>
        <w:tc>
          <w:tcPr>
            <w:tcW w:w="28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(1,356,648 )</w:t>
            </w:r>
          </w:p>
        </w:tc>
        <w:tc>
          <w:tcPr>
            <w:tcW w:w="0" w:type="dxa"/>
            <w:vAlign w:val="bottom"/>
          </w:tcPr>
          <w:p>
            <w:pPr>
              <w:spacing w:after="0"/>
              <w:rPr>
                <w:sz w:val="1"/>
                <w:szCs w:val="1"/>
                <w:color w:val="auto"/>
              </w:rPr>
            </w:pPr>
          </w:p>
        </w:tc>
      </w:tr>
      <w:tr>
        <w:trPr>
          <w:trHeight w:val="169"/>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Fixed assets, net</w:t>
            </w:r>
          </w:p>
        </w:tc>
        <w:tc>
          <w:tcPr>
            <w:tcW w:w="280" w:type="dxa"/>
            <w:vAlign w:val="bottom"/>
            <w:tcBorders>
              <w:top w:val="single" w:sz="8" w:color="auto"/>
            </w:tcBorders>
            <w:shd w:val="clear" w:color="auto" w:fill="CFF0FC"/>
          </w:tcPr>
          <w:p>
            <w:pPr>
              <w:spacing w:after="0"/>
              <w:rPr>
                <w:sz w:val="14"/>
                <w:szCs w:val="14"/>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759,705</w:t>
            </w:r>
          </w:p>
        </w:tc>
        <w:tc>
          <w:tcPr>
            <w:tcW w:w="26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816,367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1,368,740</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1,384,050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980,064</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980,297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 name</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1,025,000</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long-term assets</w:t>
            </w:r>
          </w:p>
        </w:tc>
        <w:tc>
          <w:tcPr>
            <w:tcW w:w="28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201,245</w:t>
            </w:r>
          </w:p>
        </w:tc>
        <w:tc>
          <w:tcPr>
            <w:tcW w:w="2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205,694</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assets</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5,276,647</w:t>
            </w:r>
          </w:p>
        </w:tc>
        <w:tc>
          <w:tcPr>
            <w:tcW w:w="260" w:type="dxa"/>
            <w:vAlign w:val="bottom"/>
          </w:tcPr>
          <w:p>
            <w:pPr>
              <w:spacing w:after="0"/>
              <w:rPr>
                <w:sz w:val="14"/>
                <w:szCs w:val="14"/>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5,363,152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0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LIABILITIES AND EQUITY</w:t>
            </w:r>
          </w:p>
        </w:tc>
        <w:tc>
          <w:tcPr>
            <w:tcW w:w="28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Accounts payable and book overdrafts</w:t>
            </w:r>
          </w:p>
        </w:tc>
        <w:tc>
          <w:tcPr>
            <w:tcW w:w="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474,496</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485,131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Accrued salaries and employee benefits</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135,235</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196,518</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200,278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306,507</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310,507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Current portion of long-term debt and other lease liabilities</w:t>
            </w:r>
          </w:p>
        </w:tc>
        <w:tc>
          <w:tcPr>
            <w:tcW w:w="28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5,095</w:t>
            </w:r>
          </w:p>
        </w:tc>
        <w:tc>
          <w:tcPr>
            <w:tcW w:w="2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15,962</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1,117,851</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1,113,143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Senior secured credit facilities, net, excluding current portion</w:t>
            </w:r>
          </w:p>
        </w:tc>
        <w:tc>
          <w:tcPr>
            <w:tcW w:w="28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1,575,630</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1,576,223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 excluding current portion</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1,104,709</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1,116,615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Deferred taxes, net</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219,574</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251,629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127,400</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121,113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liabilities</w:t>
            </w:r>
          </w:p>
        </w:tc>
        <w:tc>
          <w:tcPr>
            <w:tcW w:w="28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4,145,164</w:t>
            </w:r>
          </w:p>
        </w:tc>
        <w:tc>
          <w:tcPr>
            <w:tcW w:w="26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4,178,723</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(Notes 3 and 7)</w:t>
            </w: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70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Class A common stock, $0.001 par value: Authorized - 1.0 billion shares;</w:t>
            </w:r>
          </w:p>
        </w:tc>
        <w:tc>
          <w:tcPr>
            <w:tcW w:w="28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Issued and outstanding - 235.8 million and 231.2 million shares, respectively</w:t>
            </w:r>
          </w:p>
        </w:tc>
        <w:tc>
          <w:tcPr>
            <w:tcW w:w="28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70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Class B-1 common stock, $0.001 par value: Authorized - 75.0 million shares;</w:t>
            </w:r>
          </w:p>
        </w:tc>
        <w:tc>
          <w:tcPr>
            <w:tcW w:w="280" w:type="dxa"/>
            <w:vAlign w:val="bottom"/>
            <w:shd w:val="clear" w:color="auto" w:fill="CFF0FC"/>
          </w:tcPr>
          <w:p>
            <w:pPr>
              <w:spacing w:after="0"/>
              <w:rPr>
                <w:sz w:val="12"/>
                <w:szCs w:val="12"/>
                <w:color w:val="auto"/>
              </w:rPr>
            </w:pP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Issued and outstanding - 37.8 million shares</w:t>
            </w:r>
          </w:p>
        </w:tc>
        <w:tc>
          <w:tcPr>
            <w:tcW w:w="280" w:type="dxa"/>
            <w:vAlign w:val="bottom"/>
            <w:shd w:val="clear" w:color="auto" w:fill="CFF0FC"/>
          </w:tcPr>
          <w:p>
            <w:pPr>
              <w:spacing w:after="0"/>
              <w:rPr>
                <w:sz w:val="16"/>
                <w:szCs w:val="16"/>
                <w:color w:val="auto"/>
              </w:rPr>
            </w:pPr>
          </w:p>
        </w:tc>
        <w:tc>
          <w:tcPr>
            <w:tcW w:w="132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70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Class B-2 common stock, $0.000001 par value: Authorized - 75.0 million shares;</w:t>
            </w:r>
          </w:p>
        </w:tc>
        <w:tc>
          <w:tcPr>
            <w:tcW w:w="280" w:type="dxa"/>
            <w:vAlign w:val="bottom"/>
          </w:tcPr>
          <w:p>
            <w:pPr>
              <w:spacing w:after="0"/>
              <w:rPr>
                <w:sz w:val="12"/>
                <w:szCs w:val="12"/>
                <w:color w:val="auto"/>
              </w:rPr>
            </w:pPr>
          </w:p>
        </w:tc>
        <w:tc>
          <w:tcPr>
            <w:tcW w:w="15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7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Issued and outstanding - 37.8 million shares</w:t>
            </w:r>
          </w:p>
        </w:tc>
        <w:tc>
          <w:tcPr>
            <w:tcW w:w="28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70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Preferred stock, $0.001 par value: Authorized - 25.0 million shares;</w:t>
            </w:r>
          </w:p>
        </w:tc>
        <w:tc>
          <w:tcPr>
            <w:tcW w:w="280" w:type="dxa"/>
            <w:vAlign w:val="bottom"/>
            <w:shd w:val="clear" w:color="auto" w:fill="CFF0FC"/>
          </w:tcPr>
          <w:p>
            <w:pPr>
              <w:spacing w:after="0"/>
              <w:rPr>
                <w:sz w:val="12"/>
                <w:szCs w:val="12"/>
                <w:color w:val="auto"/>
              </w:rPr>
            </w:pPr>
          </w:p>
        </w:tc>
        <w:tc>
          <w:tcPr>
            <w:tcW w:w="158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14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7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Issued and outstanding - none</w:t>
            </w:r>
          </w:p>
        </w:tc>
        <w:tc>
          <w:tcPr>
            <w:tcW w:w="280" w:type="dxa"/>
            <w:vAlign w:val="bottom"/>
            <w:shd w:val="clear" w:color="auto" w:fill="CFF0FC"/>
          </w:tcPr>
          <w:p>
            <w:pPr>
              <w:spacing w:after="0"/>
              <w:rPr>
                <w:sz w:val="16"/>
                <w:szCs w:val="16"/>
                <w:color w:val="auto"/>
              </w:rPr>
            </w:pPr>
          </w:p>
        </w:tc>
        <w:tc>
          <w:tcPr>
            <w:tcW w:w="1580" w:type="dxa"/>
            <w:vAlign w:val="bottom"/>
            <w:gridSpan w:val="2"/>
            <w:vMerge w:val="continue"/>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Additional paid-in-capital</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2,260,381</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2,229,582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Accumulated deficit</w:t>
            </w:r>
          </w:p>
        </w:tc>
        <w:tc>
          <w:tcPr>
            <w:tcW w:w="28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(1,118,549 )</w:t>
            </w:r>
          </w:p>
        </w:tc>
        <w:tc>
          <w:tcPr>
            <w:tcW w:w="2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(1,047,243 )</w:t>
            </w: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Accumulated other comprehensive (loss) income</w:t>
            </w:r>
          </w:p>
        </w:tc>
        <w:tc>
          <w:tcPr>
            <w:tcW w:w="280" w:type="dxa"/>
            <w:vAlign w:val="bottom"/>
          </w:tcPr>
          <w:p>
            <w:pPr>
              <w:spacing w:after="0"/>
              <w:rPr>
                <w:sz w:val="15"/>
                <w:szCs w:val="15"/>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(10,623 )</w:t>
            </w: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1,131,483</w:t>
            </w:r>
          </w:p>
        </w:tc>
        <w:tc>
          <w:tcPr>
            <w:tcW w:w="26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1,184,429</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5,276,647</w:t>
            </w:r>
          </w:p>
        </w:tc>
        <w:tc>
          <w:tcPr>
            <w:tcW w:w="260" w:type="dxa"/>
            <w:vAlign w:val="bottom"/>
          </w:tcPr>
          <w:p>
            <w:pPr>
              <w:spacing w:after="0"/>
              <w:rPr>
                <w:sz w:val="14"/>
                <w:szCs w:val="14"/>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5,363,152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-4186555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-4186555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-3270250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-3270250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-2345690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-2345690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-1651635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-1651635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-144780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 (Unaudited)</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00" w:type="dxa"/>
            <w:vAlign w:val="bottom"/>
          </w:tcPr>
          <w:p>
            <w:pPr>
              <w:spacing w:after="0"/>
              <w:rPr>
                <w:sz w:val="16"/>
                <w:szCs w:val="16"/>
                <w:color w:val="auto"/>
              </w:rPr>
            </w:pPr>
          </w:p>
        </w:tc>
        <w:tc>
          <w:tcPr>
            <w:tcW w:w="242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31"/>
        </w:trPr>
        <w:tc>
          <w:tcPr>
            <w:tcW w:w="58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540"/>
              <w:spacing w:after="0" w:line="131"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232"/>
              <w:spacing w:after="0" w:line="131" w:lineRule="exact"/>
              <w:rPr>
                <w:sz w:val="20"/>
                <w:szCs w:val="20"/>
                <w:color w:val="auto"/>
              </w:rPr>
            </w:pPr>
            <w:r>
              <w:rPr>
                <w:rFonts w:ascii="Times New Roman" w:cs="Times New Roman" w:eastAsia="Times New Roman" w:hAnsi="Times New Roman"/>
                <w:sz w:val="14"/>
                <w:szCs w:val="14"/>
                <w:b w:val="1"/>
                <w:bCs w:val="1"/>
                <w:color w:val="auto"/>
              </w:rPr>
              <w:t>July 29,</w:t>
            </w:r>
          </w:p>
        </w:tc>
        <w:tc>
          <w:tcPr>
            <w:tcW w:w="2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right"/>
              <w:ind w:right="430"/>
              <w:spacing w:after="0" w:line="131"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252"/>
              <w:spacing w:after="0" w:line="131" w:lineRule="exact"/>
              <w:rPr>
                <w:sz w:val="20"/>
                <w:szCs w:val="20"/>
                <w:color w:val="auto"/>
              </w:rPr>
            </w:pPr>
            <w:r>
              <w:rPr>
                <w:rFonts w:ascii="Times New Roman" w:cs="Times New Roman" w:eastAsia="Times New Roman" w:hAnsi="Times New Roman"/>
                <w:sz w:val="14"/>
                <w:szCs w:val="14"/>
                <w:b w:val="1"/>
                <w:bCs w:val="1"/>
                <w:color w:val="auto"/>
              </w:rPr>
              <w:t>July 29,</w:t>
            </w:r>
          </w:p>
        </w:tc>
        <w:tc>
          <w:tcPr>
            <w:tcW w:w="100" w:type="dxa"/>
            <w:vAlign w:val="bottom"/>
          </w:tcPr>
          <w:p>
            <w:pPr>
              <w:spacing w:after="0"/>
              <w:rPr>
                <w:sz w:val="11"/>
                <w:szCs w:val="11"/>
                <w:color w:val="auto"/>
              </w:rPr>
            </w:pPr>
          </w:p>
        </w:tc>
      </w:tr>
      <w:tr>
        <w:trPr>
          <w:trHeight w:val="187"/>
        </w:trPr>
        <w:tc>
          <w:tcPr>
            <w:tcW w:w="5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1,263,749</w:t>
            </w:r>
          </w:p>
        </w:tc>
        <w:tc>
          <w:tcPr>
            <w:tcW w:w="26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1,278,598</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2,543,480</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2,595,194</w:t>
            </w: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Services and other</w:t>
            </w:r>
          </w:p>
        </w:tc>
        <w:tc>
          <w:tcPr>
            <w:tcW w:w="2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260,006</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252,136</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509,415</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491,448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net sales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1,523,755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1,530,734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3,052,895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3,086,642</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787,103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789,091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1,579,825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1,594,850</w:t>
            </w: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Services and other</w:t>
            </w:r>
          </w:p>
        </w:tc>
        <w:tc>
          <w:tcPr>
            <w:tcW w:w="2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155,927</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148,639</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313,685</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294,306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cost of sales</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943,030</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937,730</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1,893,510</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1,889,156</w:t>
            </w:r>
          </w:p>
        </w:tc>
        <w:tc>
          <w:tcPr>
            <w:tcW w:w="100" w:type="dxa"/>
            <w:vAlign w:val="bottom"/>
          </w:tcPr>
          <w:p>
            <w:pPr>
              <w:spacing w:after="0"/>
              <w:rPr>
                <w:sz w:val="20"/>
                <w:szCs w:val="20"/>
                <w:color w:val="auto"/>
              </w:rPr>
            </w:pPr>
          </w:p>
        </w:tc>
      </w:tr>
      <w:tr>
        <w:trPr>
          <w:trHeight w:val="240"/>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580,725</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593,004</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1,159,385</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1,197,486</w:t>
            </w:r>
          </w:p>
        </w:tc>
        <w:tc>
          <w:tcPr>
            <w:tcW w:w="100" w:type="dxa"/>
            <w:vAlign w:val="bottom"/>
            <w:shd w:val="clear" w:color="auto" w:fill="CFF0FC"/>
          </w:tcPr>
          <w:p>
            <w:pPr>
              <w:spacing w:after="0"/>
              <w:rPr>
                <w:sz w:val="20"/>
                <w:szCs w:val="20"/>
                <w:color w:val="auto"/>
              </w:rPr>
            </w:pPr>
          </w:p>
        </w:tc>
      </w:tr>
      <w:tr>
        <w:trPr>
          <w:trHeight w:val="238"/>
        </w:trPr>
        <w:tc>
          <w:tcPr>
            <w:tcW w:w="58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578,257</w:t>
            </w:r>
          </w:p>
        </w:tc>
        <w:tc>
          <w:tcPr>
            <w:tcW w:w="2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568,967</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1,173,699</w:t>
            </w:r>
          </w:p>
        </w:tc>
        <w:tc>
          <w:tcPr>
            <w:tcW w:w="2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1,145,832</w:t>
            </w:r>
          </w:p>
        </w:tc>
        <w:tc>
          <w:tcPr>
            <w:tcW w:w="100" w:type="dxa"/>
            <w:vAlign w:val="bottom"/>
            <w:tcBorders>
              <w:bottom w:val="single" w:sz="8" w:color="CFF0FC"/>
            </w:tcBorders>
          </w:tcPr>
          <w:p>
            <w:pPr>
              <w:spacing w:after="0"/>
              <w:rPr>
                <w:sz w:val="20"/>
                <w:szCs w:val="20"/>
                <w:color w:val="auto"/>
              </w:rPr>
            </w:pPr>
          </w:p>
        </w:tc>
      </w:tr>
      <w:tr>
        <w:trPr>
          <w:trHeight w:val="240"/>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24,037</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(14,314</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51,654</w:t>
            </w:r>
          </w:p>
        </w:tc>
        <w:tc>
          <w:tcPr>
            <w:tcW w:w="100" w:type="dxa"/>
            <w:vAlign w:val="bottom"/>
            <w:shd w:val="clear" w:color="auto" w:fill="CFF0FC"/>
          </w:tcPr>
          <w:p>
            <w:pPr>
              <w:spacing w:after="0"/>
              <w:rPr>
                <w:sz w:val="20"/>
                <w:szCs w:val="20"/>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(672 )</w:t>
            </w:r>
          </w:p>
        </w:tc>
        <w:tc>
          <w:tcPr>
            <w:tcW w:w="2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(764 )</w:t>
            </w:r>
          </w:p>
        </w:tc>
        <w:tc>
          <w:tcPr>
            <w:tcW w:w="200" w:type="dxa"/>
            <w:vAlign w:val="bottom"/>
          </w:tcPr>
          <w:p>
            <w:pPr>
              <w:spacing w:after="0"/>
              <w:rPr>
                <w:sz w:val="20"/>
                <w:szCs w:val="20"/>
                <w:color w:val="auto"/>
              </w:rPr>
            </w:pP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(1,090 )</w:t>
            </w:r>
          </w:p>
        </w:tc>
        <w:tc>
          <w:tcPr>
            <w:tcW w:w="2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(1,940 )</w:t>
            </w: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36,805</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37,493</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73,622</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74,694</w:t>
            </w: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partial extinguishment of debt</w:t>
            </w:r>
          </w:p>
        </w:tc>
        <w:tc>
          <w:tcPr>
            <w:tcW w:w="20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20"/>
                <w:szCs w:val="20"/>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non-operating (income) loss</w:t>
            </w:r>
          </w:p>
        </w:tc>
        <w:tc>
          <w:tcPr>
            <w:tcW w:w="2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(1,795 )</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(4,614 )</w:t>
            </w:r>
          </w:p>
        </w:tc>
      </w:tr>
      <w:tr>
        <w:trPr>
          <w:trHeight w:val="209"/>
        </w:trPr>
        <w:tc>
          <w:tcPr>
            <w:tcW w:w="58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Loss before income taxes and income</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41"/>
        </w:trPr>
        <w:tc>
          <w:tcPr>
            <w:tcW w:w="5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from equity method investees</w:t>
            </w:r>
          </w:p>
        </w:tc>
        <w:tc>
          <w:tcPr>
            <w:tcW w:w="2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(33,665 )</w:t>
            </w:r>
          </w:p>
        </w:tc>
        <w:tc>
          <w:tcPr>
            <w:tcW w:w="2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(11,202 )</w:t>
            </w:r>
          </w:p>
        </w:tc>
        <w:tc>
          <w:tcPr>
            <w:tcW w:w="200" w:type="dxa"/>
            <w:vAlign w:val="bottom"/>
          </w:tcPr>
          <w:p>
            <w:pPr>
              <w:spacing w:after="0"/>
              <w:rPr>
                <w:sz w:val="20"/>
                <w:szCs w:val="20"/>
                <w:color w:val="auto"/>
              </w:rPr>
            </w:pP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(89,511 )</w:t>
            </w:r>
          </w:p>
        </w:tc>
        <w:tc>
          <w:tcPr>
            <w:tcW w:w="2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(17,232 )</w:t>
            </w:r>
          </w:p>
        </w:tc>
      </w:tr>
      <w:tr>
        <w:trPr>
          <w:trHeight w:val="24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(4,651 )</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(9,128 )</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investees</w:t>
            </w:r>
          </w:p>
        </w:tc>
        <w:tc>
          <w:tcPr>
            <w:tcW w:w="2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(4,191 )</w:t>
            </w:r>
          </w:p>
        </w:tc>
        <w:tc>
          <w:tcPr>
            <w:tcW w:w="2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(3,328 )</w:t>
            </w:r>
          </w:p>
        </w:tc>
        <w:tc>
          <w:tcPr>
            <w:tcW w:w="200" w:type="dxa"/>
            <w:vAlign w:val="bottom"/>
          </w:tcPr>
          <w:p>
            <w:pPr>
              <w:spacing w:after="0"/>
              <w:rPr>
                <w:sz w:val="20"/>
                <w:szCs w:val="20"/>
                <w:color w:val="auto"/>
              </w:rPr>
            </w:pP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(9,077 )</w:t>
            </w:r>
          </w:p>
        </w:tc>
        <w:tc>
          <w:tcPr>
            <w:tcW w:w="2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(6,458 )</w:t>
            </w:r>
          </w:p>
        </w:tc>
      </w:tr>
      <w:tr>
        <w:trPr>
          <w:trHeight w:val="209"/>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loss attributable to Class A and B-1</w:t>
            </w: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582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common stockholders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(24,823 )</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(14,606 )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(71,306 )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(16,498 )</w:t>
            </w:r>
          </w:p>
        </w:tc>
      </w:tr>
      <w:tr>
        <w:trPr>
          <w:trHeight w:val="243"/>
        </w:trPr>
        <w:tc>
          <w:tcPr>
            <w:tcW w:w="5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Class A and B-1 common share:</w:t>
            </w: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(0.09 )</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(0.05 )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(0.26 )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(0.06 )</w:t>
            </w:r>
          </w:p>
        </w:tc>
      </w:tr>
      <w:tr>
        <w:trPr>
          <w:trHeight w:val="247"/>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(0.09 )</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(0.05 )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(0.26 )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-3407410</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-3407410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-3407410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-3407410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-2781935</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-2781935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-2781935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-2781935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-2302510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-2302510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-2302510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-2302510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-1523365</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-1523365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-1523365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-1523365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p>
      <w:pPr>
        <w:spacing w:after="0" w:line="238" w:lineRule="exact"/>
        <w:rPr>
          <w:sz w:val="20"/>
          <w:szCs w:val="20"/>
          <w:color w:val="auto"/>
        </w:rPr>
      </w:pPr>
    </w:p>
    <w:p>
      <w:pPr>
        <w:ind w:left="200" w:right="2220" w:hanging="179"/>
        <w:spacing w:after="0" w:line="265" w:lineRule="auto"/>
        <w:rPr>
          <w:sz w:val="20"/>
          <w:szCs w:val="20"/>
          <w:color w:val="auto"/>
        </w:rPr>
      </w:pPr>
      <w:r>
        <w:rPr>
          <w:rFonts w:ascii="Times New Roman" w:cs="Times New Roman" w:eastAsia="Times New Roman" w:hAnsi="Times New Roman"/>
          <w:sz w:val="18"/>
          <w:szCs w:val="18"/>
          <w:color w:val="auto"/>
        </w:rPr>
        <w:t>Weighted average shares used in computing net loss per Class A and B-1 common share:</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Basic</w:t>
      </w:r>
    </w:p>
    <w:p>
      <w:pPr>
        <w:spacing w:after="0" w:line="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5"/>
              </w:rPr>
              <w:t>273,074</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267,163</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271,421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266,824</w:t>
            </w:r>
          </w:p>
        </w:tc>
      </w:tr>
      <w:tr>
        <w:trPr>
          <w:trHeight w:val="270"/>
        </w:trPr>
        <w:tc>
          <w:tcPr>
            <w:tcW w:w="10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5"/>
              </w:rPr>
              <w:t>273,074</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267,163</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271,421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-4045585</wp:posOffset>
            </wp:positionH>
            <wp:positionV relativeFrom="paragraph">
              <wp:posOffset>-607060</wp:posOffset>
            </wp:positionV>
            <wp:extent cx="7132320" cy="290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-4045585</wp:posOffset>
            </wp:positionH>
            <wp:positionV relativeFrom="paragraph">
              <wp:posOffset>-161925</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60" w:space="720"/>
            <w:col w:w="4860"/>
          </w:cols>
          <w:pgMar w:left="320" w:top="1088" w:right="339" w:bottom="1440" w:gutter="0" w:footer="0" w:header="0"/>
          <w:type w:val="continuous"/>
        </w:sectPr>
      </w:pPr>
    </w:p>
    <w:p>
      <w:pPr>
        <w:spacing w:after="0" w:line="2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type w:val="continuous"/>
        </w:sectPr>
      </w:pPr>
    </w:p>
    <w:bookmarkStart w:id="6" w:name="page7"/>
    <w:bookmarkEnd w:id="6"/>
    <w:p>
      <w:pPr>
        <w:ind w:left="348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0" w:type="dxa"/>
            <w:vAlign w:val="bottom"/>
            <w:gridSpan w:val="7"/>
          </w:tcPr>
          <w:p>
            <w:pPr>
              <w:ind w:left="4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00" w:type="dxa"/>
            <w:vAlign w:val="bottom"/>
          </w:tcPr>
          <w:p>
            <w:pPr>
              <w:spacing w:after="0"/>
              <w:rPr>
                <w:sz w:val="16"/>
                <w:szCs w:val="16"/>
                <w:color w:val="auto"/>
              </w:rPr>
            </w:pPr>
          </w:p>
        </w:tc>
        <w:tc>
          <w:tcPr>
            <w:tcW w:w="242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31"/>
        </w:trPr>
        <w:tc>
          <w:tcPr>
            <w:tcW w:w="58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3"/>
          </w:tcPr>
          <w:p>
            <w:pPr>
              <w:jc w:val="center"/>
              <w:ind w:right="460"/>
              <w:spacing w:after="0" w:line="131"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235"/>
              <w:spacing w:after="0" w:line="131" w:lineRule="exact"/>
              <w:rPr>
                <w:sz w:val="20"/>
                <w:szCs w:val="20"/>
                <w:color w:val="auto"/>
              </w:rPr>
            </w:pPr>
            <w:r>
              <w:rPr>
                <w:rFonts w:ascii="Times New Roman" w:cs="Times New Roman" w:eastAsia="Times New Roman" w:hAnsi="Times New Roman"/>
                <w:sz w:val="14"/>
                <w:szCs w:val="14"/>
                <w:b w:val="1"/>
                <w:bCs w:val="1"/>
                <w:color w:val="auto"/>
              </w:rPr>
              <w:t>July 29,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3"/>
          </w:tcPr>
          <w:p>
            <w:pPr>
              <w:jc w:val="center"/>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255"/>
              <w:spacing w:after="0" w:line="131" w:lineRule="exact"/>
              <w:rPr>
                <w:sz w:val="20"/>
                <w:szCs w:val="20"/>
                <w:color w:val="auto"/>
              </w:rPr>
            </w:pPr>
            <w:r>
              <w:rPr>
                <w:rFonts w:ascii="Times New Roman" w:cs="Times New Roman" w:eastAsia="Times New Roman" w:hAnsi="Times New Roman"/>
                <w:sz w:val="14"/>
                <w:szCs w:val="14"/>
                <w:b w:val="1"/>
                <w:bCs w:val="1"/>
                <w:color w:val="auto"/>
              </w:rPr>
              <w:t>July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82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color w:val="auto"/>
              </w:rPr>
              <w:t>Net loss attributable to Class A and B-1</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common stockholders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(24,823 )</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(14,606 )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(71,306 )</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(16,498 )</w:t>
            </w:r>
          </w:p>
        </w:tc>
        <w:tc>
          <w:tcPr>
            <w:tcW w:w="0" w:type="dxa"/>
            <w:vAlign w:val="bottom"/>
          </w:tcPr>
          <w:p>
            <w:pPr>
              <w:spacing w:after="0"/>
              <w:rPr>
                <w:sz w:val="1"/>
                <w:szCs w:val="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gain, net of tax:</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(10,921 )</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(9,256 )</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(loss) gain on derivatives</w:t>
            </w:r>
          </w:p>
        </w:tc>
        <w:tc>
          <w:tcPr>
            <w:tcW w:w="20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(7,848 )</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(1,476 )</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(Gains) losses on derivatives reclassified to income</w:t>
            </w:r>
          </w:p>
        </w:tc>
        <w:tc>
          <w:tcPr>
            <w:tcW w:w="2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(862 )</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(1,712 )</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gain, net of tax</w:t>
            </w:r>
          </w:p>
        </w:tc>
        <w:tc>
          <w:tcPr>
            <w:tcW w:w="20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(19,631 )</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(12,444 )</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Class A and</w:t>
            </w:r>
          </w:p>
        </w:tc>
        <w:tc>
          <w:tcPr>
            <w:tcW w:w="2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(44,454 )</w:t>
            </w:r>
          </w:p>
        </w:tc>
        <w:tc>
          <w:tcPr>
            <w:tcW w:w="140" w:type="dxa"/>
            <w:vAlign w:val="bottom"/>
            <w:shd w:val="clear" w:color="auto" w:fill="CFF0FC"/>
          </w:tcPr>
          <w:p>
            <w:pPr>
              <w:spacing w:after="0"/>
              <w:rPr>
                <w:sz w:val="18"/>
                <w:szCs w:val="18"/>
                <w:color w:val="auto"/>
              </w:rPr>
            </w:pPr>
          </w:p>
        </w:tc>
        <w:tc>
          <w:tcPr>
            <w:tcW w:w="22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(9,223 )</w:t>
            </w:r>
          </w:p>
        </w:tc>
        <w:tc>
          <w:tcPr>
            <w:tcW w:w="140" w:type="dxa"/>
            <w:vAlign w:val="bottom"/>
            <w:shd w:val="clear" w:color="auto" w:fill="CFF0FC"/>
          </w:tcPr>
          <w:p>
            <w:pPr>
              <w:spacing w:after="0"/>
              <w:rPr>
                <w:sz w:val="18"/>
                <w:szCs w:val="18"/>
                <w:color w:val="auto"/>
              </w:rPr>
            </w:pPr>
          </w:p>
        </w:tc>
        <w:tc>
          <w:tcPr>
            <w:tcW w:w="2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(83,750 )</w:t>
            </w:r>
          </w:p>
        </w:tc>
        <w:tc>
          <w:tcPr>
            <w:tcW w:w="140" w:type="dxa"/>
            <w:vAlign w:val="bottom"/>
            <w:shd w:val="clear" w:color="auto" w:fill="CFF0FC"/>
          </w:tcPr>
          <w:p>
            <w:pPr>
              <w:spacing w:after="0"/>
              <w:rPr>
                <w:sz w:val="18"/>
                <w:szCs w:val="18"/>
                <w:color w:val="auto"/>
              </w:rPr>
            </w:pPr>
          </w:p>
        </w:tc>
        <w:tc>
          <w:tcPr>
            <w:tcW w:w="22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(10,609 )</w:t>
            </w:r>
          </w:p>
        </w:tc>
        <w:tc>
          <w:tcPr>
            <w:tcW w:w="0" w:type="dxa"/>
            <w:vAlign w:val="bottom"/>
          </w:tcPr>
          <w:p>
            <w:pPr>
              <w:spacing w:after="0"/>
              <w:rPr>
                <w:sz w:val="1"/>
                <w:szCs w:val="1"/>
                <w:color w:val="auto"/>
              </w:rPr>
            </w:pPr>
          </w:p>
        </w:tc>
      </w:tr>
      <w:tr>
        <w:trPr>
          <w:trHeight w:val="227"/>
        </w:trPr>
        <w:tc>
          <w:tcPr>
            <w:tcW w:w="5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B-1 common stockholders</w:t>
            </w:r>
          </w:p>
        </w:tc>
        <w:tc>
          <w:tcPr>
            <w:tcW w:w="200" w:type="dxa"/>
            <w:vAlign w:val="bottom"/>
            <w:vMerge w:val="continue"/>
            <w:shd w:val="clear" w:color="auto" w:fill="CFF0FC"/>
          </w:tcPr>
          <w:p>
            <w:pPr>
              <w:spacing w:after="0"/>
              <w:rPr>
                <w:sz w:val="19"/>
                <w:szCs w:val="19"/>
                <w:color w:val="auto"/>
              </w:rPr>
            </w:pPr>
          </w:p>
        </w:tc>
        <w:tc>
          <w:tcPr>
            <w:tcW w:w="1080" w:type="dxa"/>
            <w:vAlign w:val="bottom"/>
            <w:gridSpan w:val="2"/>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vMerge w:val="continue"/>
            <w:shd w:val="clear" w:color="auto" w:fill="CFF0FC"/>
          </w:tcPr>
          <w:p>
            <w:pPr>
              <w:spacing w:after="0"/>
              <w:rPr>
                <w:sz w:val="19"/>
                <w:szCs w:val="19"/>
                <w:color w:val="auto"/>
              </w:rPr>
            </w:pPr>
          </w:p>
        </w:tc>
        <w:tc>
          <w:tcPr>
            <w:tcW w:w="1020" w:type="dxa"/>
            <w:vAlign w:val="bottom"/>
            <w:gridSpan w:val="2"/>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vMerge w:val="continue"/>
            <w:shd w:val="clear" w:color="auto" w:fill="CFF0FC"/>
          </w:tcPr>
          <w:p>
            <w:pPr>
              <w:spacing w:after="0"/>
              <w:rPr>
                <w:sz w:val="19"/>
                <w:szCs w:val="19"/>
                <w:color w:val="auto"/>
              </w:rPr>
            </w:pPr>
          </w:p>
        </w:tc>
        <w:tc>
          <w:tcPr>
            <w:tcW w:w="1040" w:type="dxa"/>
            <w:vAlign w:val="bottom"/>
            <w:gridSpan w:val="2"/>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vMerge w:val="continue"/>
            <w:shd w:val="clear" w:color="auto" w:fill="CFF0FC"/>
          </w:tcPr>
          <w:p>
            <w:pPr>
              <w:spacing w:after="0"/>
              <w:rPr>
                <w:sz w:val="19"/>
                <w:szCs w:val="19"/>
                <w:color w:val="auto"/>
              </w:rPr>
            </w:pPr>
          </w:p>
        </w:tc>
        <w:tc>
          <w:tcPr>
            <w:tcW w:w="102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-461645</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-461645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-461645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-461645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-24765</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-7620</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7" w:name="page8"/>
    <w:bookmarkEnd w:id="7"/>
    <w:p>
      <w:pPr>
        <w:ind w:left="348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34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tcPr>
          <w:p>
            <w:pPr>
              <w:jc w:val="center"/>
              <w:ind w:right="280"/>
              <w:spacing w:after="0" w:line="120"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60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rPr>
              <w:t>Class</w:t>
            </w:r>
          </w:p>
        </w:tc>
        <w:tc>
          <w:tcPr>
            <w:tcW w:w="240" w:type="dxa"/>
            <w:vAlign w:val="bottom"/>
          </w:tcPr>
          <w:p>
            <w:pPr>
              <w:spacing w:after="0"/>
              <w:rPr>
                <w:sz w:val="10"/>
                <w:szCs w:val="10"/>
                <w:color w:val="auto"/>
              </w:rPr>
            </w:pPr>
          </w:p>
        </w:tc>
        <w:tc>
          <w:tcPr>
            <w:tcW w:w="62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5"/>
              </w:rPr>
              <w:t>Class</w:t>
            </w:r>
          </w:p>
        </w:tc>
        <w:tc>
          <w:tcPr>
            <w:tcW w:w="240" w:type="dxa"/>
            <w:vAlign w:val="bottom"/>
          </w:tcPr>
          <w:p>
            <w:pPr>
              <w:spacing w:after="0"/>
              <w:rPr>
                <w:sz w:val="10"/>
                <w:szCs w:val="10"/>
                <w:color w:val="auto"/>
              </w:rPr>
            </w:pPr>
          </w:p>
        </w:tc>
        <w:tc>
          <w:tcPr>
            <w:tcW w:w="680" w:type="dxa"/>
            <w:vAlign w:val="bottom"/>
            <w:gridSpan w:val="2"/>
          </w:tcPr>
          <w:p>
            <w:pPr>
              <w:jc w:val="center"/>
              <w:ind w:right="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Class</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rPr>
              <w:t>other</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600" w:type="dxa"/>
            <w:vAlign w:val="bottom"/>
          </w:tcPr>
          <w:p>
            <w:pPr>
              <w:jc w:val="center"/>
              <w:ind w:right="66"/>
              <w:spacing w:after="0" w:line="122" w:lineRule="exact"/>
              <w:rPr>
                <w:sz w:val="20"/>
                <w:szCs w:val="20"/>
                <w:color w:val="auto"/>
              </w:rPr>
            </w:pPr>
            <w:r>
              <w:rPr>
                <w:rFonts w:ascii="Times New Roman" w:cs="Times New Roman" w:eastAsia="Times New Roman" w:hAnsi="Times New Roman"/>
                <w:sz w:val="11"/>
                <w:szCs w:val="11"/>
                <w:b w:val="1"/>
                <w:bCs w:val="1"/>
                <w:color w:val="auto"/>
              </w:rPr>
              <w:t>A</w:t>
            </w:r>
          </w:p>
        </w:tc>
        <w:tc>
          <w:tcPr>
            <w:tcW w:w="240" w:type="dxa"/>
            <w:vAlign w:val="bottom"/>
          </w:tcPr>
          <w:p>
            <w:pPr>
              <w:spacing w:after="0"/>
              <w:rPr>
                <w:sz w:val="10"/>
                <w:szCs w:val="10"/>
                <w:color w:val="auto"/>
              </w:rPr>
            </w:pPr>
          </w:p>
        </w:tc>
        <w:tc>
          <w:tcPr>
            <w:tcW w:w="62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6"/>
              </w:rPr>
              <w:t>B-1</w:t>
            </w:r>
          </w:p>
        </w:tc>
        <w:tc>
          <w:tcPr>
            <w:tcW w:w="240" w:type="dxa"/>
            <w:vAlign w:val="bottom"/>
          </w:tcPr>
          <w:p>
            <w:pPr>
              <w:spacing w:after="0"/>
              <w:rPr>
                <w:sz w:val="10"/>
                <w:szCs w:val="10"/>
                <w:color w:val="auto"/>
              </w:rPr>
            </w:pPr>
          </w:p>
        </w:tc>
        <w:tc>
          <w:tcPr>
            <w:tcW w:w="680" w:type="dxa"/>
            <w:vAlign w:val="bottom"/>
            <w:gridSpan w:val="2"/>
          </w:tcPr>
          <w:p>
            <w:pPr>
              <w:jc w:val="center"/>
              <w:ind w:right="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B-2</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3"/>
          </w:tcPr>
          <w:p>
            <w:pPr>
              <w:ind w:left="120"/>
              <w:spacing w:after="0" w:line="122" w:lineRule="exact"/>
              <w:rPr>
                <w:sz w:val="20"/>
                <w:szCs w:val="20"/>
                <w:color w:val="auto"/>
              </w:rPr>
            </w:pPr>
            <w:r>
              <w:rPr>
                <w:rFonts w:ascii="Times New Roman" w:cs="Times New Roman" w:eastAsia="Times New Roman" w:hAnsi="Times New Roman"/>
                <w:sz w:val="11"/>
                <w:szCs w:val="11"/>
                <w:b w:val="1"/>
                <w:bCs w:val="1"/>
                <w:color w:val="auto"/>
              </w:rPr>
              <w:t>Additional paid-</w:t>
            </w:r>
          </w:p>
        </w:tc>
        <w:tc>
          <w:tcPr>
            <w:tcW w:w="140" w:type="dxa"/>
            <w:vAlign w:val="bottom"/>
          </w:tcPr>
          <w:p>
            <w:pPr>
              <w:spacing w:after="0"/>
              <w:rPr>
                <w:sz w:val="10"/>
                <w:szCs w:val="10"/>
                <w:color w:val="auto"/>
              </w:rPr>
            </w:pPr>
          </w:p>
        </w:tc>
        <w:tc>
          <w:tcPr>
            <w:tcW w:w="980" w:type="dxa"/>
            <w:vAlign w:val="bottom"/>
            <w:gridSpan w:val="2"/>
          </w:tcPr>
          <w:p>
            <w:pPr>
              <w:jc w:val="right"/>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60" w:type="dxa"/>
            <w:vAlign w:val="bottom"/>
          </w:tcPr>
          <w:p>
            <w:pPr>
              <w:spacing w:after="0"/>
              <w:rPr>
                <w:sz w:val="10"/>
                <w:szCs w:val="10"/>
                <w:color w:val="auto"/>
              </w:rPr>
            </w:pPr>
          </w:p>
        </w:tc>
        <w:tc>
          <w:tcPr>
            <w:tcW w:w="102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9"/>
              </w:rPr>
              <w:t>comprehensive</w:t>
            </w:r>
          </w:p>
        </w:tc>
        <w:tc>
          <w:tcPr>
            <w:tcW w:w="10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146"/>
        </w:trPr>
        <w:tc>
          <w:tcPr>
            <w:tcW w:w="3340" w:type="dxa"/>
            <w:vAlign w:val="bottom"/>
          </w:tcPr>
          <w:p>
            <w:pPr>
              <w:spacing w:after="0"/>
              <w:rPr>
                <w:sz w:val="12"/>
                <w:szCs w:val="12"/>
                <w:color w:val="auto"/>
              </w:rPr>
            </w:pPr>
          </w:p>
        </w:tc>
        <w:tc>
          <w:tcPr>
            <w:tcW w:w="60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6"/>
              </w:rPr>
              <w:t>(shares)</w:t>
            </w:r>
          </w:p>
        </w:tc>
        <w:tc>
          <w:tcPr>
            <w:tcW w:w="240" w:type="dxa"/>
            <w:vAlign w:val="bottom"/>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(shares)</w:t>
            </w:r>
          </w:p>
        </w:tc>
        <w:tc>
          <w:tcPr>
            <w:tcW w:w="240" w:type="dxa"/>
            <w:vAlign w:val="bottom"/>
          </w:tcPr>
          <w:p>
            <w:pPr>
              <w:spacing w:after="0"/>
              <w:rPr>
                <w:sz w:val="12"/>
                <w:szCs w:val="12"/>
                <w:color w:val="auto"/>
              </w:rPr>
            </w:pPr>
          </w:p>
        </w:tc>
        <w:tc>
          <w:tcPr>
            <w:tcW w:w="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(shares)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in capital</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5"/>
              </w:rPr>
              <w:t>income (loss)</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5"/>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34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February 3, 2024</w:t>
            </w: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231,156</w:t>
            </w:r>
          </w:p>
        </w:tc>
        <w:tc>
          <w:tcPr>
            <w:tcW w:w="86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37,791</w:t>
            </w:r>
          </w:p>
        </w:tc>
        <w:tc>
          <w:tcPr>
            <w:tcW w:w="9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37,791</w:t>
            </w:r>
          </w:p>
        </w:tc>
        <w:tc>
          <w:tcPr>
            <w:tcW w:w="340" w:type="dxa"/>
            <w:vAlign w:val="bottom"/>
            <w:gridSpan w:val="3"/>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269</w:t>
            </w:r>
          </w:p>
        </w:tc>
        <w:tc>
          <w:tcPr>
            <w:tcW w:w="36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2,229,582</w:t>
            </w:r>
          </w:p>
        </w:tc>
        <w:tc>
          <w:tcPr>
            <w:tcW w:w="180" w:type="dxa"/>
            <w:vAlign w:val="bottom"/>
            <w:shd w:val="clear" w:color="auto" w:fill="CFF0FC"/>
          </w:tcPr>
          <w:p>
            <w:pPr>
              <w:spacing w:after="0"/>
              <w:rPr>
                <w:sz w:val="12"/>
                <w:szCs w:val="12"/>
                <w:color w:val="auto"/>
              </w:rPr>
            </w:pPr>
          </w:p>
        </w:tc>
        <w:tc>
          <w:tcPr>
            <w:tcW w:w="140" w:type="dxa"/>
            <w:vAlign w:val="bottom"/>
            <w:tcBorders>
              <w:lef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(1,047,243 )</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1,821</w:t>
            </w:r>
          </w:p>
        </w:tc>
        <w:tc>
          <w:tcPr>
            <w:tcW w:w="2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1,184,429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4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Equity-based compensation expense</w:t>
            </w: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3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(Note 6)</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17,451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4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3"/>
                <w:szCs w:val="13"/>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3"/>
                <w:szCs w:val="13"/>
                <w:color w:val="auto"/>
              </w:rPr>
            </w:pPr>
          </w:p>
        </w:tc>
        <w:tc>
          <w:tcPr>
            <w:tcW w:w="200" w:type="dxa"/>
            <w:vAlign w:val="bottom"/>
            <w:tcBorders>
              <w:left w:val="single" w:sz="8" w:color="CFF0FC"/>
            </w:tcBorders>
            <w:shd w:val="clear" w:color="auto" w:fill="CFF0FC"/>
          </w:tcPr>
          <w:p>
            <w:pPr>
              <w:spacing w:after="0"/>
              <w:rPr>
                <w:sz w:val="13"/>
                <w:szCs w:val="13"/>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13"/>
                <w:szCs w:val="13"/>
                <w:color w:val="auto"/>
              </w:rPr>
            </w:pPr>
          </w:p>
        </w:tc>
        <w:tc>
          <w:tcPr>
            <w:tcW w:w="9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(46,483 )</w:t>
            </w:r>
          </w:p>
        </w:tc>
        <w:tc>
          <w:tcPr>
            <w:tcW w:w="60" w:type="dxa"/>
            <w:vAlign w:val="bottom"/>
            <w:shd w:val="clear" w:color="auto" w:fill="CFF0FC"/>
          </w:tcPr>
          <w:p>
            <w:pPr>
              <w:spacing w:after="0"/>
              <w:rPr>
                <w:sz w:val="13"/>
                <w:szCs w:val="13"/>
                <w:color w:val="auto"/>
              </w:rPr>
            </w:pPr>
          </w:p>
        </w:tc>
        <w:tc>
          <w:tcPr>
            <w:tcW w:w="10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(46,483 )</w:t>
            </w:r>
          </w:p>
        </w:tc>
        <w:tc>
          <w:tcPr>
            <w:tcW w:w="0" w:type="dxa"/>
            <w:vAlign w:val="bottom"/>
          </w:tcPr>
          <w:p>
            <w:pPr>
              <w:spacing w:after="0"/>
              <w:rPr>
                <w:sz w:val="1"/>
                <w:szCs w:val="1"/>
                <w:color w:val="auto"/>
              </w:rPr>
            </w:pPr>
          </w:p>
        </w:tc>
      </w:tr>
      <w:tr>
        <w:trPr>
          <w:trHeight w:val="121"/>
        </w:trPr>
        <w:tc>
          <w:tcPr>
            <w:tcW w:w="334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3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adjustment, net of tax</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340" w:type="dxa"/>
            <w:vAlign w:val="bottom"/>
            <w:tcBorders>
              <w:right w:val="single" w:sz="8" w:color="CFF0FC"/>
            </w:tcBorders>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Unrealized gain on derivatives (Note 4),</w:t>
            </w:r>
          </w:p>
        </w:tc>
        <w:tc>
          <w:tcPr>
            <w:tcW w:w="60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62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72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40" w:type="dxa"/>
            <w:vAlign w:val="bottom"/>
            <w:tcBorders>
              <w:left w:val="single" w:sz="8" w:color="CFF0FC"/>
            </w:tcBorders>
            <w:shd w:val="clear" w:color="auto" w:fill="CFF0FC"/>
          </w:tcPr>
          <w:p>
            <w:pPr>
              <w:spacing w:after="0"/>
              <w:rPr>
                <w:sz w:val="10"/>
                <w:szCs w:val="10"/>
                <w:color w:val="auto"/>
              </w:rPr>
            </w:pPr>
          </w:p>
        </w:tc>
        <w:tc>
          <w:tcPr>
            <w:tcW w:w="76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4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net of tax</w:t>
            </w: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2"/>
                <w:szCs w:val="12"/>
                <w:color w:val="auto"/>
              </w:rPr>
            </w:pPr>
          </w:p>
        </w:tc>
        <w:tc>
          <w:tcPr>
            <w:tcW w:w="200" w:type="dxa"/>
            <w:vAlign w:val="bottom"/>
            <w:tcBorders>
              <w:left w:val="single" w:sz="8" w:color="CFF0FC"/>
            </w:tcBorders>
            <w:shd w:val="clear" w:color="auto" w:fill="CFF0FC"/>
          </w:tcPr>
          <w:p>
            <w:pPr>
              <w:spacing w:after="0"/>
              <w:rPr>
                <w:sz w:val="12"/>
                <w:szCs w:val="12"/>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12"/>
                <w:szCs w:val="12"/>
                <w:color w:val="auto"/>
              </w:rPr>
            </w:pPr>
          </w:p>
        </w:tc>
        <w:tc>
          <w:tcPr>
            <w:tcW w:w="9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6,372</w:t>
            </w:r>
          </w:p>
        </w:tc>
        <w:tc>
          <w:tcPr>
            <w:tcW w:w="2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6,372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4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Gains on derivatives reclassified to</w:t>
            </w: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3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income (Note 4), net of tax</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(850 )</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(850 )</w:t>
            </w:r>
          </w:p>
        </w:tc>
        <w:tc>
          <w:tcPr>
            <w:tcW w:w="0" w:type="dxa"/>
            <w:vAlign w:val="bottom"/>
          </w:tcPr>
          <w:p>
            <w:pPr>
              <w:spacing w:after="0"/>
              <w:rPr>
                <w:sz w:val="1"/>
                <w:szCs w:val="1"/>
                <w:color w:val="auto"/>
              </w:rPr>
            </w:pPr>
          </w:p>
        </w:tc>
      </w:tr>
      <w:tr>
        <w:trPr>
          <w:trHeight w:val="125"/>
        </w:trPr>
        <w:tc>
          <w:tcPr>
            <w:tcW w:w="3340" w:type="dxa"/>
            <w:vAlign w:val="bottom"/>
            <w:tcBorders>
              <w:right w:val="single" w:sz="8" w:color="CFF0FC"/>
            </w:tcBorders>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Issuance of common stock,</w:t>
            </w:r>
          </w:p>
        </w:tc>
        <w:tc>
          <w:tcPr>
            <w:tcW w:w="6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1,793</w:t>
            </w:r>
          </w:p>
        </w:tc>
        <w:tc>
          <w:tcPr>
            <w:tcW w:w="240" w:type="dxa"/>
            <w:vAlign w:val="bottom"/>
            <w:tcBorders>
              <w:right w:val="single" w:sz="8" w:color="CFF0FC"/>
            </w:tcBorders>
            <w:shd w:val="clear" w:color="auto" w:fill="CFF0FC"/>
          </w:tcPr>
          <w:p>
            <w:pPr>
              <w:spacing w:after="0"/>
              <w:rPr>
                <w:sz w:val="10"/>
                <w:szCs w:val="10"/>
                <w:color w:val="auto"/>
              </w:rPr>
            </w:pPr>
          </w:p>
        </w:tc>
        <w:tc>
          <w:tcPr>
            <w:tcW w:w="62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0"/>
                <w:szCs w:val="10"/>
                <w:color w:val="auto"/>
              </w:rPr>
            </w:pPr>
          </w:p>
        </w:tc>
        <w:tc>
          <w:tcPr>
            <w:tcW w:w="68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6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(277 )</w:t>
            </w:r>
          </w:p>
        </w:tc>
        <w:tc>
          <w:tcPr>
            <w:tcW w:w="140" w:type="dxa"/>
            <w:vAlign w:val="bottom"/>
            <w:tcBorders>
              <w:left w:val="single" w:sz="8" w:color="CFF0FC"/>
            </w:tcBorders>
            <w:shd w:val="clear" w:color="auto" w:fill="CFF0FC"/>
          </w:tcPr>
          <w:p>
            <w:pPr>
              <w:spacing w:after="0"/>
              <w:rPr>
                <w:sz w:val="10"/>
                <w:szCs w:val="10"/>
                <w:color w:val="auto"/>
              </w:rPr>
            </w:pPr>
          </w:p>
        </w:tc>
        <w:tc>
          <w:tcPr>
            <w:tcW w:w="980" w:type="dxa"/>
            <w:vAlign w:val="bottom"/>
            <w:tcBorders>
              <w:right w:val="single" w:sz="8" w:color="CFF0FC"/>
            </w:tcBorders>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1020" w:type="dxa"/>
            <w:vAlign w:val="bottom"/>
            <w:tcBorders>
              <w:right w:val="single" w:sz="8" w:color="CFF0FC"/>
            </w:tcBorders>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(275 )</w:t>
            </w:r>
          </w:p>
        </w:tc>
        <w:tc>
          <w:tcPr>
            <w:tcW w:w="0" w:type="dxa"/>
            <w:vAlign w:val="bottom"/>
          </w:tcPr>
          <w:p>
            <w:pPr>
              <w:spacing w:after="0"/>
              <w:rPr>
                <w:sz w:val="1"/>
                <w:szCs w:val="1"/>
                <w:color w:val="auto"/>
              </w:rPr>
            </w:pPr>
          </w:p>
        </w:tc>
      </w:tr>
      <w:tr>
        <w:trPr>
          <w:trHeight w:val="135"/>
        </w:trPr>
        <w:tc>
          <w:tcPr>
            <w:tcW w:w="334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net of tax withholdings</w:t>
            </w:r>
          </w:p>
        </w:tc>
        <w:tc>
          <w:tcPr>
            <w:tcW w:w="600" w:type="dxa"/>
            <w:vAlign w:val="bottom"/>
            <w:tcBorders>
              <w:right w:val="single" w:sz="8" w:color="CFF0FC"/>
            </w:tcBorders>
            <w:vMerge w:val="continue"/>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620" w:type="dxa"/>
            <w:vAlign w:val="bottom"/>
            <w:tcBorders>
              <w:right w:val="single" w:sz="8" w:color="CFF0FC"/>
            </w:tcBorders>
            <w:vMerge w:val="continue"/>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680" w:type="dxa"/>
            <w:vAlign w:val="bottom"/>
            <w:gridSpan w:val="2"/>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tcBorders>
              <w:right w:val="single" w:sz="8" w:color="CFF0FC"/>
            </w:tcBorders>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0" w:type="dxa"/>
            <w:vAlign w:val="bottom"/>
            <w:tcBorders>
              <w:left w:val="single" w:sz="8" w:color="CFF0FC"/>
            </w:tcBorders>
            <w:shd w:val="clear" w:color="auto" w:fill="CFF0FC"/>
          </w:tcPr>
          <w:p>
            <w:pPr>
              <w:spacing w:after="0"/>
              <w:rPr>
                <w:sz w:val="11"/>
                <w:szCs w:val="11"/>
                <w:color w:val="auto"/>
              </w:rPr>
            </w:pPr>
          </w:p>
        </w:tc>
        <w:tc>
          <w:tcPr>
            <w:tcW w:w="900" w:type="dxa"/>
            <w:vAlign w:val="bottom"/>
            <w:gridSpan w:val="2"/>
            <w:vMerge w:val="continue"/>
            <w:shd w:val="clear" w:color="auto" w:fill="CFF0FC"/>
          </w:tcPr>
          <w:p>
            <w:pPr>
              <w:spacing w:after="0"/>
              <w:rPr>
                <w:sz w:val="11"/>
                <w:szCs w:val="11"/>
                <w:color w:val="auto"/>
              </w:rPr>
            </w:pPr>
          </w:p>
        </w:tc>
        <w:tc>
          <w:tcPr>
            <w:tcW w:w="140" w:type="dxa"/>
            <w:vAlign w:val="bottom"/>
            <w:tcBorders>
              <w:left w:val="single" w:sz="8" w:color="CFF0FC"/>
            </w:tcBorders>
            <w:shd w:val="clear" w:color="auto" w:fill="CFF0FC"/>
          </w:tcPr>
          <w:p>
            <w:pPr>
              <w:spacing w:after="0"/>
              <w:rPr>
                <w:sz w:val="11"/>
                <w:szCs w:val="11"/>
                <w:color w:val="auto"/>
              </w:rPr>
            </w:pPr>
          </w:p>
        </w:tc>
        <w:tc>
          <w:tcPr>
            <w:tcW w:w="980" w:type="dxa"/>
            <w:vAlign w:val="bottom"/>
            <w:tcBorders>
              <w:right w:val="single" w:sz="8" w:color="CFF0FC"/>
            </w:tcBorders>
            <w:gridSpan w:val="2"/>
            <w:vMerge w:val="continue"/>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20" w:type="dxa"/>
            <w:vAlign w:val="bottom"/>
            <w:tcBorders>
              <w:right w:val="single" w:sz="8" w:color="CFF0FC"/>
            </w:tcBorders>
            <w:gridSpan w:val="2"/>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340" w:type="dxa"/>
            <w:vAlign w:val="bottom"/>
            <w:tcBorders>
              <w:right w:val="single" w:sz="8" w:color="auto"/>
            </w:tcBorders>
            <w:shd w:val="clear" w:color="auto" w:fill="CFF0FC"/>
          </w:tcPr>
          <w:p>
            <w:pPr>
              <w:spacing w:after="0" w:line="20" w:lineRule="exact"/>
              <w:rPr>
                <w:sz w:val="1"/>
                <w:szCs w:val="1"/>
                <w:color w:val="auto"/>
              </w:rPr>
            </w:pPr>
          </w:p>
        </w:tc>
        <w:tc>
          <w:tcPr>
            <w:tcW w:w="60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tcBorders>
              <w:left w:val="single" w:sz="8" w:color="CFF0FC"/>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tcBorders>
              <w:left w:val="single" w:sz="8" w:color="CFF0FC"/>
            </w:tcBorders>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May 4, 2024</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232,949</w:t>
            </w:r>
          </w:p>
        </w:tc>
        <w:tc>
          <w:tcPr>
            <w:tcW w:w="2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37,791</w:t>
            </w:r>
          </w:p>
        </w:tc>
        <w:tc>
          <w:tcPr>
            <w:tcW w:w="240" w:type="dxa"/>
            <w:vAlign w:val="bottom"/>
          </w:tcPr>
          <w:p>
            <w:pPr>
              <w:spacing w:after="0"/>
              <w:rPr>
                <w:sz w:val="12"/>
                <w:szCs w:val="12"/>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37,791</w:t>
            </w:r>
          </w:p>
        </w:tc>
        <w:tc>
          <w:tcPr>
            <w:tcW w:w="220" w:type="dxa"/>
            <w:vAlign w:val="bottom"/>
            <w:gridSpan w:val="2"/>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271</w:t>
            </w:r>
          </w:p>
        </w:tc>
        <w:tc>
          <w:tcPr>
            <w:tcW w:w="160" w:type="dxa"/>
            <w:vAlign w:val="bottom"/>
          </w:tcPr>
          <w:p>
            <w:pPr>
              <w:spacing w:after="0"/>
              <w:rPr>
                <w:sz w:val="12"/>
                <w:szCs w:val="12"/>
                <w:color w:val="auto"/>
              </w:rPr>
            </w:pP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2,246,756</w:t>
            </w:r>
          </w:p>
        </w:tc>
        <w:tc>
          <w:tcPr>
            <w:tcW w:w="180" w:type="dxa"/>
            <w:vAlign w:val="bottom"/>
          </w:tcPr>
          <w:p>
            <w:pPr>
              <w:spacing w:after="0"/>
              <w:rPr>
                <w:sz w:val="12"/>
                <w:szCs w:val="12"/>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(1,093,726 )</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9,008</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1,162,309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3340" w:type="dxa"/>
            <w:vAlign w:val="bottom"/>
            <w:tcBorders>
              <w:right w:val="single" w:sz="8" w:color="CFF0FC"/>
            </w:tcBorders>
            <w:shd w:val="clear" w:color="auto" w:fill="CFF0FC"/>
          </w:tcPr>
          <w:p>
            <w:pPr>
              <w:ind w:left="20"/>
              <w:spacing w:after="0" w:line="105" w:lineRule="exact"/>
              <w:rPr>
                <w:sz w:val="20"/>
                <w:szCs w:val="20"/>
                <w:color w:val="auto"/>
              </w:rPr>
            </w:pPr>
            <w:r>
              <w:rPr>
                <w:rFonts w:ascii="Times New Roman" w:cs="Times New Roman" w:eastAsia="Times New Roman" w:hAnsi="Times New Roman"/>
                <w:sz w:val="11"/>
                <w:szCs w:val="11"/>
                <w:color w:val="auto"/>
              </w:rPr>
              <w:t>Equity-based compensation expense</w:t>
            </w:r>
          </w:p>
        </w:tc>
        <w:tc>
          <w:tcPr>
            <w:tcW w:w="60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62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720" w:type="dxa"/>
            <w:vAlign w:val="bottom"/>
            <w:tcBorders>
              <w:righ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40" w:type="dxa"/>
            <w:vAlign w:val="bottom"/>
            <w:tcBorders>
              <w:left w:val="single" w:sz="8" w:color="CFF0FC"/>
            </w:tcBorders>
            <w:shd w:val="clear" w:color="auto" w:fill="CFF0FC"/>
          </w:tcPr>
          <w:p>
            <w:pPr>
              <w:spacing w:after="0"/>
              <w:rPr>
                <w:sz w:val="9"/>
                <w:szCs w:val="9"/>
                <w:color w:val="auto"/>
              </w:rPr>
            </w:pPr>
          </w:p>
        </w:tc>
        <w:tc>
          <w:tcPr>
            <w:tcW w:w="76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34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(Note 6)</w:t>
            </w: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2"/>
                <w:szCs w:val="12"/>
                <w:color w:val="auto"/>
              </w:rPr>
            </w:pPr>
          </w:p>
        </w:tc>
        <w:tc>
          <w:tcPr>
            <w:tcW w:w="200" w:type="dxa"/>
            <w:vAlign w:val="bottom"/>
            <w:tcBorders>
              <w:left w:val="single" w:sz="8" w:color="CFF0FC"/>
            </w:tcBorders>
            <w:shd w:val="clear" w:color="auto" w:fill="CFF0FC"/>
          </w:tcPr>
          <w:p>
            <w:pPr>
              <w:spacing w:after="0"/>
              <w:rPr>
                <w:sz w:val="12"/>
                <w:szCs w:val="12"/>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11,879</w:t>
            </w:r>
          </w:p>
        </w:tc>
        <w:tc>
          <w:tcPr>
            <w:tcW w:w="180" w:type="dxa"/>
            <w:vAlign w:val="bottom"/>
            <w:shd w:val="clear" w:color="auto" w:fill="CFF0FC"/>
          </w:tcPr>
          <w:p>
            <w:pPr>
              <w:spacing w:after="0"/>
              <w:rPr>
                <w:sz w:val="12"/>
                <w:szCs w:val="12"/>
                <w:color w:val="auto"/>
              </w:rPr>
            </w:pPr>
          </w:p>
        </w:tc>
        <w:tc>
          <w:tcPr>
            <w:tcW w:w="140" w:type="dxa"/>
            <w:vAlign w:val="bottom"/>
            <w:tcBorders>
              <w:left w:val="single" w:sz="8" w:color="CFF0FC"/>
            </w:tcBorders>
            <w:shd w:val="clear" w:color="auto" w:fill="CFF0FC"/>
          </w:tcPr>
          <w:p>
            <w:pPr>
              <w:spacing w:after="0"/>
              <w:rPr>
                <w:sz w:val="12"/>
                <w:szCs w:val="12"/>
                <w:color w:val="auto"/>
              </w:rPr>
            </w:pPr>
          </w:p>
        </w:tc>
        <w:tc>
          <w:tcPr>
            <w:tcW w:w="9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10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11,879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(24,823 )</w:t>
            </w:r>
          </w:p>
        </w:tc>
        <w:tc>
          <w:tcPr>
            <w:tcW w:w="6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(24,823 )</w:t>
            </w:r>
          </w:p>
        </w:tc>
        <w:tc>
          <w:tcPr>
            <w:tcW w:w="0" w:type="dxa"/>
            <w:vAlign w:val="bottom"/>
          </w:tcPr>
          <w:p>
            <w:pPr>
              <w:spacing w:after="0"/>
              <w:rPr>
                <w:sz w:val="1"/>
                <w:szCs w:val="1"/>
                <w:color w:val="auto"/>
              </w:rPr>
            </w:pPr>
          </w:p>
        </w:tc>
      </w:tr>
      <w:tr>
        <w:trPr>
          <w:trHeight w:val="125"/>
        </w:trPr>
        <w:tc>
          <w:tcPr>
            <w:tcW w:w="3340" w:type="dxa"/>
            <w:vAlign w:val="bottom"/>
            <w:tcBorders>
              <w:right w:val="single" w:sz="8" w:color="CFF0FC"/>
            </w:tcBorders>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60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62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72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40" w:type="dxa"/>
            <w:vAlign w:val="bottom"/>
            <w:tcBorders>
              <w:left w:val="single" w:sz="8" w:color="CFF0FC"/>
            </w:tcBorders>
            <w:shd w:val="clear" w:color="auto" w:fill="CFF0FC"/>
          </w:tcPr>
          <w:p>
            <w:pPr>
              <w:spacing w:after="0"/>
              <w:rPr>
                <w:sz w:val="10"/>
                <w:szCs w:val="10"/>
                <w:color w:val="auto"/>
              </w:rPr>
            </w:pPr>
          </w:p>
        </w:tc>
        <w:tc>
          <w:tcPr>
            <w:tcW w:w="76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4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adjustment, net of tax</w:t>
            </w: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2"/>
                <w:szCs w:val="12"/>
                <w:color w:val="auto"/>
              </w:rPr>
            </w:pPr>
          </w:p>
        </w:tc>
        <w:tc>
          <w:tcPr>
            <w:tcW w:w="200" w:type="dxa"/>
            <w:vAlign w:val="bottom"/>
            <w:tcBorders>
              <w:left w:val="single" w:sz="8" w:color="CFF0FC"/>
            </w:tcBorders>
            <w:shd w:val="clear" w:color="auto" w:fill="CFF0FC"/>
          </w:tcPr>
          <w:p>
            <w:pPr>
              <w:spacing w:after="0"/>
              <w:rPr>
                <w:sz w:val="12"/>
                <w:szCs w:val="12"/>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12"/>
                <w:szCs w:val="12"/>
                <w:color w:val="auto"/>
              </w:rPr>
            </w:pPr>
          </w:p>
        </w:tc>
        <w:tc>
          <w:tcPr>
            <w:tcW w:w="9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10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(10,921 )</w:t>
            </w: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(10,921 )</w:t>
            </w:r>
          </w:p>
        </w:tc>
        <w:tc>
          <w:tcPr>
            <w:tcW w:w="0" w:type="dxa"/>
            <w:vAlign w:val="bottom"/>
          </w:tcPr>
          <w:p>
            <w:pPr>
              <w:spacing w:after="0"/>
              <w:rPr>
                <w:sz w:val="1"/>
                <w:szCs w:val="1"/>
                <w:color w:val="auto"/>
              </w:rPr>
            </w:pPr>
          </w:p>
        </w:tc>
      </w:tr>
      <w:tr>
        <w:trPr>
          <w:trHeight w:val="121"/>
        </w:trPr>
        <w:tc>
          <w:tcPr>
            <w:tcW w:w="334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Unrealized loss on derivatives (Note 4),</w:t>
            </w: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3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of tax</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(7,848 )</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(7,848 )</w:t>
            </w:r>
          </w:p>
        </w:tc>
        <w:tc>
          <w:tcPr>
            <w:tcW w:w="0" w:type="dxa"/>
            <w:vAlign w:val="bottom"/>
          </w:tcPr>
          <w:p>
            <w:pPr>
              <w:spacing w:after="0"/>
              <w:rPr>
                <w:sz w:val="1"/>
                <w:szCs w:val="1"/>
                <w:color w:val="auto"/>
              </w:rPr>
            </w:pPr>
          </w:p>
        </w:tc>
      </w:tr>
      <w:tr>
        <w:trPr>
          <w:trHeight w:val="125"/>
        </w:trPr>
        <w:tc>
          <w:tcPr>
            <w:tcW w:w="3340" w:type="dxa"/>
            <w:vAlign w:val="bottom"/>
            <w:tcBorders>
              <w:right w:val="single" w:sz="8" w:color="CFF0FC"/>
            </w:tcBorders>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Gains on derivatives reclassified to</w:t>
            </w:r>
          </w:p>
        </w:tc>
        <w:tc>
          <w:tcPr>
            <w:tcW w:w="60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62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72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40" w:type="dxa"/>
            <w:vAlign w:val="bottom"/>
            <w:tcBorders>
              <w:left w:val="single" w:sz="8" w:color="CFF0FC"/>
            </w:tcBorders>
            <w:shd w:val="clear" w:color="auto" w:fill="CFF0FC"/>
          </w:tcPr>
          <w:p>
            <w:pPr>
              <w:spacing w:after="0"/>
              <w:rPr>
                <w:sz w:val="10"/>
                <w:szCs w:val="10"/>
                <w:color w:val="auto"/>
              </w:rPr>
            </w:pPr>
          </w:p>
        </w:tc>
        <w:tc>
          <w:tcPr>
            <w:tcW w:w="76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4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income (Note 4), net of tax</w:t>
            </w: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2"/>
                <w:szCs w:val="12"/>
                <w:color w:val="auto"/>
              </w:rPr>
            </w:pPr>
          </w:p>
        </w:tc>
        <w:tc>
          <w:tcPr>
            <w:tcW w:w="200" w:type="dxa"/>
            <w:vAlign w:val="bottom"/>
            <w:tcBorders>
              <w:left w:val="single" w:sz="8" w:color="CFF0FC"/>
            </w:tcBorders>
            <w:shd w:val="clear" w:color="auto" w:fill="CFF0FC"/>
          </w:tcPr>
          <w:p>
            <w:pPr>
              <w:spacing w:after="0"/>
              <w:rPr>
                <w:sz w:val="12"/>
                <w:szCs w:val="12"/>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12"/>
                <w:szCs w:val="12"/>
                <w:color w:val="auto"/>
              </w:rPr>
            </w:pPr>
          </w:p>
        </w:tc>
        <w:tc>
          <w:tcPr>
            <w:tcW w:w="9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10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(862 )</w:t>
            </w: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(862 )</w:t>
            </w:r>
          </w:p>
        </w:tc>
        <w:tc>
          <w:tcPr>
            <w:tcW w:w="0" w:type="dxa"/>
            <w:vAlign w:val="bottom"/>
          </w:tcPr>
          <w:p>
            <w:pPr>
              <w:spacing w:after="0"/>
              <w:rPr>
                <w:sz w:val="1"/>
                <w:szCs w:val="1"/>
                <w:color w:val="auto"/>
              </w:rPr>
            </w:pPr>
          </w:p>
        </w:tc>
      </w:tr>
      <w:tr>
        <w:trPr>
          <w:trHeight w:val="121"/>
        </w:trPr>
        <w:tc>
          <w:tcPr>
            <w:tcW w:w="334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Issuance of common stock,</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2,878</w:t>
            </w:r>
          </w:p>
        </w:tc>
        <w:tc>
          <w:tcPr>
            <w:tcW w:w="2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1,746</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1,749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of tax withholdings</w:t>
            </w:r>
          </w:p>
        </w:tc>
        <w:tc>
          <w:tcPr>
            <w:tcW w:w="600" w:type="dxa"/>
            <w:vAlign w:val="bottom"/>
            <w:tcBorders>
              <w:bottom w:val="single" w:sz="8" w:color="auto"/>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bottom w:val="single" w:sz="8" w:color="auto"/>
            </w:tcBorders>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34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August 3, 2024</w:t>
            </w: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235,827</w:t>
            </w:r>
          </w:p>
        </w:tc>
        <w:tc>
          <w:tcPr>
            <w:tcW w:w="240" w:type="dxa"/>
            <w:vAlign w:val="bottom"/>
            <w:tcBorders>
              <w:right w:val="single" w:sz="8" w:color="CFF0FC"/>
            </w:tcBorders>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37,791</w:t>
            </w:r>
          </w:p>
        </w:tc>
        <w:tc>
          <w:tcPr>
            <w:tcW w:w="240" w:type="dxa"/>
            <w:vAlign w:val="bottom"/>
            <w:tcBorders>
              <w:right w:val="single" w:sz="8" w:color="CFF0FC"/>
            </w:tcBorders>
            <w:shd w:val="clear" w:color="auto" w:fill="CFF0FC"/>
          </w:tcPr>
          <w:p>
            <w:pPr>
              <w:spacing w:after="0"/>
              <w:rPr>
                <w:sz w:val="13"/>
                <w:szCs w:val="13"/>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37,791</w:t>
            </w:r>
          </w:p>
        </w:tc>
        <w:tc>
          <w:tcPr>
            <w:tcW w:w="220" w:type="dxa"/>
            <w:vAlign w:val="bottom"/>
            <w:gridSpan w:val="2"/>
            <w:shd w:val="clear" w:color="auto" w:fill="CFF0FC"/>
          </w:tcPr>
          <w:p>
            <w:pPr>
              <w:spacing w:after="0"/>
              <w:rPr>
                <w:sz w:val="13"/>
                <w:szCs w:val="13"/>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274</w:t>
            </w:r>
          </w:p>
        </w:tc>
        <w:tc>
          <w:tcPr>
            <w:tcW w:w="160" w:type="dxa"/>
            <w:vAlign w:val="bottom"/>
            <w:shd w:val="clear" w:color="auto" w:fill="CFF0FC"/>
          </w:tcPr>
          <w:p>
            <w:pPr>
              <w:spacing w:after="0"/>
              <w:rPr>
                <w:sz w:val="13"/>
                <w:szCs w:val="13"/>
                <w:color w:val="auto"/>
              </w:rPr>
            </w:pPr>
          </w:p>
        </w:tc>
        <w:tc>
          <w:tcPr>
            <w:tcW w:w="200" w:type="dxa"/>
            <w:vAlign w:val="bottom"/>
            <w:tcBorders>
              <w:left w:val="single" w:sz="8" w:color="CFF0FC"/>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2,260,381</w:t>
            </w:r>
          </w:p>
        </w:tc>
        <w:tc>
          <w:tcPr>
            <w:tcW w:w="180" w:type="dxa"/>
            <w:vAlign w:val="bottom"/>
            <w:shd w:val="clear" w:color="auto" w:fill="CFF0FC"/>
          </w:tcPr>
          <w:p>
            <w:pPr>
              <w:spacing w:after="0"/>
              <w:rPr>
                <w:sz w:val="13"/>
                <w:szCs w:val="13"/>
                <w:color w:val="auto"/>
              </w:rPr>
            </w:pPr>
          </w:p>
        </w:tc>
        <w:tc>
          <w:tcPr>
            <w:tcW w:w="140" w:type="dxa"/>
            <w:vAlign w:val="bottom"/>
            <w:tcBorders>
              <w:lef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(1,118,549 )</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(10,623 )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1,131,483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6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6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7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33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tcPr>
          <w:p>
            <w:pPr>
              <w:jc w:val="center"/>
              <w:ind w:right="320"/>
              <w:spacing w:after="0" w:line="120"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Class</w:t>
            </w:r>
          </w:p>
        </w:tc>
        <w:tc>
          <w:tcPr>
            <w:tcW w:w="240" w:type="dxa"/>
            <w:vAlign w:val="bottom"/>
          </w:tcPr>
          <w:p>
            <w:pPr>
              <w:spacing w:after="0"/>
              <w:rPr>
                <w:sz w:val="10"/>
                <w:szCs w:val="10"/>
                <w:color w:val="auto"/>
              </w:rPr>
            </w:pPr>
          </w:p>
        </w:tc>
        <w:tc>
          <w:tcPr>
            <w:tcW w:w="62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5"/>
              </w:rPr>
              <w:t>Class</w:t>
            </w:r>
          </w:p>
        </w:tc>
        <w:tc>
          <w:tcPr>
            <w:tcW w:w="240" w:type="dxa"/>
            <w:vAlign w:val="bottom"/>
          </w:tcPr>
          <w:p>
            <w:pPr>
              <w:spacing w:after="0"/>
              <w:rPr>
                <w:sz w:val="10"/>
                <w:szCs w:val="10"/>
                <w:color w:val="auto"/>
              </w:rPr>
            </w:pPr>
          </w:p>
        </w:tc>
        <w:tc>
          <w:tcPr>
            <w:tcW w:w="680" w:type="dxa"/>
            <w:vAlign w:val="bottom"/>
            <w:gridSpan w:val="2"/>
          </w:tcPr>
          <w:p>
            <w:pPr>
              <w:jc w:val="right"/>
              <w:ind w:right="280"/>
              <w:spacing w:after="0" w:line="122" w:lineRule="exact"/>
              <w:rPr>
                <w:sz w:val="20"/>
                <w:szCs w:val="20"/>
                <w:color w:val="auto"/>
              </w:rPr>
            </w:pPr>
            <w:r>
              <w:rPr>
                <w:rFonts w:ascii="Times New Roman" w:cs="Times New Roman" w:eastAsia="Times New Roman" w:hAnsi="Times New Roman"/>
                <w:sz w:val="11"/>
                <w:szCs w:val="11"/>
                <w:b w:val="1"/>
                <w:bCs w:val="1"/>
                <w:color w:val="auto"/>
              </w:rPr>
              <w:t>Class</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rPr>
              <w:t>other</w:t>
            </w:r>
          </w:p>
        </w:tc>
        <w:tc>
          <w:tcPr>
            <w:tcW w:w="10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A</w:t>
            </w:r>
          </w:p>
        </w:tc>
        <w:tc>
          <w:tcPr>
            <w:tcW w:w="240" w:type="dxa"/>
            <w:vAlign w:val="bottom"/>
          </w:tcPr>
          <w:p>
            <w:pPr>
              <w:spacing w:after="0"/>
              <w:rPr>
                <w:sz w:val="10"/>
                <w:szCs w:val="10"/>
                <w:color w:val="auto"/>
              </w:rPr>
            </w:pPr>
          </w:p>
        </w:tc>
        <w:tc>
          <w:tcPr>
            <w:tcW w:w="62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6"/>
              </w:rPr>
              <w:t>B-1</w:t>
            </w:r>
          </w:p>
        </w:tc>
        <w:tc>
          <w:tcPr>
            <w:tcW w:w="240" w:type="dxa"/>
            <w:vAlign w:val="bottom"/>
          </w:tcPr>
          <w:p>
            <w:pPr>
              <w:spacing w:after="0"/>
              <w:rPr>
                <w:sz w:val="10"/>
                <w:szCs w:val="10"/>
                <w:color w:val="auto"/>
              </w:rPr>
            </w:pPr>
          </w:p>
        </w:tc>
        <w:tc>
          <w:tcPr>
            <w:tcW w:w="680" w:type="dxa"/>
            <w:vAlign w:val="bottom"/>
            <w:gridSpan w:val="2"/>
          </w:tcPr>
          <w:p>
            <w:pPr>
              <w:jc w:val="right"/>
              <w:ind w:right="320"/>
              <w:spacing w:after="0" w:line="122" w:lineRule="exact"/>
              <w:rPr>
                <w:sz w:val="20"/>
                <w:szCs w:val="20"/>
                <w:color w:val="auto"/>
              </w:rPr>
            </w:pPr>
            <w:r>
              <w:rPr>
                <w:rFonts w:ascii="Times New Roman" w:cs="Times New Roman" w:eastAsia="Times New Roman" w:hAnsi="Times New Roman"/>
                <w:sz w:val="11"/>
                <w:szCs w:val="11"/>
                <w:b w:val="1"/>
                <w:bCs w:val="1"/>
                <w:color w:val="auto"/>
              </w:rPr>
              <w:t>B-2</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Additional paid-in</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comprehensive</w:t>
            </w:r>
          </w:p>
        </w:tc>
        <w:tc>
          <w:tcPr>
            <w:tcW w:w="10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146"/>
        </w:trPr>
        <w:tc>
          <w:tcPr>
            <w:tcW w:w="3340" w:type="dxa"/>
            <w:vAlign w:val="bottom"/>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(shares)</w:t>
            </w:r>
          </w:p>
        </w:tc>
        <w:tc>
          <w:tcPr>
            <w:tcW w:w="240" w:type="dxa"/>
            <w:vAlign w:val="bottom"/>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Pr>
          <w:p>
            <w:pPr>
              <w:spacing w:after="0"/>
              <w:rPr>
                <w:sz w:val="12"/>
                <w:szCs w:val="12"/>
                <w:color w:val="auto"/>
              </w:rPr>
            </w:pPr>
          </w:p>
        </w:tc>
        <w:tc>
          <w:tcPr>
            <w:tcW w:w="6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80" w:type="dxa"/>
            <w:vAlign w:val="bottom"/>
          </w:tcPr>
          <w:p>
            <w:pPr>
              <w:spacing w:after="0"/>
              <w:rPr>
                <w:sz w:val="12"/>
                <w:szCs w:val="12"/>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w w:val="98"/>
              </w:rPr>
              <w:t>Retained earnings</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5"/>
              </w:rPr>
              <w:t>(loss) income</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34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January 28, 2023</w:t>
            </w: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228,338</w:t>
            </w:r>
          </w:p>
        </w:tc>
        <w:tc>
          <w:tcPr>
            <w:tcW w:w="86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37,791</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37,791</w:t>
            </w:r>
          </w:p>
        </w:tc>
        <w:tc>
          <w:tcPr>
            <w:tcW w:w="8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266</w:t>
            </w:r>
          </w:p>
        </w:tc>
        <w:tc>
          <w:tcPr>
            <w:tcW w:w="3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2,152,342</w:t>
            </w:r>
          </w:p>
        </w:tc>
        <w:tc>
          <w:tcPr>
            <w:tcW w:w="180" w:type="dxa"/>
            <w:vAlign w:val="bottom"/>
            <w:shd w:val="clear" w:color="auto" w:fill="CFF0FC"/>
          </w:tcPr>
          <w:p>
            <w:pPr>
              <w:spacing w:after="0"/>
              <w:rPr>
                <w:sz w:val="12"/>
                <w:szCs w:val="12"/>
                <w:color w:val="auto"/>
              </w:rPr>
            </w:pPr>
          </w:p>
        </w:tc>
        <w:tc>
          <w:tcPr>
            <w:tcW w:w="140" w:type="dxa"/>
            <w:vAlign w:val="bottom"/>
            <w:tcBorders>
              <w:lef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232,967</w:t>
            </w:r>
          </w:p>
        </w:tc>
        <w:tc>
          <w:tcPr>
            <w:tcW w:w="22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10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(4,098 )</w:t>
            </w:r>
          </w:p>
        </w:tc>
        <w:tc>
          <w:tcPr>
            <w:tcW w:w="10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2,381,477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4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Equity-based compensation expense</w:t>
            </w: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3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(Note 6)</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22,282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4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3"/>
                <w:szCs w:val="13"/>
                <w:color w:val="auto"/>
              </w:rPr>
            </w:pP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3"/>
                <w:szCs w:val="13"/>
                <w:color w:val="auto"/>
              </w:rPr>
            </w:pPr>
          </w:p>
        </w:tc>
        <w:tc>
          <w:tcPr>
            <w:tcW w:w="200" w:type="dxa"/>
            <w:vAlign w:val="bottom"/>
            <w:tcBorders>
              <w:left w:val="single" w:sz="8" w:color="CFF0FC"/>
            </w:tcBorders>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13"/>
                <w:szCs w:val="13"/>
                <w:color w:val="auto"/>
              </w:rPr>
            </w:pPr>
          </w:p>
        </w:tc>
        <w:tc>
          <w:tcPr>
            <w:tcW w:w="9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(1,892 )</w:t>
            </w:r>
          </w:p>
        </w:tc>
        <w:tc>
          <w:tcPr>
            <w:tcW w:w="60" w:type="dxa"/>
            <w:vAlign w:val="bottom"/>
            <w:shd w:val="clear" w:color="auto" w:fill="CFF0FC"/>
          </w:tcPr>
          <w:p>
            <w:pPr>
              <w:spacing w:after="0"/>
              <w:rPr>
                <w:sz w:val="13"/>
                <w:szCs w:val="13"/>
                <w:color w:val="auto"/>
              </w:rPr>
            </w:pPr>
          </w:p>
        </w:tc>
        <w:tc>
          <w:tcPr>
            <w:tcW w:w="10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(1,892 )</w:t>
            </w:r>
          </w:p>
        </w:tc>
        <w:tc>
          <w:tcPr>
            <w:tcW w:w="0" w:type="dxa"/>
            <w:vAlign w:val="bottom"/>
          </w:tcPr>
          <w:p>
            <w:pPr>
              <w:spacing w:after="0"/>
              <w:rPr>
                <w:sz w:val="1"/>
                <w:szCs w:val="1"/>
                <w:color w:val="auto"/>
              </w:rPr>
            </w:pPr>
          </w:p>
        </w:tc>
      </w:tr>
      <w:tr>
        <w:trPr>
          <w:trHeight w:val="121"/>
        </w:trPr>
        <w:tc>
          <w:tcPr>
            <w:tcW w:w="334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3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adjustment, net of tax</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340" w:type="dxa"/>
            <w:vAlign w:val="bottom"/>
            <w:tcBorders>
              <w:right w:val="single" w:sz="8" w:color="CFF0FC"/>
            </w:tcBorders>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Unrealized loss on derivatives (Note 4),</w:t>
            </w:r>
          </w:p>
        </w:tc>
        <w:tc>
          <w:tcPr>
            <w:tcW w:w="60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62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72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40" w:type="dxa"/>
            <w:vAlign w:val="bottom"/>
            <w:tcBorders>
              <w:left w:val="single" w:sz="8" w:color="CFF0FC"/>
            </w:tcBorders>
            <w:shd w:val="clear" w:color="auto" w:fill="CFF0FC"/>
          </w:tcPr>
          <w:p>
            <w:pPr>
              <w:spacing w:after="0"/>
              <w:rPr>
                <w:sz w:val="10"/>
                <w:szCs w:val="10"/>
                <w:color w:val="auto"/>
              </w:rPr>
            </w:pPr>
          </w:p>
        </w:tc>
        <w:tc>
          <w:tcPr>
            <w:tcW w:w="76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4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net of tax</w:t>
            </w: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2"/>
                <w:szCs w:val="12"/>
                <w:color w:val="auto"/>
              </w:rPr>
            </w:pPr>
          </w:p>
        </w:tc>
        <w:tc>
          <w:tcPr>
            <w:tcW w:w="200" w:type="dxa"/>
            <w:vAlign w:val="bottom"/>
            <w:tcBorders>
              <w:left w:val="single" w:sz="8" w:color="CFF0FC"/>
            </w:tcBorders>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12"/>
                <w:szCs w:val="12"/>
                <w:color w:val="auto"/>
              </w:rPr>
            </w:pPr>
          </w:p>
        </w:tc>
        <w:tc>
          <w:tcPr>
            <w:tcW w:w="9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10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(984 )</w:t>
            </w: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(984 )</w:t>
            </w:r>
          </w:p>
        </w:tc>
        <w:tc>
          <w:tcPr>
            <w:tcW w:w="0" w:type="dxa"/>
            <w:vAlign w:val="bottom"/>
          </w:tcPr>
          <w:p>
            <w:pPr>
              <w:spacing w:after="0"/>
              <w:rPr>
                <w:sz w:val="1"/>
                <w:szCs w:val="1"/>
                <w:color w:val="auto"/>
              </w:rPr>
            </w:pPr>
          </w:p>
        </w:tc>
      </w:tr>
      <w:tr>
        <w:trPr>
          <w:trHeight w:val="121"/>
        </w:trPr>
        <w:tc>
          <w:tcPr>
            <w:tcW w:w="334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Losses on derivatives reclassified to</w:t>
            </w: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3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income (Note 4), net of tax</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340" w:type="dxa"/>
            <w:vAlign w:val="bottom"/>
            <w:tcBorders>
              <w:right w:val="single" w:sz="8" w:color="CFF0FC"/>
            </w:tcBorders>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Issuance of common stock,</w:t>
            </w:r>
          </w:p>
        </w:tc>
        <w:tc>
          <w:tcPr>
            <w:tcW w:w="6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727</w:t>
            </w:r>
          </w:p>
        </w:tc>
        <w:tc>
          <w:tcPr>
            <w:tcW w:w="240" w:type="dxa"/>
            <w:vAlign w:val="bottom"/>
            <w:tcBorders>
              <w:right w:val="single" w:sz="8" w:color="CFF0FC"/>
            </w:tcBorders>
            <w:shd w:val="clear" w:color="auto" w:fill="CFF0FC"/>
          </w:tcPr>
          <w:p>
            <w:pPr>
              <w:spacing w:after="0"/>
              <w:rPr>
                <w:sz w:val="10"/>
                <w:szCs w:val="10"/>
                <w:color w:val="auto"/>
              </w:rPr>
            </w:pPr>
          </w:p>
        </w:tc>
        <w:tc>
          <w:tcPr>
            <w:tcW w:w="62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vMerge w:val="restart"/>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tcBorders>
              <w:right w:val="single" w:sz="8" w:color="CFF0FC"/>
            </w:tcBorders>
            <w:vMerge w:val="restart"/>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16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(1,254 )</w:t>
            </w:r>
          </w:p>
        </w:tc>
        <w:tc>
          <w:tcPr>
            <w:tcW w:w="140" w:type="dxa"/>
            <w:vAlign w:val="bottom"/>
            <w:tcBorders>
              <w:left w:val="single" w:sz="8" w:color="CFF0FC"/>
            </w:tcBorders>
            <w:shd w:val="clear" w:color="auto" w:fill="CFF0FC"/>
          </w:tcPr>
          <w:p>
            <w:pPr>
              <w:spacing w:after="0"/>
              <w:rPr>
                <w:sz w:val="10"/>
                <w:szCs w:val="10"/>
                <w:color w:val="auto"/>
              </w:rPr>
            </w:pPr>
          </w:p>
        </w:tc>
        <w:tc>
          <w:tcPr>
            <w:tcW w:w="980" w:type="dxa"/>
            <w:vAlign w:val="bottom"/>
            <w:tcBorders>
              <w:right w:val="single" w:sz="8" w:color="CFF0FC"/>
            </w:tcBorders>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1020" w:type="dxa"/>
            <w:vAlign w:val="bottom"/>
            <w:tcBorders>
              <w:right w:val="single" w:sz="8" w:color="CFF0FC"/>
            </w:tcBorders>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(1,253 )</w:t>
            </w:r>
          </w:p>
        </w:tc>
        <w:tc>
          <w:tcPr>
            <w:tcW w:w="0" w:type="dxa"/>
            <w:vAlign w:val="bottom"/>
          </w:tcPr>
          <w:p>
            <w:pPr>
              <w:spacing w:after="0"/>
              <w:rPr>
                <w:sz w:val="1"/>
                <w:szCs w:val="1"/>
                <w:color w:val="auto"/>
              </w:rPr>
            </w:pPr>
          </w:p>
        </w:tc>
      </w:tr>
      <w:tr>
        <w:trPr>
          <w:trHeight w:val="135"/>
        </w:trPr>
        <w:tc>
          <w:tcPr>
            <w:tcW w:w="334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net of tax withholdings</w:t>
            </w:r>
          </w:p>
        </w:tc>
        <w:tc>
          <w:tcPr>
            <w:tcW w:w="600" w:type="dxa"/>
            <w:vAlign w:val="bottom"/>
            <w:tcBorders>
              <w:right w:val="single" w:sz="8" w:color="CFF0FC"/>
            </w:tcBorders>
            <w:vMerge w:val="continue"/>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620" w:type="dxa"/>
            <w:vAlign w:val="bottom"/>
            <w:tcBorders>
              <w:right w:val="single" w:sz="8" w:color="CFF0FC"/>
            </w:tcBorders>
            <w:vMerge w:val="continue"/>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600" w:type="dxa"/>
            <w:vAlign w:val="bottom"/>
            <w:vMerge w:val="continue"/>
            <w:shd w:val="clear" w:color="auto" w:fill="CFF0FC"/>
          </w:tcPr>
          <w:p>
            <w:pPr>
              <w:spacing w:after="0"/>
              <w:rPr>
                <w:sz w:val="11"/>
                <w:szCs w:val="11"/>
                <w:color w:val="auto"/>
              </w:rPr>
            </w:pPr>
          </w:p>
        </w:tc>
        <w:tc>
          <w:tcPr>
            <w:tcW w:w="80" w:type="dxa"/>
            <w:vAlign w:val="bottom"/>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tcBorders>
              <w:right w:val="single" w:sz="8" w:color="CFF0FC"/>
            </w:tcBorders>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0" w:type="dxa"/>
            <w:vAlign w:val="bottom"/>
            <w:tcBorders>
              <w:left w:val="single" w:sz="8" w:color="CFF0FC"/>
            </w:tcBorders>
            <w:shd w:val="clear" w:color="auto" w:fill="CFF0FC"/>
          </w:tcPr>
          <w:p>
            <w:pPr>
              <w:spacing w:after="0"/>
              <w:rPr>
                <w:sz w:val="11"/>
                <w:szCs w:val="11"/>
                <w:color w:val="auto"/>
              </w:rPr>
            </w:pPr>
          </w:p>
        </w:tc>
        <w:tc>
          <w:tcPr>
            <w:tcW w:w="900" w:type="dxa"/>
            <w:vAlign w:val="bottom"/>
            <w:gridSpan w:val="2"/>
            <w:vMerge w:val="continue"/>
            <w:shd w:val="clear" w:color="auto" w:fill="CFF0FC"/>
          </w:tcPr>
          <w:p>
            <w:pPr>
              <w:spacing w:after="0"/>
              <w:rPr>
                <w:sz w:val="11"/>
                <w:szCs w:val="11"/>
                <w:color w:val="auto"/>
              </w:rPr>
            </w:pPr>
          </w:p>
        </w:tc>
        <w:tc>
          <w:tcPr>
            <w:tcW w:w="140" w:type="dxa"/>
            <w:vAlign w:val="bottom"/>
            <w:tcBorders>
              <w:left w:val="single" w:sz="8" w:color="CFF0FC"/>
            </w:tcBorders>
            <w:shd w:val="clear" w:color="auto" w:fill="CFF0FC"/>
          </w:tcPr>
          <w:p>
            <w:pPr>
              <w:spacing w:after="0"/>
              <w:rPr>
                <w:sz w:val="11"/>
                <w:szCs w:val="11"/>
                <w:color w:val="auto"/>
              </w:rPr>
            </w:pPr>
          </w:p>
        </w:tc>
        <w:tc>
          <w:tcPr>
            <w:tcW w:w="980" w:type="dxa"/>
            <w:vAlign w:val="bottom"/>
            <w:tcBorders>
              <w:right w:val="single" w:sz="8" w:color="CFF0FC"/>
            </w:tcBorders>
            <w:gridSpan w:val="2"/>
            <w:vMerge w:val="continue"/>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20" w:type="dxa"/>
            <w:vAlign w:val="bottom"/>
            <w:tcBorders>
              <w:right w:val="single" w:sz="8" w:color="CFF0FC"/>
            </w:tcBorders>
            <w:gridSpan w:val="2"/>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340" w:type="dxa"/>
            <w:vAlign w:val="bottom"/>
            <w:tcBorders>
              <w:right w:val="single" w:sz="8" w:color="CFF0FC"/>
            </w:tcBorders>
            <w:shd w:val="clear" w:color="auto" w:fill="CFF0FC"/>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62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April 29, 2023</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229,065</w:t>
            </w:r>
          </w:p>
        </w:tc>
        <w:tc>
          <w:tcPr>
            <w:tcW w:w="2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37,791</w:t>
            </w:r>
          </w:p>
        </w:tc>
        <w:tc>
          <w:tcPr>
            <w:tcW w:w="2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37,791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267</w:t>
            </w:r>
          </w:p>
        </w:tc>
        <w:tc>
          <w:tcPr>
            <w:tcW w:w="160" w:type="dxa"/>
            <w:vAlign w:val="bottom"/>
          </w:tcPr>
          <w:p>
            <w:pPr>
              <w:spacing w:after="0"/>
              <w:rPr>
                <w:sz w:val="12"/>
                <w:szCs w:val="12"/>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2,173,370</w:t>
            </w:r>
          </w:p>
        </w:tc>
        <w:tc>
          <w:tcPr>
            <w:tcW w:w="180" w:type="dxa"/>
            <w:vAlign w:val="bottom"/>
          </w:tcPr>
          <w:p>
            <w:pPr>
              <w:spacing w:after="0"/>
              <w:rPr>
                <w:sz w:val="12"/>
                <w:szCs w:val="12"/>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231,075</w:t>
            </w:r>
          </w:p>
        </w:tc>
        <w:tc>
          <w:tcPr>
            <w:tcW w:w="2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(3,592 )</w:t>
            </w:r>
          </w:p>
        </w:tc>
        <w:tc>
          <w:tcPr>
            <w:tcW w:w="100" w:type="dxa"/>
            <w:vAlign w:val="bottom"/>
          </w:tcPr>
          <w:p>
            <w:pPr>
              <w:jc w:val="right"/>
              <w:ind w:right="20"/>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2,401,120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3340" w:type="dxa"/>
            <w:vAlign w:val="bottom"/>
            <w:tcBorders>
              <w:right w:val="single" w:sz="8" w:color="CFF0FC"/>
            </w:tcBorders>
            <w:shd w:val="clear" w:color="auto" w:fill="CFF0FC"/>
          </w:tcPr>
          <w:p>
            <w:pPr>
              <w:ind w:left="20"/>
              <w:spacing w:after="0" w:line="105" w:lineRule="exact"/>
              <w:rPr>
                <w:sz w:val="20"/>
                <w:szCs w:val="20"/>
                <w:color w:val="auto"/>
              </w:rPr>
            </w:pPr>
            <w:r>
              <w:rPr>
                <w:rFonts w:ascii="Times New Roman" w:cs="Times New Roman" w:eastAsia="Times New Roman" w:hAnsi="Times New Roman"/>
                <w:sz w:val="11"/>
                <w:szCs w:val="11"/>
                <w:color w:val="auto"/>
              </w:rPr>
              <w:t>Equity-based compensation expense</w:t>
            </w:r>
          </w:p>
        </w:tc>
        <w:tc>
          <w:tcPr>
            <w:tcW w:w="60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62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720" w:type="dxa"/>
            <w:vAlign w:val="bottom"/>
            <w:tcBorders>
              <w:righ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40" w:type="dxa"/>
            <w:vAlign w:val="bottom"/>
            <w:tcBorders>
              <w:left w:val="single" w:sz="8" w:color="CFF0FC"/>
            </w:tcBorders>
            <w:shd w:val="clear" w:color="auto" w:fill="CFF0FC"/>
          </w:tcPr>
          <w:p>
            <w:pPr>
              <w:spacing w:after="0"/>
              <w:rPr>
                <w:sz w:val="9"/>
                <w:szCs w:val="9"/>
                <w:color w:val="auto"/>
              </w:rPr>
            </w:pPr>
          </w:p>
        </w:tc>
        <w:tc>
          <w:tcPr>
            <w:tcW w:w="76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34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(Note 6)</w:t>
            </w: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2"/>
                <w:szCs w:val="12"/>
                <w:color w:val="auto"/>
              </w:rPr>
            </w:pPr>
          </w:p>
        </w:tc>
        <w:tc>
          <w:tcPr>
            <w:tcW w:w="200" w:type="dxa"/>
            <w:vAlign w:val="bottom"/>
            <w:tcBorders>
              <w:left w:val="single" w:sz="8" w:color="CFF0FC"/>
            </w:tcBorders>
            <w:shd w:val="clear" w:color="auto" w:fill="CFF0FC"/>
          </w:tcPr>
          <w:p>
            <w:pPr>
              <w:spacing w:after="0"/>
              <w:rPr>
                <w:sz w:val="12"/>
                <w:szCs w:val="12"/>
                <w:color w:val="auto"/>
              </w:rPr>
            </w:pPr>
          </w:p>
        </w:tc>
        <w:tc>
          <w:tcPr>
            <w:tcW w:w="72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24,322</w:t>
            </w:r>
          </w:p>
        </w:tc>
        <w:tc>
          <w:tcPr>
            <w:tcW w:w="180" w:type="dxa"/>
            <w:vAlign w:val="bottom"/>
            <w:shd w:val="clear" w:color="auto" w:fill="CFF0FC"/>
          </w:tcPr>
          <w:p>
            <w:pPr>
              <w:spacing w:after="0"/>
              <w:rPr>
                <w:sz w:val="12"/>
                <w:szCs w:val="12"/>
                <w:color w:val="auto"/>
              </w:rPr>
            </w:pPr>
          </w:p>
        </w:tc>
        <w:tc>
          <w:tcPr>
            <w:tcW w:w="140" w:type="dxa"/>
            <w:vAlign w:val="bottom"/>
            <w:tcBorders>
              <w:left w:val="single" w:sz="8" w:color="CFF0FC"/>
            </w:tcBorders>
            <w:shd w:val="clear" w:color="auto" w:fill="CFF0FC"/>
          </w:tcPr>
          <w:p>
            <w:pPr>
              <w:spacing w:after="0"/>
              <w:rPr>
                <w:sz w:val="12"/>
                <w:szCs w:val="12"/>
                <w:color w:val="auto"/>
              </w:rPr>
            </w:pPr>
          </w:p>
        </w:tc>
        <w:tc>
          <w:tcPr>
            <w:tcW w:w="9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10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24,322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(14,606 )</w:t>
            </w:r>
          </w:p>
        </w:tc>
        <w:tc>
          <w:tcPr>
            <w:tcW w:w="6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(14,606 )</w:t>
            </w:r>
          </w:p>
        </w:tc>
        <w:tc>
          <w:tcPr>
            <w:tcW w:w="0" w:type="dxa"/>
            <w:vAlign w:val="bottom"/>
          </w:tcPr>
          <w:p>
            <w:pPr>
              <w:spacing w:after="0"/>
              <w:rPr>
                <w:sz w:val="1"/>
                <w:szCs w:val="1"/>
                <w:color w:val="auto"/>
              </w:rPr>
            </w:pPr>
          </w:p>
        </w:tc>
      </w:tr>
      <w:tr>
        <w:trPr>
          <w:trHeight w:val="125"/>
        </w:trPr>
        <w:tc>
          <w:tcPr>
            <w:tcW w:w="3340" w:type="dxa"/>
            <w:vAlign w:val="bottom"/>
            <w:tcBorders>
              <w:right w:val="single" w:sz="8" w:color="CFF0FC"/>
            </w:tcBorders>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60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62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72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40" w:type="dxa"/>
            <w:vAlign w:val="bottom"/>
            <w:tcBorders>
              <w:left w:val="single" w:sz="8" w:color="CFF0FC"/>
            </w:tcBorders>
            <w:shd w:val="clear" w:color="auto" w:fill="CFF0FC"/>
          </w:tcPr>
          <w:p>
            <w:pPr>
              <w:spacing w:after="0"/>
              <w:rPr>
                <w:sz w:val="10"/>
                <w:szCs w:val="10"/>
                <w:color w:val="auto"/>
              </w:rPr>
            </w:pPr>
          </w:p>
        </w:tc>
        <w:tc>
          <w:tcPr>
            <w:tcW w:w="76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4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adjustment, net of tax</w:t>
            </w: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2"/>
                <w:szCs w:val="12"/>
                <w:color w:val="auto"/>
              </w:rPr>
            </w:pPr>
          </w:p>
        </w:tc>
        <w:tc>
          <w:tcPr>
            <w:tcW w:w="200" w:type="dxa"/>
            <w:vAlign w:val="bottom"/>
            <w:tcBorders>
              <w:left w:val="single" w:sz="8" w:color="CFF0FC"/>
            </w:tcBorders>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12"/>
                <w:szCs w:val="12"/>
                <w:color w:val="auto"/>
              </w:rPr>
            </w:pPr>
          </w:p>
        </w:tc>
        <w:tc>
          <w:tcPr>
            <w:tcW w:w="9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1,107</w:t>
            </w:r>
          </w:p>
        </w:tc>
        <w:tc>
          <w:tcPr>
            <w:tcW w:w="2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1,107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4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Unrealized gain on derivatives (Note 4),</w:t>
            </w: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3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of tax</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3,915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340" w:type="dxa"/>
            <w:vAlign w:val="bottom"/>
            <w:tcBorders>
              <w:right w:val="single" w:sz="8" w:color="CFF0FC"/>
            </w:tcBorders>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Losses on derivatives reclassified to</w:t>
            </w:r>
          </w:p>
        </w:tc>
        <w:tc>
          <w:tcPr>
            <w:tcW w:w="60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62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72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40" w:type="dxa"/>
            <w:vAlign w:val="bottom"/>
            <w:tcBorders>
              <w:left w:val="single" w:sz="8" w:color="CFF0FC"/>
            </w:tcBorders>
            <w:shd w:val="clear" w:color="auto" w:fill="CFF0FC"/>
          </w:tcPr>
          <w:p>
            <w:pPr>
              <w:spacing w:after="0"/>
              <w:rPr>
                <w:sz w:val="10"/>
                <w:szCs w:val="10"/>
                <w:color w:val="auto"/>
              </w:rPr>
            </w:pPr>
          </w:p>
        </w:tc>
        <w:tc>
          <w:tcPr>
            <w:tcW w:w="76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4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income (Note 4), net of tax</w:t>
            </w: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2"/>
                <w:szCs w:val="12"/>
                <w:color w:val="auto"/>
              </w:rPr>
            </w:pPr>
          </w:p>
        </w:tc>
        <w:tc>
          <w:tcPr>
            <w:tcW w:w="200" w:type="dxa"/>
            <w:vAlign w:val="bottom"/>
            <w:tcBorders>
              <w:left w:val="single" w:sz="8" w:color="CFF0FC"/>
            </w:tcBorders>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12"/>
                <w:szCs w:val="12"/>
                <w:color w:val="auto"/>
              </w:rPr>
            </w:pPr>
          </w:p>
        </w:tc>
        <w:tc>
          <w:tcPr>
            <w:tcW w:w="9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361</w:t>
            </w:r>
          </w:p>
        </w:tc>
        <w:tc>
          <w:tcPr>
            <w:tcW w:w="2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4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Issuance of common stock,</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761</w:t>
            </w:r>
          </w:p>
        </w:tc>
        <w:tc>
          <w:tcPr>
            <w:tcW w:w="2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(1,457 )</w:t>
            </w:r>
          </w:p>
        </w:tc>
        <w:tc>
          <w:tcPr>
            <w:tcW w:w="140" w:type="dxa"/>
            <w:vAlign w:val="bottom"/>
          </w:tcPr>
          <w:p>
            <w:pPr>
              <w:spacing w:after="0"/>
              <w:rPr>
                <w:sz w:val="10"/>
                <w:szCs w:val="10"/>
                <w:color w:val="auto"/>
              </w:rPr>
            </w:pPr>
          </w:p>
        </w:tc>
        <w:tc>
          <w:tcPr>
            <w:tcW w:w="9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10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(1,456 )</w:t>
            </w:r>
          </w:p>
        </w:tc>
        <w:tc>
          <w:tcPr>
            <w:tcW w:w="0" w:type="dxa"/>
            <w:vAlign w:val="bottom"/>
          </w:tcPr>
          <w:p>
            <w:pPr>
              <w:spacing w:after="0"/>
              <w:rPr>
                <w:sz w:val="1"/>
                <w:szCs w:val="1"/>
                <w:color w:val="auto"/>
              </w:rPr>
            </w:pPr>
          </w:p>
        </w:tc>
      </w:tr>
      <w:tr>
        <w:trPr>
          <w:trHeight w:val="135"/>
        </w:trPr>
        <w:tc>
          <w:tcPr>
            <w:tcW w:w="33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of tax withholdings</w:t>
            </w:r>
          </w:p>
        </w:tc>
        <w:tc>
          <w:tcPr>
            <w:tcW w:w="6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34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July 29, 2023</w:t>
            </w:r>
          </w:p>
        </w:tc>
        <w:tc>
          <w:tcPr>
            <w:tcW w:w="6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229,826</w:t>
            </w:r>
          </w:p>
        </w:tc>
        <w:tc>
          <w:tcPr>
            <w:tcW w:w="240" w:type="dxa"/>
            <w:vAlign w:val="bottom"/>
            <w:tcBorders>
              <w:bottom w:val="single" w:sz="8" w:color="CFF0FC"/>
              <w:right w:val="single" w:sz="8" w:color="CFF0FC"/>
            </w:tcBorders>
            <w:shd w:val="clear" w:color="auto" w:fill="CFF0FC"/>
          </w:tcPr>
          <w:p>
            <w:pPr>
              <w:spacing w:after="0"/>
              <w:rPr>
                <w:sz w:val="15"/>
                <w:szCs w:val="15"/>
                <w:color w:val="auto"/>
              </w:rPr>
            </w:pPr>
          </w:p>
        </w:tc>
        <w:tc>
          <w:tcPr>
            <w:tcW w:w="6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37,791</w:t>
            </w:r>
          </w:p>
        </w:tc>
        <w:tc>
          <w:tcPr>
            <w:tcW w:w="240" w:type="dxa"/>
            <w:vAlign w:val="bottom"/>
            <w:tcBorders>
              <w:bottom w:val="single" w:sz="8" w:color="CFF0FC"/>
              <w:right w:val="single" w:sz="8" w:color="CFF0FC"/>
            </w:tcBorders>
            <w:shd w:val="clear" w:color="auto" w:fill="CFF0FC"/>
          </w:tcPr>
          <w:p>
            <w:pPr>
              <w:spacing w:after="0"/>
              <w:rPr>
                <w:sz w:val="15"/>
                <w:szCs w:val="15"/>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37,791</w:t>
            </w:r>
          </w:p>
        </w:tc>
        <w:tc>
          <w:tcPr>
            <w:tcW w:w="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740" w:type="dxa"/>
            <w:vAlign w:val="bottom"/>
            <w:tcBorders>
              <w:top w:val="single" w:sz="8" w:color="auto"/>
              <w:bottom w:val="single" w:sz="8" w:color="auto"/>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268</w:t>
            </w:r>
          </w:p>
        </w:tc>
        <w:tc>
          <w:tcPr>
            <w:tcW w:w="1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top w:val="single" w:sz="8" w:color="auto"/>
              <w:left w:val="single" w:sz="8" w:color="CFF0FC"/>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2,196,235</w:t>
            </w:r>
          </w:p>
        </w:tc>
        <w:tc>
          <w:tcPr>
            <w:tcW w:w="1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left w:val="single" w:sz="8" w:color="CFF0FC"/>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216,470</w:t>
            </w:r>
          </w:p>
        </w:tc>
        <w:tc>
          <w:tcPr>
            <w:tcW w:w="220" w:type="dxa"/>
            <w:vAlign w:val="bottom"/>
            <w:tcBorders>
              <w:bottom w:val="single" w:sz="8" w:color="CFF0FC"/>
              <w:right w:val="single" w:sz="8" w:color="CFF0FC"/>
            </w:tcBorders>
            <w:shd w:val="clear" w:color="auto" w:fill="CFF0FC"/>
          </w:tcPr>
          <w:p>
            <w:pPr>
              <w:spacing w:after="0"/>
              <w:rPr>
                <w:sz w:val="15"/>
                <w:szCs w:val="15"/>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1,791</w:t>
            </w:r>
          </w:p>
        </w:tc>
        <w:tc>
          <w:tcPr>
            <w:tcW w:w="220" w:type="dxa"/>
            <w:vAlign w:val="bottom"/>
            <w:tcBorders>
              <w:bottom w:val="single" w:sz="8" w:color="CFF0FC"/>
              <w:right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2,414,764</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2487930</wp:posOffset>
            </wp:positionH>
            <wp:positionV relativeFrom="paragraph">
              <wp:posOffset>-4023995</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3044825</wp:posOffset>
            </wp:positionH>
            <wp:positionV relativeFrom="paragraph">
              <wp:posOffset>-4023995</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-4023995</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-4023995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-4023995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-4023995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-4023995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-4023995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2487930</wp:posOffset>
            </wp:positionH>
            <wp:positionV relativeFrom="paragraph">
              <wp:posOffset>-2850515</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2487930</wp:posOffset>
            </wp:positionH>
            <wp:positionV relativeFrom="paragraph">
              <wp:posOffset>-2833370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3044825</wp:posOffset>
            </wp:positionH>
            <wp:positionV relativeFrom="paragraph">
              <wp:posOffset>-2850515</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3044825</wp:posOffset>
            </wp:positionH>
            <wp:positionV relativeFrom="paragraph">
              <wp:posOffset>-2833370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-2850515</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-2833370</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-2850515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-2833370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-2850515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-2833370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-2850515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-2833370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-2850515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-2833370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-2850515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-2833370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2496820</wp:posOffset>
            </wp:positionH>
            <wp:positionV relativeFrom="paragraph">
              <wp:posOffset>-1198245</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3027680</wp:posOffset>
            </wp:positionH>
            <wp:positionV relativeFrom="paragraph">
              <wp:posOffset>-1198245</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-1198245</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-1198245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-1198245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-1198245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-1198245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-1198245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2496820</wp:posOffset>
            </wp:positionH>
            <wp:positionV relativeFrom="paragraph">
              <wp:posOffset>-24765</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2496820</wp:posOffset>
            </wp:positionH>
            <wp:positionV relativeFrom="paragraph">
              <wp:posOffset>-7620</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3027680</wp:posOffset>
            </wp:positionH>
            <wp:positionV relativeFrom="paragraph">
              <wp:posOffset>-24765</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3027680</wp:posOffset>
            </wp:positionH>
            <wp:positionV relativeFrom="paragraph">
              <wp:posOffset>-7620</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-24765</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-7620</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8" w:name="page9"/>
    <w:bookmarkEnd w:id="8"/>
    <w:p>
      <w:pPr>
        <w:ind w:left="348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7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Twenty-six weeks ended</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7700" w:type="dxa"/>
            <w:vAlign w:val="bottom"/>
          </w:tcPr>
          <w:p>
            <w:pPr>
              <w:spacing w:after="0"/>
              <w:rPr>
                <w:sz w:val="10"/>
                <w:szCs w:val="10"/>
                <w:color w:val="auto"/>
              </w:rPr>
            </w:pPr>
          </w:p>
        </w:tc>
        <w:tc>
          <w:tcPr>
            <w:tcW w:w="1060" w:type="dxa"/>
            <w:vAlign w:val="bottom"/>
          </w:tcPr>
          <w:p>
            <w:pPr>
              <w:jc w:val="right"/>
              <w:spacing w:after="0" w:line="123"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40" w:type="dxa"/>
            <w:vAlign w:val="bottom"/>
          </w:tcPr>
          <w:p>
            <w:pPr>
              <w:jc w:val="right"/>
              <w:ind w:right="513"/>
              <w:spacing w:after="0" w:line="123" w:lineRule="exact"/>
              <w:rPr>
                <w:sz w:val="20"/>
                <w:szCs w:val="20"/>
                <w:color w:val="auto"/>
              </w:rPr>
            </w:pPr>
            <w:r>
              <w:rPr>
                <w:rFonts w:ascii="Times New Roman" w:cs="Times New Roman" w:eastAsia="Times New Roman" w:hAnsi="Times New Roman"/>
                <w:sz w:val="13"/>
                <w:szCs w:val="13"/>
                <w:b w:val="1"/>
                <w:bCs w:val="1"/>
                <w:color w:val="auto"/>
              </w:rPr>
              <w:t>July 29,</w:t>
            </w:r>
          </w:p>
        </w:tc>
        <w:tc>
          <w:tcPr>
            <w:tcW w:w="100" w:type="dxa"/>
            <w:vAlign w:val="bottom"/>
          </w:tcPr>
          <w:p>
            <w:pPr>
              <w:spacing w:after="0"/>
              <w:rPr>
                <w:sz w:val="10"/>
                <w:szCs w:val="10"/>
                <w:color w:val="auto"/>
              </w:rPr>
            </w:pPr>
          </w:p>
        </w:tc>
      </w:tr>
      <w:tr>
        <w:trPr>
          <w:trHeight w:val="167"/>
        </w:trPr>
        <w:tc>
          <w:tcPr>
            <w:tcW w:w="7700" w:type="dxa"/>
            <w:vAlign w:val="bottom"/>
          </w:tcPr>
          <w:p>
            <w:pPr>
              <w:spacing w:after="0"/>
              <w:rPr>
                <w:sz w:val="14"/>
                <w:szCs w:val="14"/>
                <w:color w:val="auto"/>
              </w:rPr>
            </w:pPr>
          </w:p>
        </w:tc>
        <w:tc>
          <w:tcPr>
            <w:tcW w:w="10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r>
      <w:tr>
        <w:trPr>
          <w:trHeight w:val="17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10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Net loss</w:t>
            </w:r>
          </w:p>
        </w:tc>
        <w:tc>
          <w:tcPr>
            <w:tcW w:w="1060" w:type="dxa"/>
            <w:vAlign w:val="bottom"/>
          </w:tcPr>
          <w:p>
            <w:pPr>
              <w:jc w:val="right"/>
              <w:ind w:right="91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(71,306 )</w:t>
            </w:r>
          </w:p>
        </w:tc>
        <w:tc>
          <w:tcPr>
            <w:tcW w:w="540" w:type="dxa"/>
            <w:vAlign w:val="bottom"/>
          </w:tcPr>
          <w:p>
            <w:pPr>
              <w:jc w:val="right"/>
              <w:ind w:right="39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(16,498 )</w:t>
            </w:r>
          </w:p>
        </w:tc>
      </w:tr>
      <w:tr>
        <w:trPr>
          <w:trHeight w:val="149"/>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Adjustments to reconcile net loss to net cash provided by operating</w:t>
            </w:r>
          </w:p>
        </w:tc>
        <w:tc>
          <w:tcPr>
            <w:tcW w:w="10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75"/>
        </w:trPr>
        <w:tc>
          <w:tcPr>
            <w:tcW w:w="7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activities:</w:t>
            </w:r>
          </w:p>
        </w:tc>
        <w:tc>
          <w:tcPr>
            <w:tcW w:w="10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99,305</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97,919</w:t>
            </w:r>
          </w:p>
        </w:tc>
        <w:tc>
          <w:tcPr>
            <w:tcW w:w="100" w:type="dxa"/>
            <w:vAlign w:val="bottom"/>
          </w:tcPr>
          <w:p>
            <w:pPr>
              <w:spacing w:after="0"/>
              <w:rPr>
                <w:sz w:val="15"/>
                <w:szCs w:val="15"/>
                <w:color w:val="auto"/>
              </w:rPr>
            </w:pPr>
          </w:p>
        </w:tc>
      </w:tr>
      <w:tr>
        <w:trPr>
          <w:trHeight w:val="17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Amortization of debt discounts and issuance costs</w:t>
            </w:r>
          </w:p>
        </w:tc>
        <w:tc>
          <w:tcPr>
            <w:tcW w:w="10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2,435</w:t>
            </w:r>
          </w:p>
        </w:tc>
        <w:tc>
          <w:tcPr>
            <w:tcW w:w="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2,446</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Provision for deferred taxes</w:t>
            </w:r>
          </w:p>
        </w:tc>
        <w:tc>
          <w:tcPr>
            <w:tcW w:w="106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(27,782 )</w:t>
            </w:r>
          </w:p>
        </w:tc>
        <w:tc>
          <w:tcPr>
            <w:tcW w:w="54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(11,002 )</w:t>
            </w:r>
          </w:p>
        </w:tc>
      </w:tr>
      <w:tr>
        <w:trPr>
          <w:trHeight w:val="17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Equity-based compensation</w:t>
            </w:r>
          </w:p>
        </w:tc>
        <w:tc>
          <w:tcPr>
            <w:tcW w:w="10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29,348</w:t>
            </w:r>
          </w:p>
        </w:tc>
        <w:tc>
          <w:tcPr>
            <w:tcW w:w="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46,248</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Impairments, write-offs and losses on sale of fixed and other assets</w:t>
            </w:r>
          </w:p>
        </w:tc>
        <w:tc>
          <w:tcPr>
            <w:tcW w:w="1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7,069</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1,035</w:t>
            </w:r>
          </w:p>
        </w:tc>
        <w:tc>
          <w:tcPr>
            <w:tcW w:w="100" w:type="dxa"/>
            <w:vAlign w:val="bottom"/>
          </w:tcPr>
          <w:p>
            <w:pPr>
              <w:spacing w:after="0"/>
              <w:rPr>
                <w:sz w:val="15"/>
                <w:szCs w:val="15"/>
                <w:color w:val="auto"/>
              </w:rPr>
            </w:pPr>
          </w:p>
        </w:tc>
      </w:tr>
      <w:tr>
        <w:trPr>
          <w:trHeight w:val="17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Loss on partial extinguishment of debt</w:t>
            </w:r>
          </w:p>
        </w:tc>
        <w:tc>
          <w:tcPr>
            <w:tcW w:w="10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746</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Income from equity method investees</w:t>
            </w:r>
          </w:p>
        </w:tc>
        <w:tc>
          <w:tcPr>
            <w:tcW w:w="106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(9,077 )</w:t>
            </w:r>
          </w:p>
        </w:tc>
        <w:tc>
          <w:tcPr>
            <w:tcW w:w="54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(6,458 )</w:t>
            </w:r>
          </w:p>
        </w:tc>
      </w:tr>
      <w:tr>
        <w:trPr>
          <w:trHeight w:val="17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Amounts reclassified out of accumulated other comprehensive (loss) income</w:t>
            </w:r>
          </w:p>
        </w:tc>
        <w:tc>
          <w:tcPr>
            <w:tcW w:w="10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(2,274 )</w:t>
            </w: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1,055</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Non-cash operating lease costs</w:t>
            </w:r>
          </w:p>
        </w:tc>
        <w:tc>
          <w:tcPr>
            <w:tcW w:w="1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207,605</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211,576</w:t>
            </w:r>
          </w:p>
        </w:tc>
        <w:tc>
          <w:tcPr>
            <w:tcW w:w="100" w:type="dxa"/>
            <w:vAlign w:val="bottom"/>
          </w:tcPr>
          <w:p>
            <w:pPr>
              <w:spacing w:after="0"/>
              <w:rPr>
                <w:sz w:val="15"/>
                <w:szCs w:val="15"/>
                <w:color w:val="auto"/>
              </w:rPr>
            </w:pPr>
          </w:p>
        </w:tc>
      </w:tr>
      <w:tr>
        <w:trPr>
          <w:trHeight w:val="17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Other non-operating loss (income)</w:t>
            </w:r>
          </w:p>
        </w:tc>
        <w:tc>
          <w:tcPr>
            <w:tcW w:w="10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2,665</w:t>
            </w:r>
          </w:p>
        </w:tc>
        <w:tc>
          <w:tcPr>
            <w:tcW w:w="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(4,614 )</w:t>
            </w: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Changes in assets and liabilities:</w:t>
            </w: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Receivables</w:t>
            </w:r>
          </w:p>
        </w:tc>
        <w:tc>
          <w:tcPr>
            <w:tcW w:w="10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(2,083 )</w:t>
            </w:r>
          </w:p>
        </w:tc>
        <w:tc>
          <w:tcPr>
            <w:tcW w:w="5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(16,679 )</w:t>
            </w:r>
          </w:p>
        </w:tc>
      </w:tr>
      <w:tr>
        <w:trPr>
          <w:trHeight w:val="175"/>
        </w:trPr>
        <w:tc>
          <w:tcPr>
            <w:tcW w:w="7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Merchandise inventories</w:t>
            </w:r>
          </w:p>
        </w:tc>
        <w:tc>
          <w:tcPr>
            <w:tcW w:w="1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11,769</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(23,011 )</w:t>
            </w:r>
          </w:p>
        </w:tc>
      </w:tr>
      <w:tr>
        <w:trPr>
          <w:trHeight w:val="176"/>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10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(7,166 )</w:t>
            </w:r>
          </w:p>
        </w:tc>
        <w:tc>
          <w:tcPr>
            <w:tcW w:w="5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(14,237 )</w:t>
            </w:r>
          </w:p>
        </w:tc>
      </w:tr>
      <w:tr>
        <w:trPr>
          <w:trHeight w:val="175"/>
        </w:trPr>
        <w:tc>
          <w:tcPr>
            <w:tcW w:w="7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Accounts payable and book overdrafts</w:t>
            </w:r>
          </w:p>
        </w:tc>
        <w:tc>
          <w:tcPr>
            <w:tcW w:w="106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(9,644 )</w:t>
            </w: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97,062</w:t>
            </w:r>
          </w:p>
        </w:tc>
        <w:tc>
          <w:tcPr>
            <w:tcW w:w="100" w:type="dxa"/>
            <w:vAlign w:val="bottom"/>
          </w:tcPr>
          <w:p>
            <w:pPr>
              <w:spacing w:after="0"/>
              <w:rPr>
                <w:sz w:val="15"/>
                <w:szCs w:val="15"/>
                <w:color w:val="auto"/>
              </w:rPr>
            </w:pPr>
          </w:p>
        </w:tc>
      </w:tr>
      <w:tr>
        <w:trPr>
          <w:trHeight w:val="176"/>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Accrued salaries and employee benefits</w:t>
            </w:r>
          </w:p>
        </w:tc>
        <w:tc>
          <w:tcPr>
            <w:tcW w:w="10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34,591</w:t>
            </w:r>
          </w:p>
        </w:tc>
        <w:tc>
          <w:tcPr>
            <w:tcW w:w="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1,221</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1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3,015</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(1,238 )</w:t>
            </w:r>
          </w:p>
        </w:tc>
      </w:tr>
      <w:tr>
        <w:trPr>
          <w:trHeight w:val="176"/>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10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(209,738 )</w:t>
            </w:r>
          </w:p>
        </w:tc>
        <w:tc>
          <w:tcPr>
            <w:tcW w:w="5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(232,518 )</w:t>
            </w:r>
          </w:p>
        </w:tc>
      </w:tr>
      <w:tr>
        <w:trPr>
          <w:trHeight w:val="175"/>
        </w:trPr>
        <w:tc>
          <w:tcPr>
            <w:tcW w:w="7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10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2,224</w:t>
            </w:r>
          </w:p>
        </w:tc>
        <w:tc>
          <w:tcPr>
            <w:tcW w:w="2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1,212</w:t>
            </w:r>
          </w:p>
        </w:tc>
        <w:tc>
          <w:tcPr>
            <w:tcW w:w="100" w:type="dxa"/>
            <w:vAlign w:val="bottom"/>
          </w:tcPr>
          <w:p>
            <w:pPr>
              <w:spacing w:after="0"/>
              <w:rPr>
                <w:sz w:val="15"/>
                <w:szCs w:val="15"/>
                <w:color w:val="auto"/>
              </w:rPr>
            </w:pPr>
          </w:p>
        </w:tc>
      </w:tr>
      <w:tr>
        <w:trPr>
          <w:trHeight w:val="169"/>
        </w:trPr>
        <w:tc>
          <w:tcPr>
            <w:tcW w:w="770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106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60,956</w:t>
            </w:r>
          </w:p>
        </w:tc>
        <w:tc>
          <w:tcPr>
            <w:tcW w:w="26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134,265</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Cash paid for fixed assets</w:t>
            </w:r>
          </w:p>
        </w:tc>
        <w:tc>
          <w:tcPr>
            <w:tcW w:w="10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(60,029 )</w:t>
            </w:r>
          </w:p>
        </w:tc>
        <w:tc>
          <w:tcPr>
            <w:tcW w:w="5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(114,023 )</w:t>
            </w: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Cash paid for acquisitions, net of cash acquired</w:t>
            </w:r>
          </w:p>
        </w:tc>
        <w:tc>
          <w:tcPr>
            <w:tcW w:w="106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(259 )</w:t>
            </w:r>
          </w:p>
        </w:tc>
        <w:tc>
          <w:tcPr>
            <w:tcW w:w="54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(2,040 )</w:t>
            </w: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Proceeds from investment</w:t>
            </w:r>
          </w:p>
        </w:tc>
        <w:tc>
          <w:tcPr>
            <w:tcW w:w="10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998</w:t>
            </w:r>
          </w:p>
        </w:tc>
        <w:tc>
          <w:tcPr>
            <w:tcW w:w="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10,248</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Proceeds from sale of assets</w:t>
            </w:r>
          </w:p>
        </w:tc>
        <w:tc>
          <w:tcPr>
            <w:tcW w:w="1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1,019</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Cash received from partial surrender of officers' life insurance</w:t>
            </w:r>
          </w:p>
        </w:tc>
        <w:tc>
          <w:tcPr>
            <w:tcW w:w="106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26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70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106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(58,065 )</w:t>
            </w:r>
          </w:p>
        </w:tc>
        <w:tc>
          <w:tcPr>
            <w:tcW w:w="540" w:type="dxa"/>
            <w:vAlign w:val="bottom"/>
          </w:tcPr>
          <w:p>
            <w:pPr>
              <w:spacing w:after="0"/>
              <w:rPr>
                <w:sz w:val="14"/>
                <w:szCs w:val="14"/>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(105,815 )</w:t>
            </w:r>
          </w:p>
        </w:tc>
      </w:tr>
      <w:tr>
        <w:trPr>
          <w:trHeight w:val="16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106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Borrowings under long-term debt agreements</w:t>
            </w:r>
          </w:p>
        </w:tc>
        <w:tc>
          <w:tcPr>
            <w:tcW w:w="1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201,000</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Repayments of long-term debt</w:t>
            </w:r>
          </w:p>
        </w:tc>
        <w:tc>
          <w:tcPr>
            <w:tcW w:w="10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(201,000 )</w:t>
            </w:r>
          </w:p>
        </w:tc>
        <w:tc>
          <w:tcPr>
            <w:tcW w:w="5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(60,000 )</w:t>
            </w: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Debt refinancing costs</w:t>
            </w:r>
          </w:p>
        </w:tc>
        <w:tc>
          <w:tcPr>
            <w:tcW w:w="106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(3,028 )</w:t>
            </w:r>
          </w:p>
        </w:tc>
        <w:tc>
          <w:tcPr>
            <w:tcW w:w="54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Payments for finance lease liabilities</w:t>
            </w:r>
          </w:p>
        </w:tc>
        <w:tc>
          <w:tcPr>
            <w:tcW w:w="10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(3,528 )</w:t>
            </w:r>
          </w:p>
        </w:tc>
        <w:tc>
          <w:tcPr>
            <w:tcW w:w="5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(3,349 )</w:t>
            </w: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Proceeds from employee stock purchase plan and stock option exercises</w:t>
            </w:r>
          </w:p>
        </w:tc>
        <w:tc>
          <w:tcPr>
            <w:tcW w:w="1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1,630</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2,454</w:t>
            </w:r>
          </w:p>
        </w:tc>
        <w:tc>
          <w:tcPr>
            <w:tcW w:w="100" w:type="dxa"/>
            <w:vAlign w:val="bottom"/>
          </w:tcPr>
          <w:p>
            <w:pPr>
              <w:spacing w:after="0"/>
              <w:rPr>
                <w:sz w:val="15"/>
                <w:szCs w:val="15"/>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Tax withholdings on stock-based awards</w:t>
            </w:r>
          </w:p>
        </w:tc>
        <w:tc>
          <w:tcPr>
            <w:tcW w:w="10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(3,468 )</w:t>
            </w:r>
          </w:p>
        </w:tc>
        <w:tc>
          <w:tcPr>
            <w:tcW w:w="5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(4,873 )</w:t>
            </w: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Proceeds from issuance of common stock</w:t>
            </w:r>
          </w:p>
        </w:tc>
        <w:tc>
          <w:tcPr>
            <w:tcW w:w="10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2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r>
      <w:tr>
        <w:trPr>
          <w:trHeight w:val="169"/>
        </w:trPr>
        <w:tc>
          <w:tcPr>
            <w:tcW w:w="77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3"/>
                <w:szCs w:val="13"/>
                <w:color w:val="auto"/>
              </w:rPr>
              <w:t>Net cash used in financing activities</w:t>
            </w:r>
          </w:p>
        </w:tc>
        <w:tc>
          <w:tcPr>
            <w:tcW w:w="106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(5,894 )</w:t>
            </w:r>
          </w:p>
        </w:tc>
        <w:tc>
          <w:tcPr>
            <w:tcW w:w="5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(65,768 )</w:t>
            </w:r>
          </w:p>
        </w:tc>
      </w:tr>
      <w:tr>
        <w:trPr>
          <w:trHeight w:val="20"/>
        </w:trPr>
        <w:tc>
          <w:tcPr>
            <w:tcW w:w="77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decrease in cash, cash equivalents and restricted cash</w:t>
            </w:r>
          </w:p>
        </w:tc>
        <w:tc>
          <w:tcPr>
            <w:tcW w:w="106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(3,003 )</w:t>
            </w:r>
          </w:p>
        </w:tc>
        <w:tc>
          <w:tcPr>
            <w:tcW w:w="540" w:type="dxa"/>
            <w:vAlign w:val="bottom"/>
          </w:tcPr>
          <w:p>
            <w:pPr>
              <w:spacing w:after="0"/>
              <w:rPr>
                <w:sz w:val="14"/>
                <w:szCs w:val="14"/>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(37,318 )</w:t>
            </w:r>
          </w:p>
        </w:tc>
      </w:tr>
      <w:tr>
        <w:trPr>
          <w:trHeight w:val="175"/>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period</w:t>
            </w:r>
          </w:p>
        </w:tc>
        <w:tc>
          <w:tcPr>
            <w:tcW w:w="106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136,649</w:t>
            </w:r>
          </w:p>
        </w:tc>
        <w:tc>
          <w:tcPr>
            <w:tcW w:w="26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213,727</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end of period</w:t>
            </w:r>
          </w:p>
        </w:tc>
        <w:tc>
          <w:tcPr>
            <w:tcW w:w="106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133,646</w:t>
            </w:r>
          </w:p>
        </w:tc>
        <w:tc>
          <w:tcPr>
            <w:tcW w:w="260" w:type="dxa"/>
            <w:vAlign w:val="bottom"/>
          </w:tcPr>
          <w:p>
            <w:pPr>
              <w:spacing w:after="0"/>
              <w:rPr>
                <w:sz w:val="14"/>
                <w:szCs w:val="14"/>
                <w:color w:val="auto"/>
              </w:rPr>
            </w:pPr>
          </w:p>
        </w:tc>
        <w:tc>
          <w:tcPr>
            <w:tcW w:w="5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176,409</w:t>
            </w:r>
          </w:p>
        </w:tc>
        <w:tc>
          <w:tcPr>
            <w:tcW w:w="100" w:type="dxa"/>
            <w:vAlign w:val="bottom"/>
          </w:tcPr>
          <w:p>
            <w:pPr>
              <w:spacing w:after="0"/>
              <w:rPr>
                <w:sz w:val="14"/>
                <w:szCs w:val="14"/>
                <w:color w:val="auto"/>
              </w:rPr>
            </w:pPr>
          </w:p>
        </w:tc>
      </w:tr>
      <w:tr>
        <w:trPr>
          <w:trHeight w:val="20"/>
        </w:trPr>
        <w:tc>
          <w:tcPr>
            <w:tcW w:w="7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Supplemental cash flow disclosures:</w:t>
            </w:r>
          </w:p>
        </w:tc>
        <w:tc>
          <w:tcPr>
            <w:tcW w:w="10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Interest paid, net</w:t>
            </w:r>
          </w:p>
        </w:tc>
        <w:tc>
          <w:tcPr>
            <w:tcW w:w="1060" w:type="dxa"/>
            <w:vAlign w:val="bottom"/>
          </w:tcPr>
          <w:p>
            <w:pPr>
              <w:jc w:val="right"/>
              <w:ind w:right="914"/>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69,399</w:t>
            </w:r>
          </w:p>
        </w:tc>
        <w:tc>
          <w:tcPr>
            <w:tcW w:w="260" w:type="dxa"/>
            <w:vAlign w:val="bottom"/>
          </w:tcPr>
          <w:p>
            <w:pPr>
              <w:spacing w:after="0"/>
              <w:rPr>
                <w:sz w:val="15"/>
                <w:szCs w:val="15"/>
                <w:color w:val="auto"/>
              </w:rPr>
            </w:pPr>
          </w:p>
        </w:tc>
        <w:tc>
          <w:tcPr>
            <w:tcW w:w="540" w:type="dxa"/>
            <w:vAlign w:val="bottom"/>
          </w:tcPr>
          <w:p>
            <w:pPr>
              <w:jc w:val="right"/>
              <w:ind w:right="393"/>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72,005</w:t>
            </w:r>
          </w:p>
        </w:tc>
        <w:tc>
          <w:tcPr>
            <w:tcW w:w="100" w:type="dxa"/>
            <w:vAlign w:val="bottom"/>
          </w:tcPr>
          <w:p>
            <w:pPr>
              <w:spacing w:after="0"/>
              <w:rPr>
                <w:sz w:val="15"/>
                <w:szCs w:val="15"/>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Income taxes paid</w:t>
            </w:r>
          </w:p>
        </w:tc>
        <w:tc>
          <w:tcPr>
            <w:tcW w:w="1060" w:type="dxa"/>
            <w:vAlign w:val="bottom"/>
            <w:shd w:val="clear" w:color="auto" w:fill="CFF0FC"/>
          </w:tcPr>
          <w:p>
            <w:pPr>
              <w:jc w:val="right"/>
              <w:ind w:right="914"/>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15,581</w:t>
            </w:r>
          </w:p>
        </w:tc>
        <w:tc>
          <w:tcPr>
            <w:tcW w:w="26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393"/>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27,423</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Supplemental non-cash investing and financing activities disclosure:</w:t>
            </w: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Accounts payable and accrued expenses for capital expenditures</w:t>
            </w:r>
          </w:p>
        </w:tc>
        <w:tc>
          <w:tcPr>
            <w:tcW w:w="1060" w:type="dxa"/>
            <w:vAlign w:val="bottom"/>
            <w:shd w:val="clear" w:color="auto" w:fill="CFF0FC"/>
          </w:tcPr>
          <w:p>
            <w:pPr>
              <w:jc w:val="right"/>
              <w:ind w:right="914"/>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15,684</w:t>
            </w:r>
          </w:p>
        </w:tc>
        <w:tc>
          <w:tcPr>
            <w:tcW w:w="26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393"/>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30,336</w:t>
            </w:r>
          </w:p>
        </w:tc>
        <w:tc>
          <w:tcPr>
            <w:tcW w:w="10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-2747645</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-2747645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-2071370</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-2071370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-932815</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-932815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-701675</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-701675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Petco Health and Wellness Company, Inc. (together with its consolidated subsidiaries, the “Company”) is a pet health and wellness company focused on improving the lives of pets, pet parents, and its own partners. The Company manages its business as one reportable operating segment.</w:t>
      </w:r>
    </w:p>
    <w:p>
      <w:pPr>
        <w:spacing w:after="0" w:line="163" w:lineRule="exact"/>
        <w:rPr>
          <w:sz w:val="20"/>
          <w:szCs w:val="20"/>
          <w:color w:val="auto"/>
        </w:rPr>
      </w:pPr>
    </w:p>
    <w:p>
      <w:pPr>
        <w:ind w:right="200" w:firstLine="509"/>
        <w:spacing w:after="0" w:line="265" w:lineRule="auto"/>
        <w:rPr>
          <w:sz w:val="20"/>
          <w:szCs w:val="20"/>
          <w:color w:val="auto"/>
        </w:rPr>
      </w:pPr>
      <w:r>
        <w:rPr>
          <w:rFonts w:ascii="Times New Roman" w:cs="Times New Roman" w:eastAsia="Times New Roman" w:hAnsi="Times New Roman"/>
          <w:sz w:val="18"/>
          <w:szCs w:val="18"/>
          <w:color w:val="auto"/>
        </w:rPr>
        <w:t>In the opinion of management, the accompanying consolidated financial statements contain all adjustments necessary for a fair presentation as prescribed by accounting principles generally accepted in the United States (“GAAP”). All adjustments were comprised of normal recurring adjustments, except as noted in these Notes to Consolidated Financial Statements.</w:t>
      </w:r>
    </w:p>
    <w:p>
      <w:pPr>
        <w:spacing w:after="0" w:line="177" w:lineRule="exact"/>
        <w:rPr>
          <w:sz w:val="20"/>
          <w:szCs w:val="20"/>
          <w:color w:val="auto"/>
        </w:rPr>
      </w:pPr>
    </w:p>
    <w:p>
      <w:pPr>
        <w:ind w:right="740" w:firstLine="509"/>
        <w:spacing w:after="0" w:line="281" w:lineRule="auto"/>
        <w:rPr>
          <w:sz w:val="20"/>
          <w:szCs w:val="20"/>
          <w:color w:val="auto"/>
        </w:rPr>
      </w:pPr>
      <w:r>
        <w:rPr>
          <w:rFonts w:ascii="Times New Roman" w:cs="Times New Roman" w:eastAsia="Times New Roman" w:hAnsi="Times New Roman"/>
          <w:sz w:val="18"/>
          <w:szCs w:val="18"/>
          <w:color w:val="auto"/>
        </w:rPr>
        <w:t>There have been no significant changes from the significant accounting policies disclosed in Note 1 of the Notes to Consolidated Financial Statements included in the Company’s Annual Report on Form 10-K for the fiscal year ended February 3, 2024.</w:t>
      </w:r>
    </w:p>
    <w:p>
      <w:pPr>
        <w:spacing w:after="0" w:line="16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GAAP for interim financial information and the instructions to Form 10-Q and Article 10 of Regulation S-X. Accordingly, they do not include all of the information and footnotes required by GAAP for complete financial statements. Interim financial results are not necessarily indicative of results anticipated for the full year. The accompanying consolidated financial statements and these Notes to Consolidated Financial Statements should be read in conjunction with the audited consolidated financial statements and Notes to Consolidated Financial Statements included in the Company’s Annual Report on Form 10-K for the fiscal year ended February 3, 2024, from which the prior year balance sheet information herein was derived.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in conformity with GAAP requires management to make estimates and assumptions that affect the reported amounts of assets and liabilities, disclosure of contingent assets and liabilities at the date of the consolidated financial statements and the reported amounts of revenues and expenses during the reporting periods. These estimates are based on information that is currently available and on various other assumptions that are believed to be reasonable under the circumstances. Actual results could vary from those estimates under different assumptions or conditions.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2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November 2022, the Company entered into a series of interest rate cap agreements to limit the maximum interest on a portion of the Company’s variable-rate debt and decrease its exposure to interest rate variability relating to the three-month Secured Overnight Financing Rate as published by CME Group ("Term SOFR"). The interest rate caps became effective December 30, 2022 and expire on December 31, 2024. The interest rate caps are accounted for as cash flow hedges, and changes in the fair value of the interest rate caps are reported as a component of accumulated other comprehensive income (loss) ("AOCI").</w:t>
      </w:r>
    </w:p>
    <w:p>
      <w:pPr>
        <w:spacing w:after="0" w:line="182"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In March 2023, the Company entered into an interest rate collar agreement to limit the maximum interest on a portion of the Company’s variable-rate debt and decrease its exposure to interest rate variability relating to three-month Term SOFR. The interest rate collar became effective March 31, 2023 and expires on March 31, 2026.</w:t>
      </w:r>
    </w:p>
    <w:p>
      <w:pPr>
        <w:spacing w:after="0" w:line="177" w:lineRule="exact"/>
        <w:rPr>
          <w:sz w:val="20"/>
          <w:szCs w:val="20"/>
          <w:color w:val="auto"/>
        </w:rPr>
      </w:pPr>
    </w:p>
    <w:p>
      <w:pPr>
        <w:jc w:val="both"/>
        <w:ind w:right="100" w:firstLine="509"/>
        <w:spacing w:after="0" w:line="265" w:lineRule="auto"/>
        <w:rPr>
          <w:sz w:val="20"/>
          <w:szCs w:val="20"/>
          <w:color w:val="auto"/>
        </w:rPr>
      </w:pPr>
      <w:r>
        <w:rPr>
          <w:rFonts w:ascii="Times New Roman" w:cs="Times New Roman" w:eastAsia="Times New Roman" w:hAnsi="Times New Roman"/>
          <w:sz w:val="18"/>
          <w:szCs w:val="18"/>
          <w:color w:val="auto"/>
        </w:rPr>
        <w:t>In June 2023, the Company entered into an interest rate collar agreement to limit the maximum interest on a portion of the Company’s variable-rate debt and decrease its exposure to interest rate variability relating to three-month Term SOFR. The interest rate collar became effective September 30, 2023 and expires on December 31, 2026.</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0" w:name="page11"/>
    <w:bookmarkEnd w:id="10"/>
    <w:p>
      <w:pPr>
        <w:ind w:right="500" w:firstLine="509"/>
        <w:spacing w:after="0" w:line="265" w:lineRule="auto"/>
        <w:rPr>
          <w:sz w:val="20"/>
          <w:szCs w:val="20"/>
          <w:color w:val="auto"/>
        </w:rPr>
      </w:pPr>
      <w:r>
        <w:rPr>
          <w:rFonts w:ascii="Times New Roman" w:cs="Times New Roman" w:eastAsia="Times New Roman" w:hAnsi="Times New Roman"/>
          <w:sz w:val="18"/>
          <w:szCs w:val="18"/>
          <w:color w:val="auto"/>
        </w:rPr>
        <w:t>In December 2023, the Company entered into an interest rate collar agreement to limit the maximum interest on a portion of the Company’s variable-rate debt and decrease its exposure to interest rate variability relating to three-month Term SOFR. The interest rate collar becomes effective December 31, 2024 and expires on December 31, 2026.</w:t>
      </w:r>
    </w:p>
    <w:p>
      <w:pPr>
        <w:spacing w:after="0" w:line="177"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In March 2024, the Company entered into two interest rate collar agreements to limit the maximum interest on a portion of the Company’s variable-rate debt and decrease its exposure to interest rate variability relating to three-month Term SOFR. The interest rate collars become effective on December 31, 2024 and expire on December 31, 2026.</w:t>
      </w:r>
    </w:p>
    <w:p>
      <w:pPr>
        <w:spacing w:after="0" w:line="177"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8"/>
          <w:szCs w:val="18"/>
          <w:color w:val="auto"/>
        </w:rPr>
        <w:t>The interest rate collars are accounted for as cash flow hedges, and changes in the fair value of the interest rate collars are reported as a component of AOCI.</w:t>
      </w:r>
    </w:p>
    <w:p>
      <w:pPr>
        <w:spacing w:after="0" w:line="163"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In August 2024, the Company entered into an interest rate swap agreement to fix the interest rate on a portion of the Company’s variable-rate debt and decrease its exposure to interest rate variability relating to three-month Term SOFR. The interest rate swap becomes effective September 30, 2024 and expires on December 31, 2026.</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28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in the consolidated balance sheets to the total amounts reported in the consolidated statements of cash flows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August 3,</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left="58"/>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127,620</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125,428</w:t>
            </w:r>
          </w:p>
        </w:tc>
        <w:tc>
          <w:tcPr>
            <w:tcW w:w="80" w:type="dxa"/>
            <w:vAlign w:val="bottom"/>
            <w:shd w:val="clear" w:color="auto" w:fill="CFF0FC"/>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6,026</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11,221</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 in</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80" w:type="dxa"/>
            <w:vAlign w:val="bottom"/>
            <w:gridSpan w:val="2"/>
            <w:vMerge w:val="restart"/>
            <w:shd w:val="clear" w:color="auto" w:fill="CFF0FC"/>
          </w:tcPr>
          <w:p>
            <w:pPr>
              <w:spacing w:after="0"/>
              <w:rPr>
                <w:sz w:val="18"/>
                <w:szCs w:val="18"/>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4"/>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133,646</w:t>
            </w:r>
          </w:p>
        </w:tc>
        <w:tc>
          <w:tcPr>
            <w:tcW w:w="3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136,649</w:t>
            </w:r>
          </w:p>
        </w:tc>
        <w:tc>
          <w:tcPr>
            <w:tcW w:w="80" w:type="dxa"/>
            <w:vAlign w:val="bottom"/>
            <w:shd w:val="clear" w:color="auto" w:fill="CFF0FC"/>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the statement of cash flows</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80" w:type="dxa"/>
            <w:vAlign w:val="bottom"/>
            <w:gridSpan w:val="2"/>
            <w:vMerge w:val="continue"/>
            <w:shd w:val="clear" w:color="auto" w:fill="CFF0FC"/>
          </w:tcPr>
          <w:p>
            <w:pPr>
              <w:spacing w:after="0"/>
              <w:rPr>
                <w:sz w:val="19"/>
                <w:szCs w:val="19"/>
                <w:color w:val="auto"/>
              </w:rPr>
            </w:pPr>
          </w:p>
        </w:tc>
        <w:tc>
          <w:tcPr>
            <w:tcW w:w="120" w:type="dxa"/>
            <w:vAlign w:val="bottom"/>
            <w:vMerge w:val="continue"/>
            <w:shd w:val="clear" w:color="auto" w:fill="CFF0FC"/>
          </w:tcPr>
          <w:p>
            <w:pPr>
              <w:spacing w:after="0"/>
              <w:rPr>
                <w:sz w:val="19"/>
                <w:szCs w:val="19"/>
                <w:color w:val="auto"/>
              </w:rPr>
            </w:pPr>
          </w:p>
        </w:tc>
        <w:tc>
          <w:tcPr>
            <w:tcW w:w="1140" w:type="dxa"/>
            <w:vAlign w:val="bottom"/>
            <w:gridSpan w:val="4"/>
            <w:vMerge w:val="continue"/>
            <w:shd w:val="clear" w:color="auto" w:fill="CFF0FC"/>
          </w:tcPr>
          <w:p>
            <w:pPr>
              <w:spacing w:after="0"/>
              <w:rPr>
                <w:sz w:val="19"/>
                <w:szCs w:val="19"/>
                <w:color w:val="auto"/>
              </w:rPr>
            </w:pPr>
          </w:p>
        </w:tc>
        <w:tc>
          <w:tcPr>
            <w:tcW w:w="340" w:type="dxa"/>
            <w:vAlign w:val="bottom"/>
            <w:gridSpan w:val="2"/>
            <w:vMerge w:val="continue"/>
            <w:shd w:val="clear" w:color="auto" w:fill="CFF0FC"/>
          </w:tcPr>
          <w:p>
            <w:pPr>
              <w:spacing w:after="0"/>
              <w:rPr>
                <w:sz w:val="19"/>
                <w:szCs w:val="19"/>
                <w:color w:val="auto"/>
              </w:rPr>
            </w:pPr>
          </w:p>
        </w:tc>
        <w:tc>
          <w:tcPr>
            <w:tcW w:w="1120" w:type="dxa"/>
            <w:vAlign w:val="bottom"/>
            <w:gridSpan w:val="3"/>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8"/>
        </w:trPr>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9"/>
        </w:trPr>
        <w:tc>
          <w:tcPr>
            <w:tcW w:w="300" w:type="dxa"/>
            <w:vAlign w:val="bottom"/>
          </w:tcPr>
          <w:p>
            <w:pPr>
              <w:spacing w:after="0"/>
              <w:rPr>
                <w:sz w:val="24"/>
                <w:szCs w:val="24"/>
                <w:color w:val="auto"/>
              </w:rPr>
            </w:pPr>
          </w:p>
        </w:tc>
        <w:tc>
          <w:tcPr>
            <w:tcW w:w="5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sales by product type and services were as follows (in thousands):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31"/>
        </w:trPr>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178"/>
              <w:spacing w:after="0" w:line="131"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2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right"/>
              <w:ind w:right="236"/>
              <w:spacing w:after="0" w:line="131" w:lineRule="exact"/>
              <w:rPr>
                <w:sz w:val="20"/>
                <w:szCs w:val="20"/>
                <w:color w:val="auto"/>
              </w:rPr>
            </w:pPr>
            <w:r>
              <w:rPr>
                <w:rFonts w:ascii="Times New Roman" w:cs="Times New Roman" w:eastAsia="Times New Roman" w:hAnsi="Times New Roman"/>
                <w:sz w:val="14"/>
                <w:szCs w:val="14"/>
                <w:b w:val="1"/>
                <w:bCs w:val="1"/>
                <w:color w:val="auto"/>
              </w:rPr>
              <w:t>July 29,</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4"/>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2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right"/>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July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00" w:type="dxa"/>
            <w:vAlign w:val="bottom"/>
          </w:tcPr>
          <w:p>
            <w:pPr>
              <w:spacing w:after="0"/>
              <w:rPr>
                <w:sz w:val="20"/>
                <w:szCs w:val="20"/>
                <w:color w:val="auto"/>
              </w:rPr>
            </w:pPr>
          </w:p>
        </w:tc>
        <w:tc>
          <w:tcPr>
            <w:tcW w:w="5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Consumables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744,766</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734,077</w:t>
            </w:r>
          </w:p>
        </w:tc>
        <w:tc>
          <w:tcPr>
            <w:tcW w:w="1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1,508,740</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1,497,128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Supplies and companion animals</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518,983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544,521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1,034,740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1,098,066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54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Services and other</w:t>
            </w:r>
          </w:p>
        </w:tc>
        <w:tc>
          <w:tcPr>
            <w:tcW w:w="1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260,006</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252,136</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509,415</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491,448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00" w:type="dxa"/>
            <w:vAlign w:val="bottom"/>
          </w:tcPr>
          <w:p>
            <w:pPr>
              <w:spacing w:after="0"/>
              <w:rPr>
                <w:sz w:val="20"/>
                <w:szCs w:val="20"/>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1,523,755</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1,530,734</w:t>
            </w:r>
          </w:p>
        </w:tc>
        <w:tc>
          <w:tcPr>
            <w:tcW w:w="100" w:type="dxa"/>
            <w:vAlign w:val="bottom"/>
          </w:tcPr>
          <w:p>
            <w:pPr>
              <w:spacing w:after="0"/>
              <w:rPr>
                <w:sz w:val="20"/>
                <w:szCs w:val="20"/>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3,052,895</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3,086,642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-2139950</wp:posOffset>
            </wp:positionV>
            <wp:extent cx="596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-2122805</wp:posOffset>
            </wp:positionV>
            <wp:extent cx="596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-2139950</wp:posOffset>
            </wp:positionV>
            <wp:extent cx="514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-2122805</wp:posOffset>
            </wp:positionV>
            <wp:extent cx="514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-187960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-187960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-187960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-187960</wp:posOffset>
            </wp:positionV>
            <wp:extent cx="596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Senior Secured Credit Facilities</w:t>
      </w:r>
    </w:p>
    <w:p>
      <w:pPr>
        <w:spacing w:after="0" w:line="121" w:lineRule="exact"/>
        <w:rPr>
          <w:sz w:val="20"/>
          <w:szCs w:val="20"/>
          <w:color w:val="auto"/>
        </w:rPr>
      </w:pPr>
    </w:p>
    <w:p>
      <w:pPr>
        <w:ind w:firstLine="515"/>
        <w:spacing w:after="0" w:line="256" w:lineRule="auto"/>
        <w:rPr>
          <w:sz w:val="20"/>
          <w:szCs w:val="20"/>
          <w:color w:val="auto"/>
        </w:rPr>
      </w:pPr>
      <w:r>
        <w:rPr>
          <w:rFonts w:ascii="Times New Roman" w:cs="Times New Roman" w:eastAsia="Times New Roman" w:hAnsi="Times New Roman"/>
          <w:sz w:val="18"/>
          <w:szCs w:val="18"/>
          <w:color w:val="auto"/>
        </w:rPr>
        <w:t>On March 4, 2021, the Company entered into a $1,700.0 million secured term loan facility maturing on March 4, 2028 (the “First Lien Term Loan”) and a secured asset-based revolving credit facility with availability of up to $500.0 million, subject to a borrowing base, originally maturing on March 4, 2026 (as amended from time to time, the “ABL Revolving Credit Facility”). In March 2024, the Company amended the ABL Revolving Credit Facility, which now consists of two tranches, to increase its total availability from $500.0 million to $581.0 million and extend the maturity on a portion of this availability. The first tranche has availability of up to $35.0 million, subject to a borrowing base, maturing on March 4, 2026. The second tranche has availability of up to $546.0 million, subject to a borrowing base, maturing on March 29, 2029. Interest on the ABL Revolving Credit Facility is now</w:t>
      </w:r>
    </w:p>
    <w:p>
      <w:pPr>
        <w:spacing w:after="0" w:line="1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8" w:right="399" w:bottom="1440" w:gutter="0" w:footer="0" w:header="0"/>
        </w:sectPr>
      </w:pPr>
    </w:p>
    <w:bookmarkStart w:id="11" w:name="page12"/>
    <w:bookmarkEnd w:id="11"/>
    <w:p>
      <w:pPr>
        <w:ind w:right="200"/>
        <w:spacing w:after="0" w:line="281" w:lineRule="auto"/>
        <w:rPr>
          <w:sz w:val="20"/>
          <w:szCs w:val="20"/>
          <w:color w:val="auto"/>
        </w:rPr>
      </w:pPr>
      <w:r>
        <w:rPr>
          <w:rFonts w:ascii="Times New Roman" w:cs="Times New Roman" w:eastAsia="Times New Roman" w:hAnsi="Times New Roman"/>
          <w:sz w:val="18"/>
          <w:szCs w:val="18"/>
          <w:color w:val="auto"/>
        </w:rPr>
        <w:t>based on, at the Company's option, either the base rate subject to a 1% floor, or Term SOFR subject to a floor of 0%, plus an applicable margin. All other key terms of the ABL Revolving Credit Facility remained unchanged.</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August 3, 2024, the Company was in compliance with its covenants under the First Lien Term Loan and the ABL Revolving Credit Facility.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Facilities</w:t>
      </w:r>
    </w:p>
    <w:p>
      <w:pPr>
        <w:spacing w:after="0" w:line="229" w:lineRule="exact"/>
        <w:rPr>
          <w:sz w:val="20"/>
          <w:szCs w:val="20"/>
          <w:color w:val="auto"/>
        </w:rPr>
      </w:pPr>
    </w:p>
    <w:p>
      <w:pPr>
        <w:ind w:right="80" w:firstLine="515"/>
        <w:spacing w:after="0" w:line="258" w:lineRule="auto"/>
        <w:rPr>
          <w:sz w:val="20"/>
          <w:szCs w:val="20"/>
          <w:color w:val="auto"/>
        </w:rPr>
      </w:pPr>
      <w:r>
        <w:rPr>
          <w:rFonts w:ascii="Times New Roman" w:cs="Times New Roman" w:eastAsia="Times New Roman" w:hAnsi="Times New Roman"/>
          <w:sz w:val="18"/>
          <w:szCs w:val="18"/>
          <w:color w:val="auto"/>
        </w:rPr>
        <w:t>Interest on the First Lien Term Loan is based on, at the Company’s option, either a base rate or Term SOFR plus the credit spread adjustment recommended by the Alternative Reference Rates Committee ("Adjusted Term SOFR"), subject to a 0.75% floor, payable upon maturity of the SOFR contract, in either case plus the applicable rate. The base rate is the greater of the bank prime rate, federal funds effective rate plus 0.5% or Adjusted Term SOFR plus 1.0%. The applicable rate is 2.25% per annum for a base rate loan or 3.25% per annum for an Adjusted Term SOFR loan. Principal and interest payments commenced on June 30, 2021. Principal payments are normally $4.25 million quarterly.</w:t>
      </w:r>
    </w:p>
    <w:p>
      <w:pPr>
        <w:spacing w:after="0" w:line="182" w:lineRule="exact"/>
        <w:rPr>
          <w:sz w:val="20"/>
          <w:szCs w:val="20"/>
          <w:color w:val="auto"/>
        </w:rPr>
      </w:pPr>
    </w:p>
    <w:p>
      <w:pPr>
        <w:ind w:firstLine="515"/>
        <w:spacing w:after="0" w:line="258" w:lineRule="auto"/>
        <w:rPr>
          <w:sz w:val="20"/>
          <w:szCs w:val="20"/>
          <w:color w:val="auto"/>
        </w:rPr>
      </w:pPr>
      <w:r>
        <w:rPr>
          <w:rFonts w:ascii="Times New Roman" w:cs="Times New Roman" w:eastAsia="Times New Roman" w:hAnsi="Times New Roman"/>
          <w:sz w:val="18"/>
          <w:szCs w:val="18"/>
          <w:color w:val="auto"/>
        </w:rPr>
        <w:t>The Company voluntarily repaid $35.0 million and $25.0 million of the principal of the First Lien Term Loan using existing cash on hand in March 2023 and May 2023, respectively. The repayments were applied to the remaining principal payments in order of scheduled payment date and, as a result, the entire remaining balance was included in senior secured credit facilities, net, excluding current portion in the consolidated balance sheets as of August 3, 2024 and February 3, 2024. The Company accounted for the repayments as partial extinguishments and recognized losses on debt extinguishment of $0.3 million and $0.7 million during the thirteen and twenty-six week periods ended July 29, 2023, respectively.</w:t>
      </w:r>
    </w:p>
    <w:p>
      <w:pPr>
        <w:spacing w:after="0" w:line="182" w:lineRule="exact"/>
        <w:rPr>
          <w:sz w:val="20"/>
          <w:szCs w:val="20"/>
          <w:color w:val="auto"/>
        </w:rPr>
      </w:pPr>
    </w:p>
    <w:p>
      <w:pPr>
        <w:ind w:right="60" w:firstLine="515"/>
        <w:spacing w:after="0" w:line="256" w:lineRule="auto"/>
        <w:rPr>
          <w:sz w:val="20"/>
          <w:szCs w:val="20"/>
          <w:color w:val="auto"/>
        </w:rPr>
      </w:pPr>
      <w:r>
        <w:rPr>
          <w:rFonts w:ascii="Times New Roman" w:cs="Times New Roman" w:eastAsia="Times New Roman" w:hAnsi="Times New Roman"/>
          <w:sz w:val="18"/>
          <w:szCs w:val="18"/>
          <w:color w:val="auto"/>
        </w:rPr>
        <w:t>As of August 3, 2024, the outstanding principal balance of the First Lien Term Loan was $1,595.3 million ($1,580.5 million, net of the unamortized discount and debt issuance costs). As of February 3, 2024, the outstanding principal balance of the First Lien Term Loan was $1,595.3 million ($1,578.6 million, net of the unamortized discount and debt issuance costs). The weighted average interest rate on the borrowings outstanding was 9.0% and 9.0% as of August 3, 2024 and February 3, 2024, respectively. Debt issuance costs are being amortized over the contractual term to interest expense using the effective interest rate in effect at issuance. As of August 3, 2024 and February 3, 2024, the estimated fair value of the First Lien Term Loan was approximately $1,451.7 million and $1,497.6 million, respectively, based upon Level 2 fair value hierarchy inputs.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Facilities</w:t>
      </w:r>
    </w:p>
    <w:p>
      <w:pPr>
        <w:spacing w:after="0" w:line="229" w:lineRule="exact"/>
        <w:rPr>
          <w:sz w:val="20"/>
          <w:szCs w:val="20"/>
          <w:color w:val="auto"/>
        </w:rPr>
      </w:pPr>
    </w:p>
    <w:p>
      <w:pPr>
        <w:ind w:right="220" w:firstLine="515"/>
        <w:spacing w:after="0" w:line="260" w:lineRule="auto"/>
        <w:rPr>
          <w:sz w:val="20"/>
          <w:szCs w:val="20"/>
          <w:color w:val="auto"/>
        </w:rPr>
      </w:pPr>
      <w:r>
        <w:rPr>
          <w:rFonts w:ascii="Times New Roman" w:cs="Times New Roman" w:eastAsia="Times New Roman" w:hAnsi="Times New Roman"/>
          <w:sz w:val="18"/>
          <w:szCs w:val="18"/>
          <w:color w:val="auto"/>
        </w:rPr>
        <w:t>In March 2024, the Company amended the ABL Revolving Credit Facility to increase its total availability and extend the maturity on a portion of the availability. Fees of $3.0 million relating to the Company’s entry into the amendment were capitalized as debt issuance costs. These fees consisted of arranger fees and other third-party expenses. The unamortized portion of the debt issuance costs of the ABL Revolving Credit Facility previously capitalized is being amortized over the amended contractual term.</w:t>
      </w:r>
    </w:p>
    <w:p>
      <w:pPr>
        <w:spacing w:after="0" w:line="182" w:lineRule="exact"/>
        <w:rPr>
          <w:sz w:val="20"/>
          <w:szCs w:val="20"/>
          <w:color w:val="auto"/>
        </w:rPr>
      </w:pPr>
    </w:p>
    <w:p>
      <w:pPr>
        <w:jc w:val="both"/>
        <w:ind w:right="60" w:firstLine="515"/>
        <w:spacing w:after="0" w:line="258" w:lineRule="auto"/>
        <w:rPr>
          <w:sz w:val="20"/>
          <w:szCs w:val="20"/>
          <w:color w:val="auto"/>
        </w:rPr>
      </w:pPr>
      <w:r>
        <w:rPr>
          <w:rFonts w:ascii="Times New Roman" w:cs="Times New Roman" w:eastAsia="Times New Roman" w:hAnsi="Times New Roman"/>
          <w:sz w:val="18"/>
          <w:szCs w:val="18"/>
          <w:color w:val="auto"/>
        </w:rPr>
        <w:t>As of August 3, 2024 and February 3, 2024, no amounts were outstanding under the ABL Revolving Credit Facility. As of August 3, 2024, $527.6 million was available under the ABL Revolving Credit Facility, which is net of $53.4 million of outstanding letters of credit issued in the normal course of business and no borrowing base reduction for a shortfall in qualifying assets. As of August 3, 2024 and February 3, 2024, unamortized debt issuance costs of $4.9 million and $2.4 million, respectively, relating to the ABL Revolving Credit Facility were outstanding and were being amortized using the straight-line method over the remaining term of the agreement.</w:t>
      </w:r>
    </w:p>
    <w:p>
      <w:pPr>
        <w:spacing w:after="0" w:line="182" w:lineRule="exact"/>
        <w:rPr>
          <w:sz w:val="20"/>
          <w:szCs w:val="20"/>
          <w:color w:val="auto"/>
        </w:rPr>
      </w:pPr>
    </w:p>
    <w:p>
      <w:pPr>
        <w:ind w:right="100" w:firstLine="509"/>
        <w:spacing w:after="0" w:line="280" w:lineRule="auto"/>
        <w:rPr>
          <w:sz w:val="20"/>
          <w:szCs w:val="20"/>
          <w:color w:val="auto"/>
        </w:rPr>
      </w:pPr>
      <w:r>
        <w:rPr>
          <w:rFonts w:ascii="Times New Roman" w:cs="Times New Roman" w:eastAsia="Times New Roman" w:hAnsi="Times New Roman"/>
          <w:sz w:val="17"/>
          <w:szCs w:val="17"/>
          <w:color w:val="auto"/>
        </w:rPr>
        <w:t>The ABL Revolving Credit Facility has availability up to $581.0 million and a $150.0 million letter of credit sub-facility. The availability is limited to a borrowing base, which allows borrowings of up to 90% of eligible accounts receivable plus 90% of the net orderly liquidation value of eligible inventory plus up to $50.0 million of qualified cash of the Company to which the Company and guarantors have no access, less reserves as determined by the administrative agent. Letters of credit reduce the amount available to borrow under the ABL Revolving Credit Facility by their face value.</w:t>
      </w:r>
    </w:p>
    <w:p>
      <w:pPr>
        <w:spacing w:after="0" w:line="166" w:lineRule="exact"/>
        <w:rPr>
          <w:sz w:val="20"/>
          <w:szCs w:val="20"/>
          <w:color w:val="auto"/>
        </w:rPr>
      </w:pPr>
    </w:p>
    <w:p>
      <w:pPr>
        <w:ind w:right="200" w:firstLine="509"/>
        <w:spacing w:after="0" w:line="265" w:lineRule="auto"/>
        <w:rPr>
          <w:sz w:val="20"/>
          <w:szCs w:val="20"/>
          <w:color w:val="auto"/>
        </w:rPr>
      </w:pPr>
      <w:r>
        <w:rPr>
          <w:rFonts w:ascii="Times New Roman" w:cs="Times New Roman" w:eastAsia="Times New Roman" w:hAnsi="Times New Roman"/>
          <w:sz w:val="18"/>
          <w:szCs w:val="18"/>
          <w:color w:val="auto"/>
        </w:rPr>
        <w:t>Prior to the March 2024 amendment, interest on the ABL Revolving Credit Facility was based on, at the Company’s option, either the base rate or Adjusted Term SOFR subject to a floor of 0%, in either case, plus an applicable margin. Following the March 2024 amendment, interest on the ABL Revolving Credit Facility is now</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12" w:name="page13"/>
    <w:bookmarkEnd w:id="12"/>
    <w:p>
      <w:pPr>
        <w:ind w:right="560"/>
        <w:spacing w:after="0" w:line="281" w:lineRule="auto"/>
        <w:rPr>
          <w:sz w:val="20"/>
          <w:szCs w:val="20"/>
          <w:color w:val="auto"/>
        </w:rPr>
      </w:pPr>
      <w:r>
        <w:rPr>
          <w:rFonts w:ascii="Times New Roman" w:cs="Times New Roman" w:eastAsia="Times New Roman" w:hAnsi="Times New Roman"/>
          <w:sz w:val="18"/>
          <w:szCs w:val="18"/>
          <w:color w:val="auto"/>
        </w:rPr>
        <w:t>based on, at the Company’s option, either the base rate subject to a 1% floor, or Term SOFR subject to a floor of 0%, plus an applicable margin. The applicable margin is currently equal to 25 basis points in the case of base rate loans and 125 basis points in the case of Term SOFR loans.</w:t>
      </w:r>
    </w:p>
    <w:p>
      <w:pPr>
        <w:spacing w:after="0" w:line="163"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8"/>
          <w:szCs w:val="18"/>
          <w:color w:val="auto"/>
        </w:rPr>
        <w:t>The applicable margin is adjusted quarterly based on the average historical excess availability as a percentage of the Line Cap, which represents the lesser of the aggregate ABL Revolving Credit Facility and the borrowing base, as follows:</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Margin</w:t>
            </w:r>
          </w:p>
        </w:tc>
        <w:tc>
          <w:tcPr>
            <w:tcW w:w="0" w:type="dxa"/>
            <w:vAlign w:val="bottom"/>
          </w:tcPr>
          <w:p>
            <w:pPr>
              <w:spacing w:after="0"/>
              <w:rPr>
                <w:sz w:val="1"/>
                <w:szCs w:val="1"/>
                <w:color w:val="auto"/>
              </w:rPr>
            </w:pPr>
          </w:p>
        </w:tc>
      </w:tr>
      <w:tr>
        <w:trPr>
          <w:trHeight w:val="148"/>
        </w:trPr>
        <w:tc>
          <w:tcPr>
            <w:tcW w:w="5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Historical Excess Availability</w:t>
            </w:r>
          </w:p>
        </w:tc>
        <w:tc>
          <w:tcPr>
            <w:tcW w:w="100" w:type="dxa"/>
            <w:vAlign w:val="bottom"/>
          </w:tcPr>
          <w:p>
            <w:pPr>
              <w:spacing w:after="0"/>
              <w:rPr>
                <w:sz w:val="12"/>
                <w:szCs w:val="12"/>
                <w:color w:val="auto"/>
              </w:rPr>
            </w:pPr>
          </w:p>
        </w:tc>
        <w:tc>
          <w:tcPr>
            <w:tcW w:w="15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Margin for</w:t>
            </w:r>
          </w:p>
        </w:tc>
        <w:tc>
          <w:tcPr>
            <w:tcW w:w="14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for Base Rate</w:t>
            </w:r>
          </w:p>
        </w:tc>
        <w:tc>
          <w:tcPr>
            <w:tcW w:w="0" w:type="dxa"/>
            <w:vAlign w:val="bottom"/>
          </w:tcPr>
          <w:p>
            <w:pPr>
              <w:spacing w:after="0"/>
              <w:rPr>
                <w:sz w:val="1"/>
                <w:szCs w:val="1"/>
                <w:color w:val="auto"/>
              </w:rPr>
            </w:pPr>
          </w:p>
        </w:tc>
      </w:tr>
      <w:tr>
        <w:trPr>
          <w:trHeight w:val="187"/>
        </w:trPr>
        <w:tc>
          <w:tcPr>
            <w:tcW w:w="5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SOFR Loans</w:t>
            </w:r>
          </w:p>
        </w:tc>
        <w:tc>
          <w:tcPr>
            <w:tcW w:w="18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Less than 33.3% of the Line Cap</w:t>
            </w:r>
          </w:p>
        </w:tc>
        <w:tc>
          <w:tcPr>
            <w:tcW w:w="1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1.75 %</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0.75 %</w:t>
            </w:r>
          </w:p>
        </w:tc>
        <w:tc>
          <w:tcPr>
            <w:tcW w:w="0" w:type="dxa"/>
            <w:vAlign w:val="bottom"/>
          </w:tcPr>
          <w:p>
            <w:pPr>
              <w:spacing w:after="0"/>
              <w:rPr>
                <w:sz w:val="1"/>
                <w:szCs w:val="1"/>
                <w:color w:val="auto"/>
              </w:rPr>
            </w:pPr>
          </w:p>
        </w:tc>
      </w:tr>
      <w:tr>
        <w:trPr>
          <w:trHeight w:val="21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Less than 66.7% but greater than or equal to 33.3% of</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Line Cap</w:t>
            </w:r>
          </w:p>
        </w:tc>
        <w:tc>
          <w:tcPr>
            <w:tcW w:w="1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1.50 %</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0.50 %</w:t>
            </w:r>
          </w:p>
        </w:tc>
        <w:tc>
          <w:tcPr>
            <w:tcW w:w="0" w:type="dxa"/>
            <w:vAlign w:val="bottom"/>
          </w:tcPr>
          <w:p>
            <w:pPr>
              <w:spacing w:after="0"/>
              <w:rPr>
                <w:sz w:val="1"/>
                <w:szCs w:val="1"/>
                <w:color w:val="auto"/>
              </w:rPr>
            </w:pPr>
          </w:p>
        </w:tc>
      </w:tr>
      <w:tr>
        <w:trPr>
          <w:trHeight w:val="24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Greater than or equal to 66.7% of the Line Cap</w:t>
            </w:r>
          </w:p>
        </w:tc>
        <w:tc>
          <w:tcPr>
            <w:tcW w:w="1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1.25 %</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-589915</wp:posOffset>
            </wp:positionV>
            <wp:extent cx="5702300"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02300" cy="15430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-144780</wp:posOffset>
            </wp:positionV>
            <wp:extent cx="5702300"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02300" cy="154305"/>
                    </a:xfrm>
                    <a:prstGeom prst="rect">
                      <a:avLst/>
                    </a:prstGeom>
                    <a:noFill/>
                  </pic:spPr>
                </pic:pic>
              </a:graphicData>
            </a:graphic>
          </wp:anchor>
        </w:drawing>
      </w:r>
    </w:p>
    <w:p>
      <w:pPr>
        <w:spacing w:after="0" w:line="258" w:lineRule="exact"/>
        <w:rPr>
          <w:sz w:val="20"/>
          <w:szCs w:val="20"/>
          <w:color w:val="auto"/>
        </w:rPr>
      </w:pPr>
    </w:p>
    <w:p>
      <w:pPr>
        <w:ind w:right="920" w:firstLine="509"/>
        <w:spacing w:after="0" w:line="281" w:lineRule="auto"/>
        <w:rPr>
          <w:sz w:val="20"/>
          <w:szCs w:val="20"/>
          <w:color w:val="auto"/>
        </w:rPr>
      </w:pPr>
      <w:r>
        <w:rPr>
          <w:rFonts w:ascii="Times New Roman" w:cs="Times New Roman" w:eastAsia="Times New Roman" w:hAnsi="Times New Roman"/>
          <w:sz w:val="18"/>
          <w:szCs w:val="18"/>
          <w:color w:val="auto"/>
        </w:rPr>
        <w:t>The ABL Revolving Credit Facility is subject to an unused commitment fee. If the actual daily utilized portion exceeds 50%, the unused commitment fee is 0.25%. Otherwise, the unused commitment fee is 0.375% and is not dependent upon excess availability.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8"/>
          <w:szCs w:val="18"/>
          <w:b w:val="1"/>
          <w:bCs w:val="1"/>
          <w:color w:val="auto"/>
        </w:rPr>
        <w:t>. Derivative Instruments</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interest rate caps and collars are accounted for as cash flow hedges because they are expected to be highly effective in hedging variable rate interest payments. Changes in the fair value of the cash flow hedges are reported as a component of AOCI. As of August 3, 2024, AOCI included unrealized losses of $6.4 million ($4.9 million, net of tax). As of February 3, 2024, AOCI included unrealized losses of $2.2 million ($1.7 million, net of tax). Approximately $1.1 million and $2.3 million of pre-tax gains deferred in AOCI were reclassified to interest expense during the thirteen and twenty-six week periods ended August 3, 2024, respectively. Approximately $0.5 million and $1.1 million of pre-tax losses deferred in AOCI were reclassified to interest expense during the thirteen and twenty-six week periods ended July 29, 2023, respectively. The Company currently estimates that $1.8 million of losses related to trade date costs on its cash flow hedges that are currently deferred in AOCI will be reclassified to interest expense in the consolidated statement of operations within the next twelve months. This estimate could vary based on actual amounts as a result of changes in market conditions.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cash flow hedges are reflected in the Company’s consolidated balance sheets as follows (in thousands):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Assets (Liabilities)</w:t>
            </w:r>
          </w:p>
        </w:tc>
        <w:tc>
          <w:tcPr>
            <w:tcW w:w="200" w:type="dxa"/>
            <w:vAlign w:val="bottom"/>
          </w:tcPr>
          <w:p>
            <w:pPr>
              <w:spacing w:after="0"/>
              <w:rPr>
                <w:sz w:val="13"/>
                <w:szCs w:val="13"/>
                <w:color w:val="auto"/>
              </w:rPr>
            </w:pPr>
          </w:p>
        </w:tc>
        <w:tc>
          <w:tcPr>
            <w:tcW w:w="3060" w:type="dxa"/>
            <w:vAlign w:val="bottom"/>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August 3,</w:t>
            </w:r>
          </w:p>
        </w:tc>
        <w:tc>
          <w:tcPr>
            <w:tcW w:w="280" w:type="dxa"/>
            <w:vAlign w:val="bottom"/>
          </w:tcPr>
          <w:p>
            <w:pPr>
              <w:spacing w:after="0"/>
              <w:rPr>
                <w:sz w:val="13"/>
                <w:szCs w:val="13"/>
                <w:color w:val="auto"/>
              </w:rPr>
            </w:pP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0" w:type="dxa"/>
            <w:vAlign w:val="bottom"/>
          </w:tcPr>
          <w:p>
            <w:pPr>
              <w:spacing w:after="0"/>
              <w:rPr>
                <w:sz w:val="1"/>
                <w:szCs w:val="1"/>
                <w:color w:val="auto"/>
              </w:rPr>
            </w:pPr>
          </w:p>
        </w:tc>
      </w:tr>
      <w:tr>
        <w:trPr>
          <w:trHeight w:val="187"/>
        </w:trPr>
        <w:tc>
          <w:tcPr>
            <w:tcW w:w="414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306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 portion of cash flow hedges</w:t>
            </w:r>
          </w:p>
        </w:tc>
        <w:tc>
          <w:tcPr>
            <w:tcW w:w="200" w:type="dxa"/>
            <w:vAlign w:val="bottom"/>
            <w:shd w:val="clear" w:color="auto" w:fill="CFF0FC"/>
          </w:tcPr>
          <w:p>
            <w:pPr>
              <w:spacing w:after="0"/>
              <w:rPr>
                <w:sz w:val="20"/>
                <w:szCs w:val="20"/>
                <w:color w:val="auto"/>
              </w:rPr>
            </w:pPr>
          </w:p>
        </w:tc>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 portion of cash flow</w:t>
            </w:r>
          </w:p>
        </w:tc>
        <w:tc>
          <w:tcPr>
            <w:tcW w:w="20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hedges</w:t>
            </w:r>
          </w:p>
        </w:tc>
        <w:tc>
          <w:tcPr>
            <w:tcW w:w="2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liability portion of cash flow</w:t>
            </w:r>
          </w:p>
        </w:tc>
        <w:tc>
          <w:tcPr>
            <w:tcW w:w="200" w:type="dxa"/>
            <w:vAlign w:val="bottom"/>
            <w:shd w:val="clear" w:color="auto" w:fill="CFF0FC"/>
          </w:tcPr>
          <w:p>
            <w:pPr>
              <w:spacing w:after="0"/>
              <w:rPr>
                <w:sz w:val="18"/>
                <w:szCs w:val="18"/>
                <w:color w:val="auto"/>
              </w:rPr>
            </w:pPr>
          </w:p>
        </w:tc>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1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hedges</w:t>
            </w:r>
          </w:p>
        </w:tc>
        <w:tc>
          <w:tcPr>
            <w:tcW w:w="200" w:type="dxa"/>
            <w:vAlign w:val="bottom"/>
            <w:shd w:val="clear" w:color="auto" w:fill="CFF0FC"/>
          </w:tcPr>
          <w:p>
            <w:pPr>
              <w:spacing w:after="0"/>
              <w:rPr>
                <w:sz w:val="21"/>
                <w:szCs w:val="21"/>
                <w:color w:val="auto"/>
              </w:rPr>
            </w:pPr>
          </w:p>
        </w:tc>
        <w:tc>
          <w:tcPr>
            <w:tcW w:w="3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(291 )</w:t>
            </w: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(124 )</w:t>
            </w:r>
          </w:p>
        </w:tc>
        <w:tc>
          <w:tcPr>
            <w:tcW w:w="0" w:type="dxa"/>
            <w:vAlign w:val="bottom"/>
          </w:tcPr>
          <w:p>
            <w:pPr>
              <w:spacing w:after="0"/>
              <w:rPr>
                <w:sz w:val="1"/>
                <w:szCs w:val="1"/>
                <w:color w:val="auto"/>
              </w:rPr>
            </w:pPr>
          </w:p>
        </w:tc>
      </w:tr>
      <w:tr>
        <w:trPr>
          <w:trHeight w:val="211"/>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liability portion of cash flow</w:t>
            </w:r>
          </w:p>
        </w:tc>
        <w:tc>
          <w:tcPr>
            <w:tcW w:w="20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(5,540 )</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(3,067 )</w:t>
            </w:r>
          </w:p>
        </w:tc>
        <w:tc>
          <w:tcPr>
            <w:tcW w:w="0" w:type="dxa"/>
            <w:vAlign w:val="bottom"/>
          </w:tcPr>
          <w:p>
            <w:pPr>
              <w:spacing w:after="0"/>
              <w:rPr>
                <w:sz w:val="1"/>
                <w:szCs w:val="1"/>
                <w:color w:val="auto"/>
              </w:rPr>
            </w:pPr>
          </w:p>
        </w:tc>
      </w:tr>
      <w:tr>
        <w:trPr>
          <w:trHeight w:val="234"/>
        </w:trPr>
        <w:tc>
          <w:tcPr>
            <w:tcW w:w="4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hedges</w:t>
            </w:r>
          </w:p>
        </w:tc>
        <w:tc>
          <w:tcPr>
            <w:tcW w:w="2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flow hedges</w:t>
            </w:r>
          </w:p>
        </w:tc>
        <w:tc>
          <w:tcPr>
            <w:tcW w:w="200" w:type="dxa"/>
            <w:vAlign w:val="bottom"/>
            <w:shd w:val="clear" w:color="auto" w:fill="CFF0FC"/>
          </w:tcPr>
          <w:p>
            <w:pPr>
              <w:spacing w:after="0"/>
              <w:rPr>
                <w:sz w:val="23"/>
                <w:szCs w:val="23"/>
                <w:color w:val="auto"/>
              </w:rPr>
            </w:pPr>
          </w:p>
        </w:tc>
        <w:tc>
          <w:tcPr>
            <w:tcW w:w="306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(5,176 )</w:t>
            </w:r>
          </w:p>
        </w:tc>
        <w:tc>
          <w:tcPr>
            <w:tcW w:w="180" w:type="dxa"/>
            <w:vAlign w:val="bottom"/>
            <w:shd w:val="clear" w:color="auto" w:fill="CFF0FC"/>
          </w:tcPr>
          <w:p>
            <w:pPr>
              <w:spacing w:after="0"/>
              <w:rPr>
                <w:sz w:val="23"/>
                <w:szCs w:val="23"/>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(932 )</w:t>
            </w:r>
          </w:p>
        </w:tc>
        <w:tc>
          <w:tcPr>
            <w:tcW w:w="0" w:type="dxa"/>
            <w:vAlign w:val="bottom"/>
          </w:tcPr>
          <w:p>
            <w:pPr>
              <w:spacing w:after="0"/>
              <w:rPr>
                <w:sz w:val="1"/>
                <w:szCs w:val="1"/>
                <w:color w:val="auto"/>
              </w:rPr>
            </w:pPr>
          </w:p>
        </w:tc>
      </w:tr>
      <w:tr>
        <w:trPr>
          <w:trHeight w:val="632"/>
        </w:trPr>
        <w:tc>
          <w:tcPr>
            <w:tcW w:w="4140" w:type="dxa"/>
            <w:vAlign w:val="bottom"/>
            <w:tcBorders>
              <w:top w:val="single" w:sz="8" w:color="CFF0FC"/>
            </w:tcBorders>
          </w:tcPr>
          <w:p>
            <w:pPr>
              <w:spacing w:after="0"/>
              <w:rPr>
                <w:sz w:val="24"/>
                <w:szCs w:val="24"/>
                <w:color w:val="auto"/>
              </w:rPr>
            </w:pPr>
          </w:p>
        </w:tc>
        <w:tc>
          <w:tcPr>
            <w:tcW w:w="3260" w:type="dxa"/>
            <w:vAlign w:val="bottom"/>
            <w:tcBorders>
              <w:top w:val="single" w:sz="8" w:color="CFF0FC"/>
            </w:tcBorders>
            <w:gridSpan w:val="2"/>
          </w:tcPr>
          <w:p>
            <w:pPr>
              <w:jc w:val="right"/>
              <w:ind w:right="1593"/>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4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5827395</wp:posOffset>
            </wp:positionH>
            <wp:positionV relativeFrom="paragraph">
              <wp:posOffset>-932815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-915670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-932815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-915670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on a Recurring Basis</w:t>
      </w:r>
    </w:p>
    <w:p>
      <w:pPr>
        <w:spacing w:after="0" w:line="121" w:lineRule="exact"/>
        <w:rPr>
          <w:sz w:val="20"/>
          <w:szCs w:val="20"/>
          <w:color w:val="auto"/>
        </w:rPr>
      </w:pPr>
    </w:p>
    <w:p>
      <w:pPr>
        <w:ind w:right="26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presents information about assets and liabilities that are measured at fair value on a recurring basis and indicate the fair value hierarchy of the valuation techniques utilized to determine such fair value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4"/>
                <w:szCs w:val="14"/>
                <w:color w:val="auto"/>
              </w:rPr>
            </w:pPr>
          </w:p>
        </w:tc>
        <w:tc>
          <w:tcPr>
            <w:tcW w:w="10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 (liabilities):</w:t>
            </w:r>
          </w:p>
        </w:tc>
        <w:tc>
          <w:tcPr>
            <w:tcW w:w="28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76,044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Investments of officers' life insurance</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15,667</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Non-qualified deferred compensation plan</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(21,394 )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427"/>
        </w:trPr>
        <w:tc>
          <w:tcPr>
            <w:tcW w:w="66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9"/>
              </w:rPr>
              <w:t>February 3, 2024</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6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4"/>
                <w:szCs w:val="14"/>
                <w:color w:val="auto"/>
              </w:rPr>
            </w:pPr>
          </w:p>
        </w:tc>
        <w:tc>
          <w:tcPr>
            <w:tcW w:w="10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 (liabilities):</w:t>
            </w:r>
          </w:p>
        </w:tc>
        <w:tc>
          <w:tcPr>
            <w:tcW w:w="28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80,186</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Investments of officers' life insurance</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14,945</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Non-qualified deferred compensation plan</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(20,355 )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bl>
    <w:p>
      <w:pPr>
        <w:spacing w:after="0" w:line="27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fair value of money market mutual funds is based on quoted market prices, such as quoted net asset values published by the fund as supported in an active market. Money market mutual funds included in the Company’s cash and cash equivalents were $71.5 million and $69.6 million as of August 3, 2024 and February 3, 2024, respectively. Also included in the Company’s money market mutual funds balances were $4.5 million and $10.6 million as of August 3, 2024 and February 3, 2024, respectively, which relate to the Company’s restricted cash, and are included in other current assets in the consolidated balance sheets.</w:t>
      </w:r>
    </w:p>
    <w:p>
      <w:pPr>
        <w:spacing w:after="0" w:line="182" w:lineRule="exact"/>
        <w:rPr>
          <w:sz w:val="20"/>
          <w:szCs w:val="20"/>
          <w:color w:val="auto"/>
        </w:rPr>
      </w:pPr>
    </w:p>
    <w:p>
      <w:pPr>
        <w:jc w:val="both"/>
        <w:ind w:right="300" w:firstLine="509"/>
        <w:spacing w:after="0" w:line="265" w:lineRule="auto"/>
        <w:rPr>
          <w:sz w:val="20"/>
          <w:szCs w:val="20"/>
          <w:color w:val="auto"/>
        </w:rPr>
      </w:pPr>
      <w:r>
        <w:rPr>
          <w:rFonts w:ascii="Times New Roman" w:cs="Times New Roman" w:eastAsia="Times New Roman" w:hAnsi="Times New Roman"/>
          <w:sz w:val="18"/>
          <w:szCs w:val="18"/>
          <w:color w:val="auto"/>
        </w:rPr>
        <w:t>The Company maintains a deferred compensation plan for key executives and other members of management, which is funded by investments in officers’ life insurance. The fair value of this obligation is based on participants’ elected investments, which reflect the closing market prices of similar assets.</w:t>
      </w:r>
    </w:p>
    <w:p>
      <w:pPr>
        <w:spacing w:after="0" w:line="17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February 2022, the Company amended a collaboration agreement with a vendor, and as part of the amendment the Company was granted a right to receive equity and warrants for common shares of the vendor that is subject to certain performance conditions and other contingencies. The warrants were exercised in July 2024. Cash consideration for the exercise of the warrants was de minimis. The Company's interest is accounted for as an investment in an equity security without a readily determinable fair value. When an upward or downward adjustment occurs, the resulting gains or losses are included in other non-operating income in the consolidated statements of operations.</w:t>
      </w:r>
    </w:p>
    <w:p>
      <w:pPr>
        <w:spacing w:after="0" w:line="182"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In April 2023, the Company sold its interest in Rover Group, Inc. Class A common stock to a buyer at a price determined based on the daily volume weighted average price, in addition to a premium, over an agreed upon period. The Company's interest in the unsettled cash proceeds were remeasured at fair value at each reporting period, and the resulting gains or losses were included in other non-operating income in the consolidated statements of operations.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on a Non-Recurring Basis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Company’s non-financial assets, which primarily consist of goodwill, other intangible assets, fixed assets and equity and other investments, are reported at carrying value, or at fair value as of the date of the Company’s acquisition of Petco Holdings, Inc. LLC on January 26, 2016, and are not required to be measured at fair value on a recurring basis. However, on a periodic basis (at least annually for goodwill and indefinite-lived intangibles or whenever events or changes in circumstances indicate that the carrying value of an asset may not be recoverable), non-financial assets are assessed for impairment. If impaired, the carrying values of the assets are written down to fair value using Level 3 inputs.</w:t>
      </w:r>
    </w:p>
    <w:p>
      <w:pPr>
        <w:spacing w:after="0" w:line="74" w:lineRule="exact"/>
        <w:rPr>
          <w:sz w:val="20"/>
          <w:szCs w:val="20"/>
          <w:color w:val="auto"/>
        </w:rPr>
      </w:pPr>
    </w:p>
    <w:p>
      <w:pPr>
        <w:ind w:right="380" w:firstLine="509"/>
        <w:spacing w:after="0" w:line="265" w:lineRule="auto"/>
        <w:rPr>
          <w:sz w:val="20"/>
          <w:szCs w:val="20"/>
          <w:color w:val="auto"/>
        </w:rPr>
      </w:pPr>
      <w:r>
        <w:rPr>
          <w:rFonts w:ascii="Times New Roman" w:cs="Times New Roman" w:eastAsia="Times New Roman" w:hAnsi="Times New Roman"/>
          <w:sz w:val="18"/>
          <w:szCs w:val="18"/>
          <w:color w:val="auto"/>
        </w:rPr>
        <w:t>During the first quarter of fiscal 2024, due to declines in the Company's share price, the Company performed an interim impairment test of its goodwill and indefinite-lived trade name. As the estimated fair value of the Company's reporting unit was in excess of its carrying value, the Company concluded that the carrying amount of</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4" w:name="page15"/>
    <w:bookmarkEnd w:id="14"/>
    <w:p>
      <w:pPr>
        <w:ind w:right="20"/>
        <w:spacing w:after="0" w:line="260" w:lineRule="auto"/>
        <w:rPr>
          <w:sz w:val="20"/>
          <w:szCs w:val="20"/>
          <w:color w:val="auto"/>
        </w:rPr>
      </w:pPr>
      <w:r>
        <w:rPr>
          <w:rFonts w:ascii="Times New Roman" w:cs="Times New Roman" w:eastAsia="Times New Roman" w:hAnsi="Times New Roman"/>
          <w:sz w:val="18"/>
          <w:szCs w:val="18"/>
          <w:color w:val="auto"/>
        </w:rPr>
        <w:t>goodwill was recoverable and did not record a goodwill impairment charge during the first quarter of fiscal 2024. The fair value of the Company's reporting unit was based upon an equal weighting of the income and market approaches, utilizing estimated cash flows and a terminal value, discounted at a rate of return that reflects the relative risk of the cash flows, as well as valuation multiples derived from comparable publicly traded companies that are applied to operating performance of the reporting unit.</w:t>
      </w:r>
    </w:p>
    <w:p>
      <w:pPr>
        <w:spacing w:after="0" w:line="74"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Significant assumptions used in the determination of fair value of the reporting unit generally include prospective financial information, discount rates, terminal growth rates, and earnings multiples. The discounted cash flow model used to determine the fair value of the reporting unit during the first quarter of fiscal 2024 reflected the Company's most recent cash flow projections, a discount rate of 13.2%, and a terminal growth rate of 3%. The reporting unit fair value measurement is classified as Level 3 in the fair value hierarchy because it involves significant unobservable inputs.</w:t>
      </w:r>
    </w:p>
    <w:p>
      <w:pPr>
        <w:spacing w:after="0" w:line="7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fair value of the Company’s trade name was estimated by management using the relief from royalty valuation method, which estimates the hypothetical royalties that would have to be paid if the trade name was not owned. The fair value of the Company's trade name reflected the Company's most recent revenue projections, a discount rate of 14.2% and a terminal growth rate of 3%. The Company concluded that the fair value of its trade name exceeded its carrying value, and therefore no trade name impairment charge was recorded during the first quarter of fiscal 2024. The Company's trade name fair value measurement is classified as Level 3 in the fair value hierarchy because it involves significant unobservable inputs.</w:t>
      </w:r>
    </w:p>
    <w:p>
      <w:pPr>
        <w:spacing w:after="0" w:line="18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There were no triggering events identified and no indications of impairment of the Company’s goodwill, indefinite-lived trade name, other intangible assets or equity and other investments during the thirteen week period ended August 3, 2024 and the thirteen and twenty-six week periods ended July 29, 2023. During the thirteen and twenty-six week periods ended August 3, 2024, the Company recorded fixed asset and right-of-use asset impairment charges of $3.4 million and $6.9 million, respectively. During the thirteen and twenty-six week periods ended July 29, 2023, the Company recorded fixed asset and right-of-use asset impairment charges of $0.9 million and $1.1 million, respectively.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Stockholders’ Equity</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29"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Equity-based compensation awards under the Company’s current equity incentive plan (as amended, the “2021 Equity Incentive Plan”) include restricted stock units (“RSUs,” which include performance-based stock units), restricted stock awards (“RSAs”), non-qualified stock options, and other equity compensation awards. In addition, the Company has made equity-based compensation awards of RSUs and non-qualified stock options outside of the 2021 Equity Incentive Plan as employment inducement awards (collectively, the “Inducement Awards”). The Company also has an employee stock purchase plan (“ESPP”).</w:t>
      </w:r>
    </w:p>
    <w:p>
      <w:pPr>
        <w:spacing w:after="0" w:line="182" w:lineRule="exact"/>
        <w:rPr>
          <w:sz w:val="20"/>
          <w:szCs w:val="20"/>
          <w:color w:val="auto"/>
        </w:rPr>
      </w:pPr>
    </w:p>
    <w:p>
      <w:pPr>
        <w:jc w:val="both"/>
        <w:ind w:right="100" w:firstLine="509"/>
        <w:spacing w:after="0" w:line="265" w:lineRule="auto"/>
        <w:rPr>
          <w:sz w:val="20"/>
          <w:szCs w:val="20"/>
          <w:color w:val="auto"/>
        </w:rPr>
      </w:pPr>
      <w:r>
        <w:rPr>
          <w:rFonts w:ascii="Times New Roman" w:cs="Times New Roman" w:eastAsia="Times New Roman" w:hAnsi="Times New Roman"/>
          <w:sz w:val="18"/>
          <w:szCs w:val="18"/>
          <w:color w:val="auto"/>
        </w:rPr>
        <w:t>The Company’s controlling parent, Scooby LP, also maintains an incentive plan (the “2016 Incentive Plan”) under which it has awarded partnership unit awards to certain current and former employees, consultants, and non-employee directors of the Company that are restricted profit interests in Scooby LP subject to a distribution threshold (“Series C Units”).</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Company’s equity-based compensation expense by award type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4"/>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4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31"/>
        </w:trPr>
        <w:tc>
          <w:tcPr>
            <w:tcW w:w="46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336"/>
              <w:spacing w:after="0" w:line="131"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3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375"/>
              <w:spacing w:after="0" w:line="131" w:lineRule="exact"/>
              <w:rPr>
                <w:sz w:val="20"/>
                <w:szCs w:val="20"/>
                <w:color w:val="auto"/>
              </w:rPr>
            </w:pPr>
            <w:r>
              <w:rPr>
                <w:rFonts w:ascii="Times New Roman" w:cs="Times New Roman" w:eastAsia="Times New Roman" w:hAnsi="Times New Roman"/>
                <w:sz w:val="14"/>
                <w:szCs w:val="14"/>
                <w:b w:val="1"/>
                <w:bCs w:val="1"/>
                <w:color w:val="auto"/>
              </w:rPr>
              <w:t>July 29,</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317"/>
              <w:spacing w:after="0" w:line="131"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2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395"/>
              <w:spacing w:after="0" w:line="131" w:lineRule="exact"/>
              <w:rPr>
                <w:sz w:val="20"/>
                <w:szCs w:val="20"/>
                <w:color w:val="auto"/>
              </w:rPr>
            </w:pPr>
            <w:r>
              <w:rPr>
                <w:rFonts w:ascii="Times New Roman" w:cs="Times New Roman" w:eastAsia="Times New Roman" w:hAnsi="Times New Roman"/>
                <w:sz w:val="14"/>
                <w:szCs w:val="14"/>
                <w:b w:val="1"/>
                <w:bCs w:val="1"/>
                <w:color w:val="auto"/>
              </w:rPr>
              <w:t>July 29,</w:t>
            </w:r>
          </w:p>
        </w:tc>
        <w:tc>
          <w:tcPr>
            <w:tcW w:w="100" w:type="dxa"/>
            <w:vAlign w:val="bottom"/>
          </w:tcPr>
          <w:p>
            <w:pPr>
              <w:spacing w:after="0"/>
              <w:rPr>
                <w:sz w:val="11"/>
                <w:szCs w:val="11"/>
                <w:color w:val="auto"/>
              </w:rPr>
            </w:pPr>
          </w:p>
        </w:tc>
      </w:tr>
      <w:tr>
        <w:trPr>
          <w:trHeight w:val="187"/>
        </w:trPr>
        <w:tc>
          <w:tcPr>
            <w:tcW w:w="4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RSUs and RSAs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8,946</w:t>
            </w: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16,778</w:t>
            </w:r>
          </w:p>
        </w:tc>
        <w:tc>
          <w:tcPr>
            <w:tcW w:w="5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19,668</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31,274</w:t>
            </w:r>
          </w:p>
        </w:tc>
        <w:tc>
          <w:tcPr>
            <w:tcW w:w="100" w:type="dxa"/>
            <w:vAlign w:val="bottom"/>
            <w:shd w:val="clear" w:color="auto" w:fill="CFF0FC"/>
          </w:tcPr>
          <w:p>
            <w:pPr>
              <w:spacing w:after="0"/>
              <w:rPr>
                <w:sz w:val="20"/>
                <w:szCs w:val="20"/>
                <w:color w:val="auto"/>
              </w:rPr>
            </w:pPr>
          </w:p>
        </w:tc>
      </w:tr>
      <w:tr>
        <w:trPr>
          <w:trHeight w:val="238"/>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8,018</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10,002</w:t>
            </w:r>
          </w:p>
        </w:tc>
        <w:tc>
          <w:tcPr>
            <w:tcW w:w="100" w:type="dxa"/>
            <w:vAlign w:val="bottom"/>
          </w:tcPr>
          <w:p>
            <w:pPr>
              <w:spacing w:after="0"/>
              <w:rPr>
                <w:sz w:val="20"/>
                <w:szCs w:val="20"/>
                <w:color w:val="auto"/>
              </w:rPr>
            </w:pPr>
          </w:p>
        </w:tc>
      </w:tr>
      <w:tr>
        <w:trPr>
          <w:trHeight w:val="247"/>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shd w:val="clear" w:color="auto" w:fill="CFF0FC"/>
          </w:tcPr>
          <w:p>
            <w:pPr>
              <w:spacing w:after="0"/>
              <w:rPr>
                <w:sz w:val="21"/>
                <w:szCs w:val="21"/>
                <w:color w:val="auto"/>
              </w:rPr>
            </w:pPr>
          </w:p>
        </w:tc>
      </w:tr>
      <w:tr>
        <w:trPr>
          <w:trHeight w:val="238"/>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awards</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100" w:type="dxa"/>
            <w:vAlign w:val="bottom"/>
          </w:tcPr>
          <w:p>
            <w:pPr>
              <w:spacing w:after="0"/>
              <w:rPr>
                <w:sz w:val="20"/>
                <w:szCs w:val="20"/>
                <w:color w:val="auto"/>
              </w:rPr>
            </w:pPr>
          </w:p>
        </w:tc>
      </w:tr>
      <w:tr>
        <w:trPr>
          <w:trHeight w:val="276"/>
        </w:trPr>
        <w:tc>
          <w:tcPr>
            <w:tcW w:w="4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equity-based compensation expense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11,914</w:t>
            </w: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24,119</w:t>
            </w:r>
          </w:p>
        </w:tc>
        <w:tc>
          <w:tcPr>
            <w:tcW w:w="5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29,348</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46,248</w:t>
            </w:r>
          </w:p>
        </w:tc>
        <w:tc>
          <w:tcPr>
            <w:tcW w:w="100" w:type="dxa"/>
            <w:vAlign w:val="bottom"/>
            <w:shd w:val="clear" w:color="auto" w:fill="CFF0FC"/>
          </w:tcPr>
          <w:p>
            <w:pPr>
              <w:spacing w:after="0"/>
              <w:rPr>
                <w:sz w:val="24"/>
                <w:szCs w:val="24"/>
                <w:color w:val="auto"/>
              </w:rPr>
            </w:pPr>
          </w:p>
        </w:tc>
      </w:tr>
      <w:tr>
        <w:trPr>
          <w:trHeight w:val="632"/>
        </w:trPr>
        <w:tc>
          <w:tcPr>
            <w:tcW w:w="460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2"/>
        </w:trPr>
        <w:tc>
          <w:tcPr>
            <w:tcW w:w="4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3841115</wp:posOffset>
            </wp:positionH>
            <wp:positionV relativeFrom="paragraph">
              <wp:posOffset>-932815</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3841115</wp:posOffset>
            </wp:positionH>
            <wp:positionV relativeFrom="paragraph">
              <wp:posOffset>-915670</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-932815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-915670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-932815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-915670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-932815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-915670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8"/>
          <w:szCs w:val="18"/>
          <w:color w:val="auto"/>
        </w:rPr>
        <w:t>Activity under the 2021 Equity Incentive Plan and the Inducement Awards was as follows (shares and dollars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RSUs and RSAs</w:t>
            </w:r>
          </w:p>
        </w:tc>
        <w:tc>
          <w:tcPr>
            <w:tcW w:w="320" w:type="dxa"/>
            <w:vAlign w:val="bottom"/>
          </w:tcPr>
          <w:p>
            <w:pPr>
              <w:spacing w:after="0"/>
              <w:rPr>
                <w:sz w:val="16"/>
                <w:szCs w:val="16"/>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Options</w:t>
            </w: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Nonvested/outstanding, February 3, 2024</w:t>
            </w:r>
          </w:p>
        </w:tc>
        <w:tc>
          <w:tcPr>
            <w:tcW w:w="18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9,618</w:t>
            </w:r>
          </w:p>
        </w:tc>
        <w:tc>
          <w:tcPr>
            <w:tcW w:w="28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14,736</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15,213</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 and delivered/exercised</w:t>
            </w:r>
          </w:p>
        </w:tc>
        <w:tc>
          <w:tcPr>
            <w:tcW w:w="18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(3,471 )</w:t>
            </w:r>
          </w:p>
        </w:tc>
        <w:tc>
          <w:tcPr>
            <w:tcW w:w="3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Forfeited/expired</w:t>
            </w:r>
          </w:p>
        </w:tc>
        <w:tc>
          <w:tcPr>
            <w:tcW w:w="18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(4,034 )</w:t>
            </w:r>
          </w:p>
        </w:tc>
        <w:tc>
          <w:tcPr>
            <w:tcW w:w="32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(8,812 )</w:t>
            </w: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Nonvested/outstanding, August 3, 2024</w:t>
            </w:r>
          </w:p>
        </w:tc>
        <w:tc>
          <w:tcPr>
            <w:tcW w:w="180" w:type="dxa"/>
            <w:vAlign w:val="bottom"/>
            <w:tcBorders>
              <w:top w:val="single" w:sz="8" w:color="auto"/>
              <w:bottom w:val="single" w:sz="8" w:color="auto"/>
            </w:tcBorders>
            <w:shd w:val="clear" w:color="auto" w:fill="CFF0FC"/>
          </w:tcPr>
          <w:p>
            <w:pPr>
              <w:spacing w:after="0"/>
              <w:rPr>
                <w:sz w:val="24"/>
                <w:szCs w:val="24"/>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16,849</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spacing w:after="0"/>
              <w:rPr>
                <w:sz w:val="24"/>
                <w:szCs w:val="24"/>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compensation expense as of August 3, 2024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56,796</w:t>
            </w:r>
          </w:p>
        </w:tc>
        <w:tc>
          <w:tcPr>
            <w:tcW w:w="2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14,266</w:t>
            </w:r>
          </w:p>
        </w:tc>
        <w:tc>
          <w:tcPr>
            <w:tcW w:w="100" w:type="dxa"/>
            <w:vAlign w:val="bottom"/>
          </w:tcPr>
          <w:p>
            <w:pPr>
              <w:spacing w:after="0"/>
              <w:rPr>
                <w:sz w:val="19"/>
                <w:szCs w:val="19"/>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remaining expense period as of August 3, 2024</w:t>
            </w:r>
          </w:p>
        </w:tc>
        <w:tc>
          <w:tcPr>
            <w:tcW w:w="18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2.1 years</w:t>
            </w:r>
          </w:p>
        </w:tc>
        <w:tc>
          <w:tcPr>
            <w:tcW w:w="3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-333375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-316230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both"/>
        <w:ind w:right="420" w:firstLine="509"/>
        <w:spacing w:after="0" w:line="265" w:lineRule="auto"/>
        <w:rPr>
          <w:sz w:val="20"/>
          <w:szCs w:val="20"/>
          <w:color w:val="auto"/>
        </w:rPr>
      </w:pPr>
      <w:r>
        <w:rPr>
          <w:rFonts w:ascii="Times New Roman" w:cs="Times New Roman" w:eastAsia="Times New Roman" w:hAnsi="Times New Roman"/>
          <w:sz w:val="18"/>
          <w:szCs w:val="18"/>
          <w:color w:val="auto"/>
        </w:rPr>
        <w:t>The ESPP allows eligible employees to contribute up to 15% of their base earnings towards purchases of Class A common stock, subject to an annual maximum. The purchase price will be 85% of the lower of (i) the fair market value of the stock on the associated lookback date and (ii) the fair market value of the stock on the last day of the related purchase period.</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Series C Unit activity under the 2016 Incentive Plan was as follows (in thousands):</w:t>
      </w:r>
    </w:p>
    <w:p>
      <w:pPr>
        <w:spacing w:after="0" w:line="259" w:lineRule="exact"/>
        <w:rPr>
          <w:sz w:val="20"/>
          <w:szCs w:val="20"/>
          <w:color w:val="auto"/>
        </w:rPr>
      </w:pPr>
    </w:p>
    <w:tbl>
      <w:tblPr>
        <w:tblLayout w:type="fixed"/>
        <w:tblInd w:w="2260" w:type="dxa"/>
        <w:tblCellMar>
          <w:top w:w="0" w:type="dxa"/>
          <w:left w:w="0" w:type="dxa"/>
          <w:bottom w:w="0" w:type="dxa"/>
          <w:right w:w="0" w:type="dxa"/>
        </w:tblCellMar>
      </w:tblPr>
      <w:tr>
        <w:trPr>
          <w:trHeight w:val="187"/>
        </w:trPr>
        <w:tc>
          <w:tcPr>
            <w:tcW w:w="5520" w:type="dxa"/>
            <w:vAlign w:val="bottom"/>
          </w:tcPr>
          <w:p>
            <w:pPr>
              <w:spacing w:after="0"/>
              <w:rPr>
                <w:sz w:val="16"/>
                <w:szCs w:val="16"/>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Units</w:t>
            </w:r>
          </w:p>
        </w:tc>
      </w:tr>
      <w:tr>
        <w:trPr>
          <w:trHeight w:val="23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February 3, 2024</w:t>
            </w:r>
          </w:p>
        </w:tc>
        <w:tc>
          <w:tcPr>
            <w:tcW w:w="12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198,145</w:t>
            </w:r>
          </w:p>
        </w:tc>
        <w:tc>
          <w:tcPr>
            <w:tcW w:w="20" w:type="dxa"/>
            <w:vAlign w:val="bottom"/>
          </w:tcPr>
          <w:p>
            <w:pPr>
              <w:spacing w:after="0"/>
              <w:rPr>
                <w:sz w:val="20"/>
                <w:szCs w:val="20"/>
                <w:color w:val="auto"/>
              </w:rPr>
            </w:pPr>
          </w:p>
        </w:tc>
      </w:tr>
      <w:tr>
        <w:trPr>
          <w:trHeight w:val="234"/>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245"/>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(5,002 )</w:t>
            </w:r>
          </w:p>
        </w:tc>
      </w:tr>
      <w:tr>
        <w:trPr>
          <w:trHeight w:val="238"/>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August 3, 2024</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193,143</w:t>
            </w:r>
          </w:p>
        </w:tc>
        <w:tc>
          <w:tcPr>
            <w:tcW w:w="20" w:type="dxa"/>
            <w:vAlign w:val="bottom"/>
          </w:tcPr>
          <w:p>
            <w:pPr>
              <w:spacing w:after="0"/>
              <w:rPr>
                <w:sz w:val="20"/>
                <w:szCs w:val="20"/>
                <w:color w:val="auto"/>
              </w:rPr>
            </w:pPr>
          </w:p>
        </w:tc>
      </w:tr>
      <w:tr>
        <w:trPr>
          <w:trHeight w:val="20"/>
        </w:trPr>
        <w:tc>
          <w:tcPr>
            <w:tcW w:w="55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5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 August 3, 2024</w:t>
            </w:r>
          </w:p>
        </w:tc>
        <w:tc>
          <w:tcPr>
            <w:tcW w:w="12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188,974</w:t>
            </w: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1435100</wp:posOffset>
            </wp:positionH>
            <wp:positionV relativeFrom="paragraph">
              <wp:posOffset>-521970</wp:posOffset>
            </wp:positionV>
            <wp:extent cx="4272915" cy="1625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272915" cy="162560"/>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-24765</wp:posOffset>
            </wp:positionV>
            <wp:extent cx="342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-7620</wp:posOffset>
            </wp:positionV>
            <wp:extent cx="342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No additional Series C Units have been or will be awarded following the Company’s initial public offering. As of August 3, 2024, unrecognized compensation expense related to the unvested portion of Scooby LP’s Series C Units was $0.8 million, which is expected to be recognized over a weighted average period of 0.8 years. In addition to acceleration upon a change in control, a portion of grantees’ Series C Units may vest upon certain levels of direct or indirect sales by Scooby LP of the Company’s Class A common stock, and all unvested Series C Units will fully accelerate in the event Scooby LP sells 90% of its direct or indirect holdings of the Company’s Class A common stock.</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Per Share</w:t>
      </w:r>
    </w:p>
    <w:p>
      <w:pPr>
        <w:spacing w:after="0" w:line="229" w:lineRule="exact"/>
        <w:rPr>
          <w:sz w:val="20"/>
          <w:szCs w:val="20"/>
          <w:color w:val="auto"/>
        </w:rPr>
      </w:pPr>
    </w:p>
    <w:p>
      <w:pPr>
        <w:ind w:right="180" w:firstLine="509"/>
        <w:spacing w:after="0" w:line="260" w:lineRule="auto"/>
        <w:rPr>
          <w:sz w:val="20"/>
          <w:szCs w:val="20"/>
          <w:color w:val="auto"/>
        </w:rPr>
      </w:pPr>
      <w:r>
        <w:rPr>
          <w:rFonts w:ascii="Times New Roman" w:cs="Times New Roman" w:eastAsia="Times New Roman" w:hAnsi="Times New Roman"/>
          <w:sz w:val="18"/>
          <w:szCs w:val="18"/>
          <w:color w:val="auto"/>
        </w:rPr>
        <w:t>Potentially dilutive securities include potential Class A common shares related to outstanding stock options, unvested RSUs and RSAs, and the ESPP, calculated using the treasury stock method. The calculation of diluted shares outstanding excludes securities where the combination of the exercise or purchase price (in the case of options and the ESPP) and the associated unrecognized compensation expense is greater than the average market price of Class A common shares because the inclusion of these securities would be anti-dilutive.</w:t>
      </w:r>
    </w:p>
    <w:p>
      <w:pPr>
        <w:spacing w:after="0" w:line="209" w:lineRule="exact"/>
        <w:rPr>
          <w:sz w:val="20"/>
          <w:szCs w:val="20"/>
          <w:color w:val="auto"/>
        </w:rPr>
      </w:pPr>
    </w:p>
    <w:p>
      <w:pPr>
        <w:ind w:right="160" w:firstLine="449"/>
        <w:spacing w:after="0" w:line="251" w:lineRule="auto"/>
        <w:rPr>
          <w:sz w:val="20"/>
          <w:szCs w:val="20"/>
          <w:color w:val="auto"/>
        </w:rPr>
      </w:pPr>
      <w:r>
        <w:rPr>
          <w:rFonts w:ascii="Times New Roman" w:cs="Times New Roman" w:eastAsia="Times New Roman" w:hAnsi="Times New Roman"/>
          <w:sz w:val="18"/>
          <w:szCs w:val="18"/>
          <w:color w:val="auto"/>
        </w:rPr>
        <w:t>All outstanding equity awards were excluded from the calculation of diluted loss per Class A and B-1 common share in the twenty-six weeks ended August 3, 2024 and July 29, 2023, as their effect would be antidilutive in a net loss period</w:t>
      </w:r>
      <w:r>
        <w:rPr>
          <w:rFonts w:ascii="Calibri" w:cs="Calibri" w:eastAsia="Calibri" w:hAnsi="Calibri"/>
          <w:sz w:val="19"/>
          <w:szCs w:val="19"/>
          <w:color w:val="auto"/>
        </w:rPr>
        <w:t>.</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229" w:lineRule="exact"/>
        <w:rPr>
          <w:sz w:val="20"/>
          <w:szCs w:val="20"/>
          <w:color w:val="auto"/>
        </w:rPr>
      </w:pPr>
    </w:p>
    <w:p>
      <w:pPr>
        <w:ind w:right="220" w:firstLine="613"/>
        <w:spacing w:after="0" w:line="258" w:lineRule="auto"/>
        <w:rPr>
          <w:sz w:val="20"/>
          <w:szCs w:val="20"/>
          <w:color w:val="auto"/>
        </w:rPr>
      </w:pPr>
      <w:r>
        <w:rPr>
          <w:rFonts w:ascii="Times New Roman" w:cs="Times New Roman" w:eastAsia="Times New Roman" w:hAnsi="Times New Roman"/>
          <w:sz w:val="18"/>
          <w:szCs w:val="18"/>
          <w:color w:val="auto"/>
        </w:rPr>
        <w:t>The Company is involved in legal proceedings and is subject to other claims and litigation arising in the ordinary course of its business. The Company has made accruals with respect to certain of these matters, where appropriate, which are reflected in the Company’s consolidated financial statements but are not, individually or in the aggregate, considered material. For other matters, the Company has not made accruals because management has not yet determined that a loss is probable or because the amount of loss cannot be reasonably estimated. While the ultimate outcome of the matters cannot be determined, the Company currently does not expect that these matters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16" w:name="page17"/>
    <w:bookmarkEnd w:id="16"/>
    <w:p>
      <w:pPr>
        <w:spacing w:after="0" w:line="265" w:lineRule="auto"/>
        <w:rPr>
          <w:sz w:val="20"/>
          <w:szCs w:val="20"/>
          <w:color w:val="auto"/>
        </w:rPr>
      </w:pPr>
      <w:r>
        <w:rPr>
          <w:rFonts w:ascii="Times New Roman" w:cs="Times New Roman" w:eastAsia="Times New Roman" w:hAnsi="Times New Roman"/>
          <w:sz w:val="18"/>
          <w:szCs w:val="18"/>
          <w:color w:val="auto"/>
        </w:rPr>
        <w:t>will have a material adverse effect on its consolidated financial statements. The outcome of any litigation is inherently uncertain, however, and if decided adversely to the Company, or if the Company determines that settlement of particular litigation is appropriate, the Company may be subject to liability that could have a material adverse effect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8"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consolidated financial statements and the accompanying notes included elsewhere in this Quarterly Report on Form 10-Q (this “Form 10-Q”), as well as the corresponding Management’s Discussion and Analysis of Financial Condition and Results of Operations contained in our Annual Report on Form 10-K for the fiscal year ended February 3, 2024 (the “2023 Form 10-K”). The discussion and analysis below contains certain forward-looking statements about our business and operations that are subject to the risks, uncertainties, and other factors referred to in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Form 10-Q. These risks, uncertainties, and other factors could cause our actual results to differ materially from those expressed in, or implied by, the forward-looking statements. The risks described in this Form 10-Q and in other documents we file from time to time with the U.S. Securities and Exchange Commission (the “SEC”), including the section entitled “Forward-Looking Statements” in this Form 10-Q, should be carefully reviewed. All amounts herein are unaudited.</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60" w:firstLine="509"/>
        <w:spacing w:after="0" w:line="260" w:lineRule="auto"/>
        <w:rPr>
          <w:sz w:val="20"/>
          <w:szCs w:val="20"/>
          <w:color w:val="auto"/>
        </w:rPr>
      </w:pPr>
      <w:r>
        <w:rPr>
          <w:rFonts w:ascii="Times New Roman" w:cs="Times New Roman" w:eastAsia="Times New Roman" w:hAnsi="Times New Roman"/>
          <w:sz w:val="18"/>
          <w:szCs w:val="18"/>
          <w:color w:val="auto"/>
        </w:rPr>
        <w:t>Petco Health and Wellness Company, Inc. (“Petco”, the “Company”, “we”, “our” and “us”) is a pet health and wellness company focused on improving the lives of pets, pet parents, and our own partners. Through our omnichannel ecosystem, we provide our customers with a comprehensive offering of products and services to fulfill their pets’ health and wellness needs through our more than 1,500 pet care centers in the U.S., Mexico, and Puerto Rico, including a network of in-store veterinary hospitals, our digital channel, and our flexible fulfillment options.</w:t>
      </w:r>
    </w:p>
    <w:p>
      <w:pPr>
        <w:spacing w:after="0" w:line="74"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Our multicategory strategy integrates our digital assets with our nationwide physical footprint to meet the needs of pet parents who are looking for a single source for all their pets' needs. Our e-commerce site and mobile app serve as hubs for pet parents to manage their pets’ health, wellness, and merchandise needs, while enabling them to shop wherever, whenever, and however they want.</w:t>
      </w:r>
    </w:p>
    <w:p>
      <w:pPr>
        <w:spacing w:after="0" w:line="69"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We strive to be a company that is improving millions of pet lives as well as the lives of pet parents and the partners who work for us. In tandem with Petco Love, a life-changing independent nonprofit organization, we work with and support thousands of local animal welfare groups across the country and, through in-store adoption events, we have helped find homes for nearly 7 million animals.</w:t>
      </w:r>
    </w:p>
    <w:p>
      <w:pPr>
        <w:spacing w:after="0" w:line="69" w:lineRule="exact"/>
        <w:rPr>
          <w:sz w:val="20"/>
          <w:szCs w:val="20"/>
          <w:color w:val="auto"/>
        </w:rPr>
      </w:pPr>
    </w:p>
    <w:p>
      <w:pPr>
        <w:ind w:right="400" w:firstLine="509"/>
        <w:spacing w:after="0" w:line="260" w:lineRule="auto"/>
        <w:rPr>
          <w:sz w:val="20"/>
          <w:szCs w:val="20"/>
          <w:color w:val="auto"/>
        </w:rPr>
      </w:pPr>
      <w:r>
        <w:rPr>
          <w:rFonts w:ascii="Times New Roman" w:cs="Times New Roman" w:eastAsia="Times New Roman" w:hAnsi="Times New Roman"/>
          <w:sz w:val="18"/>
          <w:szCs w:val="18"/>
          <w:color w:val="auto"/>
        </w:rPr>
        <w:t>Macroeconomic factors, including rising interest rates, inflationary pressures, supply chain constraints, and global economic and geopolitical developments have had varying impacts on our results of operations, such as decreases in sales of discretionary items like supplies, that are difficult to isolate and quantify. We cannot predict the duration or ultimate severity of these macroeconomic factors or the ultimate impact on our operations and liquidity. Please refer to the risk factors referred to in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Form 10-Q.</w:t>
      </w:r>
    </w:p>
    <w:p>
      <w:pPr>
        <w:spacing w:after="0" w:line="28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assessing our performance, we consider a variety of performance and financial measures, including the following:</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Comparable Sales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Comparable sales is an important measure throughout the retail industry and includes both retail and digital sales of products and services. A new location or digital site is included in comparable sales beginning on the first day of the fiscal month following 12 full fiscal months of operation and is subsequently compared to like time periods from the previous year. Relocated pet care centers become comparable pet care centers on the first day of operation if the original pet care center was open longer than 12 full fiscal months. If, during the period presented, a pet care center was closed, sales from that pet care center are included up to the first day of the month of closing. There may be variations in the way in which some of our competitors and other retailers calculate comparable sales. As a result, data in this filing regarding our comparable sales may not be comparable to similar data made available by other retailers.</w:t>
      </w:r>
    </w:p>
    <w:p>
      <w:pPr>
        <w:spacing w:after="0" w:line="187" w:lineRule="exact"/>
        <w:rPr>
          <w:sz w:val="20"/>
          <w:szCs w:val="20"/>
          <w:color w:val="auto"/>
        </w:rPr>
      </w:pPr>
    </w:p>
    <w:p>
      <w:pPr>
        <w:ind w:right="80" w:firstLine="554"/>
        <w:spacing w:after="0" w:line="260" w:lineRule="auto"/>
        <w:rPr>
          <w:sz w:val="20"/>
          <w:szCs w:val="20"/>
          <w:color w:val="auto"/>
        </w:rPr>
      </w:pPr>
      <w:r>
        <w:rPr>
          <w:rFonts w:ascii="Times New Roman" w:cs="Times New Roman" w:eastAsia="Times New Roman" w:hAnsi="Times New Roman"/>
          <w:sz w:val="18"/>
          <w:szCs w:val="18"/>
          <w:color w:val="auto"/>
        </w:rPr>
        <w:t>Comparable sales allow us to evaluate how our overall ecosystem is performing by measuring the change in period-over-period net sales from locations and digital sites that have been open for the applicable period. We intend to improve comparable sales by continuing initiatives aimed to increase customer retention, frequency of visits, and basket size. General macroeconomic and retail business trends are also a key driver of changes in comparable sales.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8"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21"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Management and our board of directors review, in addition to GAAP (as defined herein) measures, certain non-GAAP financial measures, including Adjusted EBITDA and Free Cash Flow, to evaluate our operating performance, generate future operating plans, and make strategic decisions regarding the allocation of capital. Further explanations of these non-GAAP measures, along with reconciliations to their most comparable GAAP measures, are presented below under “Reconciliation of Non-GAAP Financial Measures to GAAP Measures.”</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Comparing the thirteen weeks ended August 3, 2024 with the thirteen weeks ended July 29, 2023 (unless otherwise noted), our results included the following:</w:t>
      </w:r>
    </w:p>
    <w:p>
      <w:pPr>
        <w:spacing w:after="0" w:line="55"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net sales from $1.53 billion to $1.52 billion, representing a period-over-period decrease of 0.5%;</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of $2.5 million, compared to operating income of $24.0 million in the prior year period;</w:t>
      </w:r>
    </w:p>
    <w:p>
      <w:pPr>
        <w:spacing w:after="0" w:line="116" w:lineRule="exact"/>
        <w:rPr>
          <w:rFonts w:ascii="Times New Roman" w:cs="Times New Roman" w:eastAsia="Times New Roman" w:hAnsi="Times New Roman"/>
          <w:sz w:val="18"/>
          <w:szCs w:val="18"/>
          <w:color w:val="auto"/>
        </w:rPr>
      </w:pPr>
    </w:p>
    <w:p>
      <w:pPr>
        <w:ind w:left="1020" w:right="40" w:hanging="503"/>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attributable to Class A and B-1 common stockholders of $24.8 million, compared to net loss attributable to Class A and B-1 common stockholders of $14.6 million in the prior year period; and</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Adjusted EBITDA from $112.6 million to $83.5 million.</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60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tables summarize our results of operations and the percent of net sales of line items included in our consolidated statements of operations (dollars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00" w:type="dxa"/>
            <w:vAlign w:val="bottom"/>
          </w:tcPr>
          <w:p>
            <w:pPr>
              <w:spacing w:after="0"/>
              <w:rPr>
                <w:sz w:val="16"/>
                <w:szCs w:val="16"/>
                <w:color w:val="auto"/>
              </w:rPr>
            </w:pPr>
          </w:p>
        </w:tc>
        <w:tc>
          <w:tcPr>
            <w:tcW w:w="242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31"/>
        </w:trPr>
        <w:tc>
          <w:tcPr>
            <w:tcW w:w="43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540"/>
              <w:spacing w:after="0" w:line="131"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232"/>
              <w:spacing w:after="0" w:line="131" w:lineRule="exact"/>
              <w:rPr>
                <w:sz w:val="20"/>
                <w:szCs w:val="20"/>
                <w:color w:val="auto"/>
              </w:rPr>
            </w:pPr>
            <w:r>
              <w:rPr>
                <w:rFonts w:ascii="Times New Roman" w:cs="Times New Roman" w:eastAsia="Times New Roman" w:hAnsi="Times New Roman"/>
                <w:sz w:val="14"/>
                <w:szCs w:val="14"/>
                <w:b w:val="1"/>
                <w:bCs w:val="1"/>
                <w:color w:val="auto"/>
              </w:rPr>
              <w:t>July 29,</w:t>
            </w:r>
          </w:p>
        </w:tc>
        <w:tc>
          <w:tcPr>
            <w:tcW w:w="2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right"/>
              <w:ind w:right="430"/>
              <w:spacing w:after="0" w:line="131"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252"/>
              <w:spacing w:after="0" w:line="131" w:lineRule="exact"/>
              <w:rPr>
                <w:sz w:val="20"/>
                <w:szCs w:val="20"/>
                <w:color w:val="auto"/>
              </w:rPr>
            </w:pPr>
            <w:r>
              <w:rPr>
                <w:rFonts w:ascii="Times New Roman" w:cs="Times New Roman" w:eastAsia="Times New Roman" w:hAnsi="Times New Roman"/>
                <w:sz w:val="14"/>
                <w:szCs w:val="14"/>
                <w:b w:val="1"/>
                <w:bCs w:val="1"/>
                <w:color w:val="auto"/>
              </w:rPr>
              <w:t>July 29,</w:t>
            </w:r>
          </w:p>
        </w:tc>
        <w:tc>
          <w:tcPr>
            <w:tcW w:w="100" w:type="dxa"/>
            <w:vAlign w:val="bottom"/>
          </w:tcPr>
          <w:p>
            <w:pPr>
              <w:spacing w:after="0"/>
              <w:rPr>
                <w:sz w:val="11"/>
                <w:szCs w:val="11"/>
                <w:color w:val="auto"/>
              </w:rPr>
            </w:pPr>
          </w:p>
        </w:tc>
      </w:tr>
      <w:tr>
        <w:trPr>
          <w:trHeight w:val="187"/>
        </w:trPr>
        <w:tc>
          <w:tcPr>
            <w:tcW w:w="4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Products</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1,263,749</w:t>
            </w:r>
          </w:p>
        </w:tc>
        <w:tc>
          <w:tcPr>
            <w:tcW w:w="26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1,278,598</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2,543,480</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2,595,194</w:t>
            </w:r>
          </w:p>
        </w:tc>
        <w:tc>
          <w:tcPr>
            <w:tcW w:w="100" w:type="dxa"/>
            <w:vAlign w:val="bottom"/>
          </w:tcPr>
          <w:p>
            <w:pPr>
              <w:spacing w:after="0"/>
              <w:rPr>
                <w:sz w:val="20"/>
                <w:szCs w:val="20"/>
                <w:color w:val="auto"/>
              </w:rPr>
            </w:pPr>
          </w:p>
        </w:tc>
      </w:tr>
      <w:tr>
        <w:trPr>
          <w:trHeight w:val="243"/>
        </w:trPr>
        <w:tc>
          <w:tcPr>
            <w:tcW w:w="43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Services and other</w:t>
            </w:r>
          </w:p>
        </w:tc>
        <w:tc>
          <w:tcPr>
            <w:tcW w:w="14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260,006</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252,136</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509,415</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491,448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net sales</w:t>
            </w: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1,523,755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1,530,734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3,052,895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3,086,642</w:t>
            </w:r>
          </w:p>
        </w:tc>
        <w:tc>
          <w:tcPr>
            <w:tcW w:w="100" w:type="dxa"/>
            <w:vAlign w:val="bottom"/>
          </w:tcPr>
          <w:p>
            <w:pPr>
              <w:spacing w:after="0"/>
              <w:rPr>
                <w:sz w:val="20"/>
                <w:szCs w:val="20"/>
                <w:color w:val="auto"/>
              </w:rPr>
            </w:pPr>
          </w:p>
        </w:tc>
      </w:tr>
      <w:tr>
        <w:trPr>
          <w:trHeight w:val="247"/>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4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Products</w:t>
            </w: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787,103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789,091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1,579,825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1,594,850</w:t>
            </w:r>
          </w:p>
        </w:tc>
        <w:tc>
          <w:tcPr>
            <w:tcW w:w="100" w:type="dxa"/>
            <w:vAlign w:val="bottom"/>
          </w:tcPr>
          <w:p>
            <w:pPr>
              <w:spacing w:after="0"/>
              <w:rPr>
                <w:sz w:val="20"/>
                <w:szCs w:val="20"/>
                <w:color w:val="auto"/>
              </w:rPr>
            </w:pPr>
          </w:p>
        </w:tc>
      </w:tr>
      <w:tr>
        <w:trPr>
          <w:trHeight w:val="243"/>
        </w:trPr>
        <w:tc>
          <w:tcPr>
            <w:tcW w:w="43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Services and other</w:t>
            </w:r>
          </w:p>
        </w:tc>
        <w:tc>
          <w:tcPr>
            <w:tcW w:w="14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155,927</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148,639</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313,685</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294,306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cost of sales</w:t>
            </w:r>
          </w:p>
        </w:tc>
        <w:tc>
          <w:tcPr>
            <w:tcW w:w="1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943,030</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937,730</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1,893,510</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1,889,156</w:t>
            </w:r>
          </w:p>
        </w:tc>
        <w:tc>
          <w:tcPr>
            <w:tcW w:w="100" w:type="dxa"/>
            <w:vAlign w:val="bottom"/>
          </w:tcPr>
          <w:p>
            <w:pPr>
              <w:spacing w:after="0"/>
              <w:rPr>
                <w:sz w:val="20"/>
                <w:szCs w:val="20"/>
                <w:color w:val="auto"/>
              </w:rPr>
            </w:pPr>
          </w:p>
        </w:tc>
      </w:tr>
      <w:tr>
        <w:trPr>
          <w:trHeight w:val="240"/>
        </w:trPr>
        <w:tc>
          <w:tcPr>
            <w:tcW w:w="43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Gross profit</w:t>
            </w:r>
          </w:p>
        </w:tc>
        <w:tc>
          <w:tcPr>
            <w:tcW w:w="14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580,725</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593,004</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1,159,385</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1,197,486</w:t>
            </w:r>
          </w:p>
        </w:tc>
        <w:tc>
          <w:tcPr>
            <w:tcW w:w="100" w:type="dxa"/>
            <w:vAlign w:val="bottom"/>
            <w:shd w:val="clear" w:color="auto" w:fill="CFF0FC"/>
          </w:tcPr>
          <w:p>
            <w:pPr>
              <w:spacing w:after="0"/>
              <w:rPr>
                <w:sz w:val="20"/>
                <w:szCs w:val="20"/>
                <w:color w:val="auto"/>
              </w:rPr>
            </w:pPr>
          </w:p>
        </w:tc>
      </w:tr>
      <w:tr>
        <w:trPr>
          <w:trHeight w:val="238"/>
        </w:trPr>
        <w:tc>
          <w:tcPr>
            <w:tcW w:w="43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578,257</w:t>
            </w:r>
          </w:p>
        </w:tc>
        <w:tc>
          <w:tcPr>
            <w:tcW w:w="2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568,967</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1,173,699</w:t>
            </w:r>
          </w:p>
        </w:tc>
        <w:tc>
          <w:tcPr>
            <w:tcW w:w="2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1,145,832</w:t>
            </w:r>
          </w:p>
        </w:tc>
        <w:tc>
          <w:tcPr>
            <w:tcW w:w="100" w:type="dxa"/>
            <w:vAlign w:val="bottom"/>
            <w:tcBorders>
              <w:bottom w:val="single" w:sz="8" w:color="CFF0FC"/>
            </w:tcBorders>
          </w:tcPr>
          <w:p>
            <w:pPr>
              <w:spacing w:after="0"/>
              <w:rPr>
                <w:sz w:val="20"/>
                <w:szCs w:val="20"/>
                <w:color w:val="auto"/>
              </w:rPr>
            </w:pPr>
          </w:p>
        </w:tc>
      </w:tr>
      <w:tr>
        <w:trPr>
          <w:trHeight w:val="240"/>
        </w:trPr>
        <w:tc>
          <w:tcPr>
            <w:tcW w:w="43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income (loss)</w:t>
            </w:r>
          </w:p>
        </w:tc>
        <w:tc>
          <w:tcPr>
            <w:tcW w:w="14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24,037</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(14,314</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51,654</w:t>
            </w:r>
          </w:p>
        </w:tc>
        <w:tc>
          <w:tcPr>
            <w:tcW w:w="100" w:type="dxa"/>
            <w:vAlign w:val="bottom"/>
            <w:shd w:val="clear" w:color="auto" w:fill="CFF0FC"/>
          </w:tcPr>
          <w:p>
            <w:pPr>
              <w:spacing w:after="0"/>
              <w:rPr>
                <w:sz w:val="20"/>
                <w:szCs w:val="20"/>
                <w:color w:val="auto"/>
              </w:rPr>
            </w:pPr>
          </w:p>
        </w:tc>
      </w:tr>
      <w:tr>
        <w:trPr>
          <w:trHeight w:val="238"/>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(672 )</w:t>
            </w:r>
          </w:p>
        </w:tc>
        <w:tc>
          <w:tcPr>
            <w:tcW w:w="2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(764 )</w:t>
            </w:r>
          </w:p>
        </w:tc>
        <w:tc>
          <w:tcPr>
            <w:tcW w:w="200" w:type="dxa"/>
            <w:vAlign w:val="bottom"/>
          </w:tcPr>
          <w:p>
            <w:pPr>
              <w:spacing w:after="0"/>
              <w:rPr>
                <w:sz w:val="20"/>
                <w:szCs w:val="20"/>
                <w:color w:val="auto"/>
              </w:rPr>
            </w:pP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(1,090 )</w:t>
            </w:r>
          </w:p>
        </w:tc>
        <w:tc>
          <w:tcPr>
            <w:tcW w:w="2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(1,940 )</w:t>
            </w:r>
          </w:p>
        </w:tc>
      </w:tr>
      <w:tr>
        <w:trPr>
          <w:trHeight w:val="247"/>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36,805</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37,493</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73,622</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74,694</w:t>
            </w:r>
          </w:p>
        </w:tc>
        <w:tc>
          <w:tcPr>
            <w:tcW w:w="100" w:type="dxa"/>
            <w:vAlign w:val="bottom"/>
            <w:shd w:val="clear" w:color="auto" w:fill="CFF0FC"/>
          </w:tcPr>
          <w:p>
            <w:pPr>
              <w:spacing w:after="0"/>
              <w:rPr>
                <w:sz w:val="21"/>
                <w:szCs w:val="21"/>
                <w:color w:val="auto"/>
              </w:rPr>
            </w:pPr>
          </w:p>
        </w:tc>
      </w:tr>
      <w:tr>
        <w:trPr>
          <w:trHeight w:val="238"/>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partial extinguishment of debt</w:t>
            </w: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20"/>
                <w:szCs w:val="20"/>
                <w:color w:val="auto"/>
              </w:rPr>
            </w:pPr>
          </w:p>
        </w:tc>
      </w:tr>
      <w:tr>
        <w:trPr>
          <w:trHeight w:val="243"/>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non-operating (income) loss</w:t>
            </w:r>
          </w:p>
        </w:tc>
        <w:tc>
          <w:tcPr>
            <w:tcW w:w="14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(1,795 )</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(4,614 )</w:t>
            </w:r>
          </w:p>
        </w:tc>
      </w:tr>
      <w:tr>
        <w:trPr>
          <w:trHeight w:val="209"/>
        </w:trPr>
        <w:tc>
          <w:tcPr>
            <w:tcW w:w="438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Loss before income taxes and income</w:t>
            </w:r>
          </w:p>
        </w:tc>
        <w:tc>
          <w:tcPr>
            <w:tcW w:w="14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41"/>
        </w:trPr>
        <w:tc>
          <w:tcPr>
            <w:tcW w:w="4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from equity method investees</w:t>
            </w: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(33,665 )</w:t>
            </w:r>
          </w:p>
        </w:tc>
        <w:tc>
          <w:tcPr>
            <w:tcW w:w="2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(11,202 )</w:t>
            </w:r>
          </w:p>
        </w:tc>
        <w:tc>
          <w:tcPr>
            <w:tcW w:w="200" w:type="dxa"/>
            <w:vAlign w:val="bottom"/>
          </w:tcPr>
          <w:p>
            <w:pPr>
              <w:spacing w:after="0"/>
              <w:rPr>
                <w:sz w:val="20"/>
                <w:szCs w:val="20"/>
                <w:color w:val="auto"/>
              </w:rPr>
            </w:pP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(89,511 )</w:t>
            </w:r>
          </w:p>
        </w:tc>
        <w:tc>
          <w:tcPr>
            <w:tcW w:w="2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(17,232 )</w:t>
            </w:r>
          </w:p>
        </w:tc>
      </w:tr>
      <w:tr>
        <w:trPr>
          <w:trHeight w:val="249"/>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4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(4,651 )</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(9,128 )</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100" w:type="dxa"/>
            <w:vAlign w:val="bottom"/>
            <w:shd w:val="clear" w:color="auto" w:fill="CFF0FC"/>
          </w:tcPr>
          <w:p>
            <w:pPr>
              <w:spacing w:after="0"/>
              <w:rPr>
                <w:sz w:val="21"/>
                <w:szCs w:val="21"/>
                <w:color w:val="auto"/>
              </w:rPr>
            </w:pPr>
          </w:p>
        </w:tc>
      </w:tr>
      <w:tr>
        <w:trPr>
          <w:trHeight w:val="238"/>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investees</w:t>
            </w: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(4,191 )</w:t>
            </w:r>
          </w:p>
        </w:tc>
        <w:tc>
          <w:tcPr>
            <w:tcW w:w="2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(3,328 )</w:t>
            </w:r>
          </w:p>
        </w:tc>
        <w:tc>
          <w:tcPr>
            <w:tcW w:w="200" w:type="dxa"/>
            <w:vAlign w:val="bottom"/>
          </w:tcPr>
          <w:p>
            <w:pPr>
              <w:spacing w:after="0"/>
              <w:rPr>
                <w:sz w:val="20"/>
                <w:szCs w:val="20"/>
                <w:color w:val="auto"/>
              </w:rPr>
            </w:pP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(9,077 )</w:t>
            </w:r>
          </w:p>
        </w:tc>
        <w:tc>
          <w:tcPr>
            <w:tcW w:w="2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(6,458 )</w:t>
            </w:r>
          </w:p>
        </w:tc>
      </w:tr>
      <w:tr>
        <w:trPr>
          <w:trHeight w:val="209"/>
        </w:trPr>
        <w:tc>
          <w:tcPr>
            <w:tcW w:w="43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loss attributable to Class A and B-1</w:t>
            </w:r>
          </w:p>
        </w:tc>
        <w:tc>
          <w:tcPr>
            <w:tcW w:w="14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43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common stockholders</w:t>
            </w: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(24,823 )</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(14,606 )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(71,306 )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(16,498 )</w:t>
            </w:r>
          </w:p>
        </w:tc>
      </w:tr>
      <w:tr>
        <w:trPr>
          <w:trHeight w:val="647"/>
        </w:trPr>
        <w:tc>
          <w:tcPr>
            <w:tcW w:w="4380" w:type="dxa"/>
            <w:vAlign w:val="bottom"/>
          </w:tcPr>
          <w:p>
            <w:pPr>
              <w:spacing w:after="0"/>
              <w:rPr>
                <w:sz w:val="24"/>
                <w:szCs w:val="24"/>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2"/>
        </w:trPr>
        <w:tc>
          <w:tcPr>
            <w:tcW w:w="43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-3698240</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-3698240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-3698240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-3698240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-3073400</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-3073400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-3073400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-3073400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-2593975</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-2593975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-2593975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-2593975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-1814830</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-1814830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-1814830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-1814830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87"/>
        </w:trPr>
        <w:tc>
          <w:tcPr>
            <w:tcW w:w="5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20" w:type="dxa"/>
            <w:vAlign w:val="bottom"/>
            <w:gridSpan w:val="11"/>
          </w:tcPr>
          <w:p>
            <w:pPr>
              <w:ind w:left="3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80" w:type="dxa"/>
            <w:vAlign w:val="bottom"/>
          </w:tcPr>
          <w:p>
            <w:pPr>
              <w:spacing w:after="0"/>
              <w:rPr>
                <w:sz w:val="16"/>
                <w:szCs w:val="16"/>
                <w:color w:val="auto"/>
              </w:rPr>
            </w:pPr>
          </w:p>
        </w:tc>
        <w:tc>
          <w:tcPr>
            <w:tcW w:w="2540" w:type="dxa"/>
            <w:vAlign w:val="bottom"/>
            <w:gridSpan w:val="9"/>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31"/>
        </w:trPr>
        <w:tc>
          <w:tcPr>
            <w:tcW w:w="57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4"/>
          </w:tcPr>
          <w:p>
            <w:pPr>
              <w:jc w:val="right"/>
              <w:ind w:right="540"/>
              <w:spacing w:after="0" w:line="131"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253"/>
              <w:spacing w:after="0" w:line="131" w:lineRule="exact"/>
              <w:rPr>
                <w:sz w:val="20"/>
                <w:szCs w:val="20"/>
                <w:color w:val="auto"/>
              </w:rPr>
            </w:pPr>
            <w:r>
              <w:rPr>
                <w:rFonts w:ascii="Times New Roman" w:cs="Times New Roman" w:eastAsia="Times New Roman" w:hAnsi="Times New Roman"/>
                <w:sz w:val="14"/>
                <w:szCs w:val="14"/>
                <w:b w:val="1"/>
                <w:bCs w:val="1"/>
                <w:color w:val="auto"/>
              </w:rPr>
              <w:t>July 29,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5"/>
          </w:tcPr>
          <w:p>
            <w:pPr>
              <w:jc w:val="right"/>
              <w:ind w:right="560"/>
              <w:spacing w:after="0" w:line="131"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273"/>
              <w:spacing w:after="0" w:line="131" w:lineRule="exact"/>
              <w:rPr>
                <w:sz w:val="20"/>
                <w:szCs w:val="20"/>
                <w:color w:val="auto"/>
              </w:rPr>
            </w:pPr>
            <w:r>
              <w:rPr>
                <w:rFonts w:ascii="Times New Roman" w:cs="Times New Roman" w:eastAsia="Times New Roman" w:hAnsi="Times New Roman"/>
                <w:sz w:val="14"/>
                <w:szCs w:val="14"/>
                <w:b w:val="1"/>
                <w:bCs w:val="1"/>
                <w:color w:val="auto"/>
              </w:rPr>
              <w:t>July 29,</w:t>
            </w:r>
          </w:p>
        </w:tc>
        <w:tc>
          <w:tcPr>
            <w:tcW w:w="200" w:type="dxa"/>
            <w:vAlign w:val="bottom"/>
            <w:gridSpan w:val="2"/>
          </w:tcPr>
          <w:p>
            <w:pPr>
              <w:spacing w:after="0"/>
              <w:rPr>
                <w:sz w:val="11"/>
                <w:szCs w:val="11"/>
                <w:color w:val="auto"/>
              </w:rPr>
            </w:pPr>
          </w:p>
        </w:tc>
      </w:tr>
      <w:tr>
        <w:trPr>
          <w:trHeight w:val="187"/>
        </w:trPr>
        <w:tc>
          <w:tcPr>
            <w:tcW w:w="57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6"/>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5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82.9 %</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83.5 %</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83.3 %</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84.1 %</w:t>
            </w:r>
          </w:p>
        </w:tc>
      </w:tr>
      <w:tr>
        <w:trPr>
          <w:trHeight w:val="243"/>
        </w:trPr>
        <w:tc>
          <w:tcPr>
            <w:tcW w:w="57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Services and other</w:t>
            </w:r>
          </w:p>
        </w:tc>
        <w:tc>
          <w:tcPr>
            <w:tcW w:w="6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net sales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5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7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Services and other</w:t>
            </w:r>
          </w:p>
        </w:tc>
        <w:tc>
          <w:tcPr>
            <w:tcW w:w="6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cost of sales</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0"/>
        </w:trPr>
        <w:tc>
          <w:tcPr>
            <w:tcW w:w="57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Gross profit</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57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bottom w:val="single" w:sz="8" w:color="CFF0FC"/>
            </w:tcBorders>
          </w:tcPr>
          <w:p>
            <w:pPr>
              <w:spacing w:after="0"/>
              <w:rPr>
                <w:sz w:val="20"/>
                <w:szCs w:val="20"/>
                <w:color w:val="auto"/>
              </w:rPr>
            </w:pPr>
          </w:p>
        </w:tc>
        <w:tc>
          <w:tcPr>
            <w:tcW w:w="100" w:type="dxa"/>
            <w:vAlign w:val="bottom"/>
          </w:tcPr>
          <w:p>
            <w:pPr>
              <w:spacing w:after="0"/>
              <w:rPr>
                <w:sz w:val="20"/>
                <w:szCs w:val="20"/>
                <w:color w:val="auto"/>
              </w:rPr>
            </w:pPr>
          </w:p>
        </w:tc>
      </w:tr>
      <w:tr>
        <w:trPr>
          <w:trHeight w:val="240"/>
        </w:trPr>
        <w:tc>
          <w:tcPr>
            <w:tcW w:w="57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Operating income (loss)</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20"/>
                <w:szCs w:val="20"/>
                <w:color w:val="auto"/>
              </w:rPr>
            </w:pPr>
          </w:p>
        </w:tc>
      </w:tr>
      <w:tr>
        <w:trPr>
          <w:trHeight w:val="24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partial extinguishment of debt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non-operating (income) loss</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gridSpan w:val="4"/>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21"/>
                <w:szCs w:val="21"/>
                <w:color w:val="auto"/>
              </w:rPr>
            </w:pPr>
          </w:p>
        </w:tc>
      </w:tr>
      <w:tr>
        <w:trPr>
          <w:trHeight w:val="209"/>
        </w:trPr>
        <w:tc>
          <w:tcPr>
            <w:tcW w:w="576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Loss before income taxes and income</w:t>
            </w: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from equity method investees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(0.7 )</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20"/>
                <w:szCs w:val="20"/>
                <w:color w:val="auto"/>
              </w:rPr>
            </w:pPr>
          </w:p>
        </w:tc>
      </w:tr>
      <w:tr>
        <w:trPr>
          <w:trHeight w:val="249"/>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investees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20"/>
                <w:szCs w:val="20"/>
                <w:color w:val="auto"/>
              </w:rPr>
            </w:pPr>
          </w:p>
        </w:tc>
      </w:tr>
      <w:tr>
        <w:trPr>
          <w:trHeight w:val="211"/>
        </w:trPr>
        <w:tc>
          <w:tcPr>
            <w:tcW w:w="5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loss attributable to Class A and B-1</w:t>
            </w: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common stockholders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(1.6 )%</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c>
          <w:tcPr>
            <w:tcW w:w="180" w:type="dxa"/>
            <w:vAlign w:val="bottom"/>
          </w:tcPr>
          <w:p>
            <w:pPr>
              <w:spacing w:after="0"/>
              <w:rPr>
                <w:sz w:val="20"/>
                <w:szCs w:val="20"/>
                <w:color w:val="auto"/>
              </w:rPr>
            </w:pPr>
          </w:p>
        </w:tc>
        <w:tc>
          <w:tcPr>
            <w:tcW w:w="12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(2.3 )%</w:t>
            </w:r>
          </w:p>
        </w:tc>
        <w:tc>
          <w:tcPr>
            <w:tcW w:w="20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431"/>
        </w:trPr>
        <w:tc>
          <w:tcPr>
            <w:tcW w:w="5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gridSpan w:val="11"/>
          </w:tcPr>
          <w:p>
            <w:pPr>
              <w:ind w:left="4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80" w:type="dxa"/>
            <w:vAlign w:val="bottom"/>
          </w:tcPr>
          <w:p>
            <w:pPr>
              <w:spacing w:after="0"/>
              <w:rPr>
                <w:sz w:val="24"/>
                <w:szCs w:val="24"/>
                <w:color w:val="auto"/>
              </w:rPr>
            </w:pPr>
          </w:p>
        </w:tc>
        <w:tc>
          <w:tcPr>
            <w:tcW w:w="2540" w:type="dxa"/>
            <w:vAlign w:val="bottom"/>
            <w:gridSpan w:val="9"/>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31"/>
        </w:trPr>
        <w:tc>
          <w:tcPr>
            <w:tcW w:w="5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4"/>
          </w:tcPr>
          <w:p>
            <w:pPr>
              <w:jc w:val="right"/>
              <w:ind w:right="500"/>
              <w:spacing w:after="0" w:line="131"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right"/>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July 29,</w:t>
            </w:r>
          </w:p>
        </w:tc>
        <w:tc>
          <w:tcPr>
            <w:tcW w:w="240" w:type="dxa"/>
            <w:vAlign w:val="bottom"/>
            <w:gridSpan w:val="3"/>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5"/>
          </w:tcPr>
          <w:p>
            <w:pPr>
              <w:jc w:val="right"/>
              <w:ind w:right="520"/>
              <w:spacing w:after="0" w:line="131"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253"/>
              <w:spacing w:after="0" w:line="131" w:lineRule="exact"/>
              <w:rPr>
                <w:sz w:val="20"/>
                <w:szCs w:val="20"/>
                <w:color w:val="auto"/>
              </w:rPr>
            </w:pPr>
            <w:r>
              <w:rPr>
                <w:rFonts w:ascii="Times New Roman" w:cs="Times New Roman" w:eastAsia="Times New Roman" w:hAnsi="Times New Roman"/>
                <w:sz w:val="14"/>
                <w:szCs w:val="14"/>
                <w:b w:val="1"/>
                <w:bCs w:val="1"/>
                <w:color w:val="auto"/>
              </w:rPr>
              <w:t>July 29,</w:t>
            </w:r>
          </w:p>
        </w:tc>
        <w:tc>
          <w:tcPr>
            <w:tcW w:w="200" w:type="dxa"/>
            <w:vAlign w:val="bottom"/>
            <w:gridSpan w:val="2"/>
          </w:tcPr>
          <w:p>
            <w:pPr>
              <w:spacing w:after="0"/>
              <w:rPr>
                <w:sz w:val="11"/>
                <w:szCs w:val="11"/>
                <w:color w:val="auto"/>
              </w:rPr>
            </w:pPr>
          </w:p>
        </w:tc>
      </w:tr>
      <w:tr>
        <w:trPr>
          <w:trHeight w:val="187"/>
        </w:trPr>
        <w:tc>
          <w:tcPr>
            <w:tcW w:w="5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Operational Data:</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Comparable sales change</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0.3 %</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3.2 %</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-0.5 %</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4.1 %</w:t>
            </w:r>
          </w:p>
        </w:tc>
      </w:tr>
      <w:tr>
        <w:trPr>
          <w:trHeight w:val="24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pet care centers at end of period</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9"/>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 (in thousands)</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83,523</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112,578</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159,167</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223,604</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-1395095</wp:posOffset>
            </wp:positionV>
            <wp:extent cx="7132320" cy="2908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-3895090</wp:posOffset>
            </wp:positionV>
            <wp:extent cx="768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-3895090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-3895090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-3895090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-3270250</wp:posOffset>
            </wp:positionV>
            <wp:extent cx="76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-3270250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-3270250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-3270250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-2790825</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-2790825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-2790825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-2790825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-2011680</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-2011680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-2011680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-2011680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-461645</wp:posOffset>
            </wp:positionV>
            <wp:extent cx="7132320" cy="1543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9" w:lineRule="exact"/>
        <w:rPr>
          <w:sz w:val="20"/>
          <w:szCs w:val="20"/>
          <w:color w:val="auto"/>
        </w:rPr>
      </w:pPr>
    </w:p>
    <w:p>
      <w:pPr>
        <w:ind w:right="980" w:firstLine="886"/>
        <w:spacing w:after="0" w:line="411" w:lineRule="auto"/>
        <w:rPr>
          <w:sz w:val="20"/>
          <w:szCs w:val="20"/>
          <w:color w:val="auto"/>
        </w:rPr>
      </w:pPr>
      <w:r>
        <w:rPr>
          <w:rFonts w:ascii="Times New Roman" w:cs="Times New Roman" w:eastAsia="Times New Roman" w:hAnsi="Times New Roman"/>
          <w:sz w:val="18"/>
          <w:szCs w:val="18"/>
          <w:b w:val="1"/>
          <w:bCs w:val="1"/>
          <w:color w:val="auto"/>
        </w:rPr>
        <w:t xml:space="preserve">Thirteen and Twenty-six Weeks Ended August 3, 2024 Compared with Thirteen and Twenty-six Weeks Ended July 29, 2023 </w:t>
      </w:r>
      <w:r>
        <w:rPr>
          <w:rFonts w:ascii="Times New Roman" w:cs="Times New Roman" w:eastAsia="Times New Roman" w:hAnsi="Times New Roman"/>
          <w:sz w:val="18"/>
          <w:szCs w:val="18"/>
          <w:b w:val="1"/>
          <w:bCs w:val="1"/>
          <w:i w:val="1"/>
          <w:iCs w:val="1"/>
          <w:color w:val="auto"/>
        </w:rPr>
        <w:t>Net Sales and Comparable Sales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Thirteen weeks ended</w:t>
            </w:r>
          </w:p>
        </w:tc>
        <w:tc>
          <w:tcPr>
            <w:tcW w:w="10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Twenty-six weeks ended</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right"/>
              <w:ind w:right="157"/>
              <w:spacing w:after="0" w:line="123"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right"/>
              <w:ind w:right="177"/>
              <w:spacing w:after="0" w:line="123" w:lineRule="exact"/>
              <w:rPr>
                <w:sz w:val="20"/>
                <w:szCs w:val="20"/>
                <w:color w:val="auto"/>
              </w:rPr>
            </w:pPr>
            <w:r>
              <w:rPr>
                <w:rFonts w:ascii="Times New Roman" w:cs="Times New Roman" w:eastAsia="Times New Roman" w:hAnsi="Times New Roman"/>
                <w:sz w:val="13"/>
                <w:szCs w:val="13"/>
                <w:b w:val="1"/>
                <w:bCs w:val="1"/>
                <w:color w:val="auto"/>
              </w:rPr>
              <w:t>July 29,</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right"/>
              <w:ind w:right="377"/>
              <w:spacing w:after="0" w:line="123"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0"/>
                <w:szCs w:val="10"/>
                <w:color w:val="auto"/>
              </w:rPr>
            </w:pPr>
          </w:p>
        </w:tc>
        <w:tc>
          <w:tcPr>
            <w:tcW w:w="1020" w:type="dxa"/>
            <w:vAlign w:val="bottom"/>
          </w:tcPr>
          <w:p>
            <w:pPr>
              <w:jc w:val="right"/>
              <w:ind w:right="397"/>
              <w:spacing w:after="0" w:line="123"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ind w:right="117"/>
              <w:spacing w:after="0" w:line="123"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right"/>
              <w:ind w:right="177"/>
              <w:spacing w:after="0" w:line="123" w:lineRule="exact"/>
              <w:rPr>
                <w:sz w:val="20"/>
                <w:szCs w:val="20"/>
                <w:color w:val="auto"/>
              </w:rPr>
            </w:pPr>
            <w:r>
              <w:rPr>
                <w:rFonts w:ascii="Times New Roman" w:cs="Times New Roman" w:eastAsia="Times New Roman" w:hAnsi="Times New Roman"/>
                <w:sz w:val="13"/>
                <w:szCs w:val="13"/>
                <w:b w:val="1"/>
                <w:bCs w:val="1"/>
                <w:color w:val="auto"/>
              </w:rPr>
              <w:t>July 29,</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right"/>
              <w:ind w:right="377"/>
              <w:spacing w:after="0" w:line="123"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0"/>
                <w:szCs w:val="10"/>
                <w:color w:val="auto"/>
              </w:rPr>
            </w:pPr>
          </w:p>
        </w:tc>
        <w:tc>
          <w:tcPr>
            <w:tcW w:w="1040" w:type="dxa"/>
            <w:vAlign w:val="bottom"/>
          </w:tcPr>
          <w:p>
            <w:pPr>
              <w:jc w:val="right"/>
              <w:ind w:right="417"/>
              <w:spacing w:after="0" w:line="123"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24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22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Consumables</w:t>
            </w:r>
          </w:p>
        </w:tc>
        <w:tc>
          <w:tcPr>
            <w:tcW w:w="1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744,766</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734,077</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10,689</w:t>
            </w:r>
          </w:p>
        </w:tc>
        <w:tc>
          <w:tcPr>
            <w:tcW w:w="2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1.5 %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1,508,740</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1,497,128</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11,612</w:t>
            </w:r>
          </w:p>
        </w:tc>
        <w:tc>
          <w:tcPr>
            <w:tcW w:w="2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0.8 %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Supplies and companion animals</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518,983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544,521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(25,538 )</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(4.7 %)</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1,034,740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1,098,066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(63,326 )</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(5.8 %)</w:t>
            </w:r>
          </w:p>
        </w:tc>
        <w:tc>
          <w:tcPr>
            <w:tcW w:w="0" w:type="dxa"/>
            <w:vAlign w:val="bottom"/>
          </w:tcPr>
          <w:p>
            <w:pPr>
              <w:spacing w:after="0"/>
              <w:rPr>
                <w:sz w:val="1"/>
                <w:szCs w:val="1"/>
                <w:color w:val="auto"/>
              </w:rPr>
            </w:pPr>
          </w:p>
        </w:tc>
      </w:tr>
      <w:tr>
        <w:trPr>
          <w:trHeight w:val="162"/>
        </w:trPr>
        <w:tc>
          <w:tcPr>
            <w:tcW w:w="2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Services and other</w:t>
            </w:r>
          </w:p>
        </w:tc>
        <w:tc>
          <w:tcPr>
            <w:tcW w:w="14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260,006</w:t>
            </w:r>
          </w:p>
        </w:tc>
        <w:tc>
          <w:tcPr>
            <w:tcW w:w="2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252,136</w:t>
            </w:r>
          </w:p>
        </w:tc>
        <w:tc>
          <w:tcPr>
            <w:tcW w:w="2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7,870</w:t>
            </w:r>
          </w:p>
        </w:tc>
        <w:tc>
          <w:tcPr>
            <w:tcW w:w="240" w:type="dxa"/>
            <w:vAlign w:val="bottom"/>
            <w:tcBorders>
              <w:bottom w:val="single" w:sz="8" w:color="CFF0FC"/>
            </w:tcBorders>
            <w:shd w:val="clear" w:color="auto" w:fill="CFF0FC"/>
          </w:tcPr>
          <w:p>
            <w:pPr>
              <w:spacing w:after="0"/>
              <w:rPr>
                <w:sz w:val="14"/>
                <w:szCs w:val="14"/>
                <w:color w:val="auto"/>
              </w:rPr>
            </w:pPr>
          </w:p>
        </w:tc>
        <w:tc>
          <w:tcPr>
            <w:tcW w:w="12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3.1 %</w:t>
            </w:r>
          </w:p>
        </w:tc>
        <w:tc>
          <w:tcPr>
            <w:tcW w:w="14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509,415</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491,448</w:t>
            </w:r>
          </w:p>
        </w:tc>
        <w:tc>
          <w:tcPr>
            <w:tcW w:w="2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17,967</w:t>
            </w:r>
          </w:p>
        </w:tc>
        <w:tc>
          <w:tcPr>
            <w:tcW w:w="22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sales</w:t>
            </w:r>
          </w:p>
        </w:tc>
        <w:tc>
          <w:tcPr>
            <w:tcW w:w="140" w:type="dxa"/>
            <w:vAlign w:val="bottom"/>
            <w:vMerge w:val="restart"/>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1,523,755</w:t>
            </w:r>
          </w:p>
        </w:tc>
        <w:tc>
          <w:tcPr>
            <w:tcW w:w="4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1,530,734</w:t>
            </w:r>
          </w:p>
        </w:tc>
        <w:tc>
          <w:tcPr>
            <w:tcW w:w="4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(6,979 )</w:t>
            </w:r>
          </w:p>
        </w:tc>
        <w:tc>
          <w:tcPr>
            <w:tcW w:w="1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(0.5 %)</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3,052,895</w:t>
            </w:r>
          </w:p>
        </w:tc>
        <w:tc>
          <w:tcPr>
            <w:tcW w:w="3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3,086,642</w:t>
            </w:r>
          </w:p>
        </w:tc>
        <w:tc>
          <w:tcPr>
            <w:tcW w:w="3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(33,747 )</w:t>
            </w:r>
          </w:p>
        </w:tc>
        <w:tc>
          <w:tcPr>
            <w:tcW w:w="1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0" w:type="dxa"/>
            <w:vAlign w:val="bottom"/>
          </w:tcPr>
          <w:p>
            <w:pPr>
              <w:spacing w:after="0"/>
              <w:rPr>
                <w:sz w:val="1"/>
                <w:szCs w:val="1"/>
                <w:color w:val="auto"/>
              </w:rPr>
            </w:pPr>
          </w:p>
        </w:tc>
      </w:tr>
      <w:tr>
        <w:trPr>
          <w:trHeight w:val="92"/>
        </w:trPr>
        <w:tc>
          <w:tcPr>
            <w:tcW w:w="204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1897380</wp:posOffset>
            </wp:positionH>
            <wp:positionV relativeFrom="paragraph">
              <wp:posOffset>-196215</wp:posOffset>
            </wp:positionV>
            <wp:extent cx="768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2633345</wp:posOffset>
            </wp:positionH>
            <wp:positionV relativeFrom="paragraph">
              <wp:posOffset>-196215</wp:posOffset>
            </wp:positionV>
            <wp:extent cx="76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-196215</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-196215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-196215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-196215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Net sales decreased $7.0 million, or 0.5%, to $1.52 billion in the thirteen weeks ended August 3, 2024 compared to net sales of $1.53 billion in the thirteen weeks ended July 29, 2023. Net sales decreased $33.7 million, or 1.1%, to $3.05 billion in the twenty-six weeks ended August 3, 2024 compared to net sales of $3.09 billion in the twenty-six weeks ended July 29, 2023. We continue to experience momentum in consumables and services, although we have also experienced a decrease in supplies and companion animals sales driven by softening in discretionary spend associated with the current macroeconomic environment.</w:t>
      </w:r>
    </w:p>
    <w:p>
      <w:pPr>
        <w:spacing w:after="0" w:line="74" w:lineRule="exact"/>
        <w:rPr>
          <w:sz w:val="20"/>
          <w:szCs w:val="20"/>
          <w:color w:val="auto"/>
        </w:rPr>
      </w:pPr>
    </w:p>
    <w:p>
      <w:pPr>
        <w:jc w:val="both"/>
        <w:ind w:right="200" w:firstLine="509"/>
        <w:spacing w:after="0" w:line="265" w:lineRule="auto"/>
        <w:rPr>
          <w:sz w:val="20"/>
          <w:szCs w:val="20"/>
          <w:color w:val="auto"/>
        </w:rPr>
      </w:pPr>
      <w:r>
        <w:rPr>
          <w:rFonts w:ascii="Times New Roman" w:cs="Times New Roman" w:eastAsia="Times New Roman" w:hAnsi="Times New Roman"/>
          <w:sz w:val="18"/>
          <w:szCs w:val="18"/>
          <w:color w:val="auto"/>
        </w:rPr>
        <w:t>The comparison of consumables sales between the periods reflects the impact of prior year inflation, coupled with pricing actions taken in the third quarter of fiscal 2023. The decrease in supplies and companion animals sales is primarily due to a decrease in spending on certain non-essential items. The increase in services and other sales</w:t>
      </w:r>
    </w:p>
    <w:p>
      <w:pPr>
        <w:spacing w:after="0" w:line="17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342" w:right="239" w:bottom="1440" w:gutter="0" w:footer="0" w:header="0"/>
        </w:sectPr>
      </w:pPr>
    </w:p>
    <w:bookmarkStart w:id="20" w:name="page21"/>
    <w:bookmarkEnd w:id="20"/>
    <w:p>
      <w:pPr>
        <w:ind w:right="560"/>
        <w:spacing w:after="0" w:line="281" w:lineRule="auto"/>
        <w:rPr>
          <w:sz w:val="20"/>
          <w:szCs w:val="20"/>
          <w:color w:val="auto"/>
        </w:rPr>
      </w:pPr>
      <w:r>
        <w:rPr>
          <w:rFonts w:ascii="Times New Roman" w:cs="Times New Roman" w:eastAsia="Times New Roman" w:hAnsi="Times New Roman"/>
          <w:sz w:val="18"/>
          <w:szCs w:val="18"/>
          <w:color w:val="auto"/>
        </w:rPr>
        <w:t>was primarily driven by a 10.1% and 10.3% increase in service-related sales during the thirteen and twenty-six week periods ended August 3, 2024, respectively, reflecting maturity of our veterinary hospital footprint and growth in our veterinary and grooming businesses.</w:t>
      </w:r>
    </w:p>
    <w:p>
      <w:pPr>
        <w:spacing w:after="0" w:line="55"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8"/>
          <w:szCs w:val="18"/>
          <w:color w:val="auto"/>
        </w:rPr>
        <w:t>We are unable to quantify certain factors impacting sales described above due to the fact that such factors are based on input measures or qualitative information that do not lend themselves to quantification.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Gross profit decreased $12.3 million, or 2.1%, to $580.7 million in the thirteen weeks ended August 3, 2024 compared to gross profit of $593.0 million for the thirteen weeks ended July 29, 2023. As a percentage of sales, our gross profit rate was 38.1% for the thirteen weeks ended August 3, 2024 compared with 38.7% for the thirteen weeks ended July 29, 2023. Gross profit decreased $38.1 million, or 3.2%, to $1,159.4 million in the twenty-six weeks ended August 3, 2024 compared to gross profit of $1,197.5 million for the twenty-six weeks ended July 29, 2023. As a percentage of sales, our gross profit rate was 38.0% for the twenty-six weeks ended August 3, 2024 compared with 38.8% for the twenty-six weeks ended July 29, 2023. The decrease in gross profit rate between the periods was primarily due to the mix impact of higher consumables and services sales and softer supplies and companion animal sales during the thirteen and twenty-six weeks ended August 3, 2024. We are unable to quantify the factors impacting gross profit rate described above due to the fact that such factors are based on input measures or qualitative information that do not lend themselves to quantification.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(“SG&amp;A”) Expenses</w:t>
      </w:r>
    </w:p>
    <w:p>
      <w:pPr>
        <w:spacing w:after="0" w:line="121"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SG&amp;A expenses increased $9.3 million, or 1.6%, to $578.3 million for the thirteen weeks ended August 3, 2024 compared to $569.0 million for the thirteen weeks ended July 29, 2023. As a percentage of net sales, SG&amp;A expenses were 37.9% for the thirteen weeks ended August 3, 2024 compared with 37.2% for the thirteen weeks ended July 29, 2023. The increase in SG&amp;A expenses period-over-period included higher pet care center payroll and fringe benefits and depreciation expense. This increase was partially offset by a decrease in stock compensation and advertising expenses.</w:t>
      </w:r>
    </w:p>
    <w:p>
      <w:pPr>
        <w:spacing w:after="0" w:line="74"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SG&amp;A expenses increased $27.9 million, or 2.4%, to $1,173.7 million for the twenty-six weeks ended August 3, 2024 compared to $1,145.8 million for the twenty-six weeks ended July 29, 2023. As a percentage of net sales, SG&amp;A expenses were 38.4% for the twenty-six weeks ended August 3, 2024 compared with 37.1% for the twenty-six weeks ended July 29, 2023. The increase in SG&amp;A expenses included higher pet care center payroll and fringe benefits and depreciation expense. This increase was partially offset by a decrease in stock compensation and advertising expenses.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Interest expense decreased $0.7 million, or 1.8%, to $36.8 million in the thirteen weeks ended August 3, 2024 compared with $37.5 million in the thirteen weeks ended July 29, 2023. Interest expense decreased $1.1 million, or 1.4%, to $73.6 million in the twenty-six weeks ended August 3, 2024 compared with $74.7 million in the twenty-six weeks ended July 29, 2023. The decrease was primarily driven by pre-tax gains recognized in interest expense related to the Company's cash flow hedges during the thirteen and twenty-six week periods ended August 3, 2024. For more information on derivative instruments, refer to Note 4,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to the Notes to Consolidated Financial Statements included in Part I, Item 1 of this Form 10-Q.</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Partial Extinguishment of Debt</w:t>
      </w:r>
    </w:p>
    <w:p>
      <w:pPr>
        <w:spacing w:after="0" w:line="22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There was no loss on debt extinguishment and modification for the thirteen and twenty-six weeks ended August 3, 2024. Loss on partial extinguishment of debt was $0.3 million and $0.7 million for the thirteen and twenty-six weeks ended July 29, 2023, respectively. This loss was recognized in conjunction with the $35.0 million and $25.0 million repayments on the First Lien Term Loan in March 2023 and May 2023, respectively. For more information regarding these activities, refer to Note 3, “</w:t>
      </w:r>
      <w:r>
        <w:rPr>
          <w:rFonts w:ascii="Times New Roman" w:cs="Times New Roman" w:eastAsia="Times New Roman" w:hAnsi="Times New Roman"/>
          <w:sz w:val="18"/>
          <w:szCs w:val="18"/>
          <w:i w:val="1"/>
          <w:iCs w:val="1"/>
          <w:color w:val="auto"/>
        </w:rPr>
        <w:t>Senior Secured Credit Facilities</w:t>
      </w:r>
      <w:r>
        <w:rPr>
          <w:rFonts w:ascii="Times New Roman" w:cs="Times New Roman" w:eastAsia="Times New Roman" w:hAnsi="Times New Roman"/>
          <w:sz w:val="18"/>
          <w:szCs w:val="18"/>
          <w:color w:val="auto"/>
        </w:rPr>
        <w:t>,” to the Notes to Consolidated Financial Statements included in Part I, Item 1 of this Form 10-Q.</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0"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(Income) Loss</w:t>
      </w:r>
    </w:p>
    <w:p>
      <w:pPr>
        <w:spacing w:after="0" w:line="229" w:lineRule="exact"/>
        <w:rPr>
          <w:sz w:val="20"/>
          <w:szCs w:val="20"/>
          <w:color w:val="auto"/>
        </w:rPr>
      </w:pPr>
    </w:p>
    <w:p>
      <w:pPr>
        <w:ind w:right="200" w:firstLine="509"/>
        <w:spacing w:after="0" w:line="260" w:lineRule="auto"/>
        <w:rPr>
          <w:sz w:val="20"/>
          <w:szCs w:val="20"/>
          <w:color w:val="auto"/>
        </w:rPr>
      </w:pPr>
      <w:r>
        <w:rPr>
          <w:rFonts w:ascii="Times New Roman" w:cs="Times New Roman" w:eastAsia="Times New Roman" w:hAnsi="Times New Roman"/>
          <w:sz w:val="18"/>
          <w:szCs w:val="18"/>
          <w:color w:val="auto"/>
        </w:rPr>
        <w:t>There was no other non-operating income or loss for the thirteen weeks ended August 3, 2024. Other non-operating loss was $2.7 million for the twenty-six weeks ended August 3, 2024. Other non-operating income was $1.8 million and $4.6 million for the thirteen and twenty-six weeks ended July 29, 2023, respectively. For more information regarding this activity, refer to Note 5,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to the Notes to Consolidated Financial Statements included in Part I, Item 1 of this Form 10-Q.</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121"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Our effective tax rates were 14.7% and 11.3%, resulting in income tax benefit of $4.7 million and $9.1 million for the thirteen and twenty-six weeks ended August 3, 2024, respectively, compared to effective tax rates of -85.5% and -53.1%, resulting in income tax expense of $6.7 million and $5.7 million for the thirteen and twenty-six weeks ended July 29, 2023, respectively. The change in effective tax rates for the thirteen and twenty-six weeks ended August 3, 2024 was primarily driven by a change in earnings and a decrease in the amount of compensation associated expenses not expected to be deductible for corporate income tax purposes.</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 to GAAP Measures</w:t>
      </w:r>
    </w:p>
    <w:p>
      <w:pPr>
        <w:spacing w:after="0" w:line="121" w:lineRule="exact"/>
        <w:rPr>
          <w:sz w:val="20"/>
          <w:szCs w:val="20"/>
          <w:color w:val="auto"/>
        </w:rPr>
      </w:pPr>
    </w:p>
    <w:p>
      <w:pPr>
        <w:ind w:right="200" w:firstLine="509"/>
        <w:spacing w:after="0" w:line="260" w:lineRule="auto"/>
        <w:rPr>
          <w:sz w:val="20"/>
          <w:szCs w:val="20"/>
          <w:color w:val="auto"/>
        </w:rPr>
      </w:pPr>
      <w:r>
        <w:rPr>
          <w:rFonts w:ascii="Times New Roman" w:cs="Times New Roman" w:eastAsia="Times New Roman" w:hAnsi="Times New Roman"/>
          <w:sz w:val="18"/>
          <w:szCs w:val="18"/>
          <w:color w:val="auto"/>
        </w:rPr>
        <w:t>The following information provides definitions and reconciliations of certain non-GAAP financial measures to the most directly comparable financial measures calculated and presented in accordance with GAAP. Such non-GAAP financial measures are not calculated in accordance with GAAP and should not be considered superior to, as a substitute for or alternative to, and should be considered in conjunction with, the most comparable GAAP measures. The non-GAAP financial measures presented may differ from similarly-titled measures used by other companies.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present Adjusted EBITDA, a non-GAAP financial measure, because we believe it enhances an investor’s understanding of our financial and operational performance by excluding certain material non-cash items, unusual or non-recurring items that we do not expect to continue in the future, and certain other adjustments we believe are or are not reflective of our ongoing operations and performance. Adjusted EBITDA enables operating performance to be reviewed across reporting periods on a consistent basis. We use Adjusted EBITDA as one of the principal measures to evaluate and monitor our operating financial performance and to compare our performance to others in our industry. We also use Adjusted EBITDA in connection with establishing discretionary annual incentive compensation targets, to make budgeting decisions, to make strategic decisions regarding the allocation of capital, and to report our quarterly results as defined in our debt agreements, although under such agreements the measure is calculated differently and is used for different purposes.</w:t>
      </w:r>
    </w:p>
    <w:p>
      <w:pPr>
        <w:spacing w:after="0" w:line="8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Adjusted EBITDA is not a substitute for net loss, the most comparable GAAP measure, and is subject to a number of limitations as a financial measure, so it should be used in conjunction with GAAP financial measures and not in isolation. There can be no assurances that we will not modify the presentation of Adjusted EBITDA in the future. In addition, other companies in our industry may define Adjusted EBITDA differently, limiting its usefulness as a comparative measure. Refer to Part II, Item 7, “Management’s Discussion and Analysis of Financial Condition and Results of Operations— Reconciliation of Non-GAAP Financial Measures to GAAP Measures” included in the 2023 Form 10-K for more information regarding how we define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2" w:right="359" w:bottom="1440" w:gutter="0" w:footer="0" w:header="0"/>
        </w:sectPr>
      </w:pPr>
    </w:p>
    <w:bookmarkStart w:id="22" w:name="page23"/>
    <w:bookmarkEnd w:id="22"/>
    <w:p>
      <w:pPr>
        <w:ind w:left="520"/>
        <w:spacing w:after="0"/>
        <w:rPr>
          <w:sz w:val="20"/>
          <w:szCs w:val="20"/>
          <w:color w:val="auto"/>
        </w:rPr>
      </w:pPr>
      <w:r>
        <w:rPr>
          <w:rFonts w:ascii="Times New Roman" w:cs="Times New Roman" w:eastAsia="Times New Roman" w:hAnsi="Times New Roman"/>
          <w:sz w:val="18"/>
          <w:szCs w:val="18"/>
          <w:color w:val="auto"/>
        </w:rPr>
        <w:t>The table below reflects the calculation of Adjusted EBITDA and Adjusted EBITDA Margin for the periods presented: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0" w:type="dxa"/>
            <w:vAlign w:val="bottom"/>
            <w:gridSpan w:val="7"/>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00" w:type="dxa"/>
            <w:vAlign w:val="bottom"/>
          </w:tcPr>
          <w:p>
            <w:pPr>
              <w:spacing w:after="0"/>
              <w:rPr>
                <w:sz w:val="16"/>
                <w:szCs w:val="16"/>
                <w:color w:val="auto"/>
              </w:rPr>
            </w:pPr>
          </w:p>
        </w:tc>
        <w:tc>
          <w:tcPr>
            <w:tcW w:w="2520" w:type="dxa"/>
            <w:vAlign w:val="bottom"/>
            <w:gridSpan w:val="7"/>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31"/>
        </w:trPr>
        <w:tc>
          <w:tcPr>
            <w:tcW w:w="58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3"/>
          </w:tcPr>
          <w:p>
            <w:pPr>
              <w:jc w:val="right"/>
              <w:ind w:right="540"/>
              <w:spacing w:after="0" w:line="131"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232"/>
              <w:spacing w:after="0" w:line="131" w:lineRule="exact"/>
              <w:rPr>
                <w:sz w:val="20"/>
                <w:szCs w:val="20"/>
                <w:color w:val="auto"/>
              </w:rPr>
            </w:pPr>
            <w:r>
              <w:rPr>
                <w:rFonts w:ascii="Times New Roman" w:cs="Times New Roman" w:eastAsia="Times New Roman" w:hAnsi="Times New Roman"/>
                <w:sz w:val="14"/>
                <w:szCs w:val="14"/>
                <w:b w:val="1"/>
                <w:bCs w:val="1"/>
                <w:color w:val="auto"/>
              </w:rPr>
              <w:t>July 29,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3"/>
          </w:tcPr>
          <w:p>
            <w:pPr>
              <w:jc w:val="right"/>
              <w:ind w:right="520"/>
              <w:spacing w:after="0" w:line="131"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252"/>
              <w:spacing w:after="0" w:line="131" w:lineRule="exact"/>
              <w:rPr>
                <w:sz w:val="20"/>
                <w:szCs w:val="20"/>
                <w:color w:val="auto"/>
              </w:rPr>
            </w:pPr>
            <w:r>
              <w:rPr>
                <w:rFonts w:ascii="Times New Roman" w:cs="Times New Roman" w:eastAsia="Times New Roman" w:hAnsi="Times New Roman"/>
                <w:sz w:val="14"/>
                <w:szCs w:val="14"/>
                <w:b w:val="1"/>
                <w:bCs w:val="1"/>
                <w:color w:val="auto"/>
              </w:rPr>
              <w:t>July 29,</w:t>
            </w:r>
          </w:p>
        </w:tc>
        <w:tc>
          <w:tcPr>
            <w:tcW w:w="200" w:type="dxa"/>
            <w:vAlign w:val="bottom"/>
            <w:gridSpan w:val="2"/>
          </w:tcPr>
          <w:p>
            <w:pPr>
              <w:spacing w:after="0"/>
              <w:rPr>
                <w:sz w:val="11"/>
                <w:szCs w:val="11"/>
                <w:color w:val="auto"/>
              </w:rPr>
            </w:pPr>
          </w:p>
        </w:tc>
      </w:tr>
      <w:tr>
        <w:trPr>
          <w:trHeight w:val="187"/>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4"/>
        </w:trPr>
        <w:tc>
          <w:tcPr>
            <w:tcW w:w="5820" w:type="dxa"/>
            <w:vAlign w:val="bottom"/>
            <w:shd w:val="clear" w:color="auto" w:fill="CFF0FC"/>
          </w:tcPr>
          <w:p>
            <w:pPr>
              <w:ind w:left="200"/>
              <w:spacing w:after="0" w:line="204" w:lineRule="exact"/>
              <w:rPr>
                <w:sz w:val="20"/>
                <w:szCs w:val="20"/>
                <w:color w:val="auto"/>
              </w:rPr>
            </w:pPr>
            <w:r>
              <w:rPr>
                <w:rFonts w:ascii="Times New Roman" w:cs="Times New Roman" w:eastAsia="Times New Roman" w:hAnsi="Times New Roman"/>
                <w:sz w:val="18"/>
                <w:szCs w:val="18"/>
                <w:color w:val="auto"/>
              </w:rPr>
              <w:t>Net loss attributable to Class A and B-1</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58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common stockholders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(24,823 )</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(14,606 )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(71,306 )</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(16,498 )</w:t>
            </w:r>
          </w:p>
        </w:tc>
        <w:tc>
          <w:tcPr>
            <w:tcW w:w="100" w:type="dxa"/>
            <w:vAlign w:val="bottom"/>
          </w:tcPr>
          <w:p>
            <w:pPr>
              <w:spacing w:after="0"/>
              <w:rPr>
                <w:sz w:val="21"/>
                <w:szCs w:val="2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72,754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(4,651 )</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(9,128 )</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from equity method investees</w:t>
            </w:r>
          </w:p>
        </w:tc>
        <w:tc>
          <w:tcPr>
            <w:tcW w:w="2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(4,191 )</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(3,328 )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(9,077 )</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(6,458 )</w:t>
            </w:r>
          </w:p>
        </w:tc>
        <w:tc>
          <w:tcPr>
            <w:tcW w:w="100" w:type="dxa"/>
            <w:vAlign w:val="bottom"/>
          </w:tcPr>
          <w:p>
            <w:pPr>
              <w:spacing w:after="0"/>
              <w:rPr>
                <w:sz w:val="21"/>
                <w:szCs w:val="2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partial extinguishment of debt</w:t>
            </w:r>
          </w:p>
        </w:tc>
        <w:tc>
          <w:tcPr>
            <w:tcW w:w="200" w:type="dxa"/>
            <w:vAlign w:val="bottom"/>
          </w:tcPr>
          <w:p>
            <w:pPr>
              <w:spacing w:after="0"/>
              <w:rPr>
                <w:sz w:val="20"/>
                <w:szCs w:val="20"/>
                <w:color w:val="auto"/>
              </w:rPr>
            </w:pPr>
          </w:p>
        </w:tc>
        <w:tc>
          <w:tcPr>
            <w:tcW w:w="12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Asset impairments and write offs</w:t>
            </w: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7,069</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46,248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non-operating (income) loss</w:t>
            </w:r>
          </w:p>
        </w:tc>
        <w:tc>
          <w:tcPr>
            <w:tcW w:w="200" w:type="dxa"/>
            <w:vAlign w:val="bottom"/>
            <w:shd w:val="clear" w:color="auto" w:fill="CFF0FC"/>
          </w:tcPr>
          <w:p>
            <w:pPr>
              <w:spacing w:after="0"/>
              <w:rPr>
                <w:sz w:val="21"/>
                <w:szCs w:val="21"/>
                <w:color w:val="auto"/>
              </w:rPr>
            </w:pPr>
          </w:p>
        </w:tc>
        <w:tc>
          <w:tcPr>
            <w:tcW w:w="122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(1,795 )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(4,614 )</w:t>
            </w:r>
          </w:p>
        </w:tc>
        <w:tc>
          <w:tcPr>
            <w:tcW w:w="100" w:type="dxa"/>
            <w:vAlign w:val="bottom"/>
          </w:tcPr>
          <w:p>
            <w:pPr>
              <w:spacing w:after="0"/>
              <w:rPr>
                <w:sz w:val="21"/>
                <w:szCs w:val="21"/>
                <w:color w:val="auto"/>
              </w:rPr>
            </w:pPr>
          </w:p>
        </w:tc>
      </w:tr>
      <w:tr>
        <w:trPr>
          <w:trHeight w:val="234"/>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Mexico joint venture EBITDA (1)</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1"/>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Acquisition and divestiture-related costs (2)</w:t>
            </w:r>
          </w:p>
        </w:tc>
        <w:tc>
          <w:tcPr>
            <w:tcW w:w="200" w:type="dxa"/>
            <w:vAlign w:val="bottom"/>
            <w:shd w:val="clear" w:color="auto" w:fill="CFF0FC"/>
          </w:tcPr>
          <w:p>
            <w:pPr>
              <w:spacing w:after="0"/>
              <w:rPr>
                <w:sz w:val="21"/>
                <w:szCs w:val="21"/>
                <w:color w:val="auto"/>
              </w:rPr>
            </w:pPr>
          </w:p>
        </w:tc>
        <w:tc>
          <w:tcPr>
            <w:tcW w:w="122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1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costs (3)</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6,183</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13,642</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6"/>
        </w:trPr>
        <w:tc>
          <w:tcPr>
            <w:tcW w:w="5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83,523</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112,578</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159,167</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223,604</w:t>
            </w:r>
          </w:p>
        </w:tc>
        <w:tc>
          <w:tcPr>
            <w:tcW w:w="100" w:type="dxa"/>
            <w:vAlign w:val="bottom"/>
            <w:tcBorders>
              <w:bottom w:val="single" w:sz="8" w:color="CFF0FC"/>
            </w:tcBorders>
            <w:shd w:val="clear" w:color="auto" w:fill="CFF0FC"/>
          </w:tcPr>
          <w:p>
            <w:pPr>
              <w:spacing w:after="0"/>
              <w:rPr>
                <w:sz w:val="24"/>
                <w:szCs w:val="24"/>
                <w:color w:val="auto"/>
              </w:rPr>
            </w:pPr>
          </w:p>
        </w:tc>
        <w:tc>
          <w:tcPr>
            <w:tcW w:w="100" w:type="dxa"/>
            <w:vAlign w:val="bottom"/>
          </w:tcPr>
          <w:p>
            <w:pPr>
              <w:spacing w:after="0"/>
              <w:rPr>
                <w:sz w:val="24"/>
                <w:szCs w:val="24"/>
                <w:color w:val="auto"/>
              </w:rPr>
            </w:pPr>
          </w:p>
        </w:tc>
      </w:tr>
      <w:tr>
        <w:trPr>
          <w:trHeight w:val="21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1,523,755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1,530,734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3,052,895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3,086,642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margin (4)</w:t>
            </w:r>
          </w:p>
        </w:tc>
        <w:tc>
          <w:tcPr>
            <w:tcW w:w="200" w:type="dxa"/>
            <w:vAlign w:val="bottom"/>
          </w:tcPr>
          <w:p>
            <w:pPr>
              <w:spacing w:after="0"/>
              <w:rPr>
                <w:sz w:val="20"/>
                <w:szCs w:val="20"/>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c>
          <w:tcPr>
            <w:tcW w:w="220" w:type="dxa"/>
            <w:vAlign w:val="bottom"/>
          </w:tcPr>
          <w:p>
            <w:pPr>
              <w:spacing w:after="0"/>
              <w:rPr>
                <w:sz w:val="20"/>
                <w:szCs w:val="20"/>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c>
          <w:tcPr>
            <w:tcW w:w="200" w:type="dxa"/>
            <w:vAlign w:val="bottom"/>
          </w:tcPr>
          <w:p>
            <w:pPr>
              <w:spacing w:after="0"/>
              <w:rPr>
                <w:sz w:val="20"/>
                <w:szCs w:val="20"/>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(2.3 )%</w:t>
            </w:r>
          </w:p>
        </w:tc>
        <w:tc>
          <w:tcPr>
            <w:tcW w:w="22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43"/>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Adjusted EBITDA Margin</w:t>
            </w:r>
          </w:p>
        </w:tc>
        <w:tc>
          <w:tcPr>
            <w:tcW w:w="200" w:type="dxa"/>
            <w:vAlign w:val="bottom"/>
          </w:tcPr>
          <w:p>
            <w:pPr>
              <w:spacing w:after="0"/>
              <w:rPr>
                <w:sz w:val="21"/>
                <w:szCs w:val="21"/>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5.5 %</w:t>
            </w:r>
          </w:p>
        </w:tc>
        <w:tc>
          <w:tcPr>
            <w:tcW w:w="220" w:type="dxa"/>
            <w:vAlign w:val="bottom"/>
          </w:tcPr>
          <w:p>
            <w:pPr>
              <w:spacing w:after="0"/>
              <w:rPr>
                <w:sz w:val="21"/>
                <w:szCs w:val="21"/>
                <w:color w:val="auto"/>
              </w:rPr>
            </w:pP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7.4 %</w:t>
            </w:r>
          </w:p>
        </w:tc>
        <w:tc>
          <w:tcPr>
            <w:tcW w:w="200" w:type="dxa"/>
            <w:vAlign w:val="bottom"/>
          </w:tcPr>
          <w:p>
            <w:pPr>
              <w:spacing w:after="0"/>
              <w:rPr>
                <w:sz w:val="21"/>
                <w:szCs w:val="21"/>
                <w:color w:val="auto"/>
              </w:rPr>
            </w:pP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5.2 %</w:t>
            </w:r>
          </w:p>
        </w:tc>
        <w:tc>
          <w:tcPr>
            <w:tcW w:w="220" w:type="dxa"/>
            <w:vAlign w:val="bottom"/>
          </w:tcPr>
          <w:p>
            <w:pPr>
              <w:spacing w:after="0"/>
              <w:rPr>
                <w:sz w:val="21"/>
                <w:szCs w:val="21"/>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-478790</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-461645</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-478790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-461645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-478790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-461645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-478790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-461645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19005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186" w:lineRule="exact"/>
        <w:rPr>
          <w:sz w:val="20"/>
          <w:szCs w:val="20"/>
          <w:color w:val="auto"/>
        </w:rPr>
      </w:pPr>
    </w:p>
    <w:p>
      <w:pPr>
        <w:ind w:left="1020" w:right="240" w:hanging="504"/>
        <w:spacing w:after="0" w:line="235" w:lineRule="auto"/>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Mexico joint venture EBITDA represents 50% of the entity’s operating results for the periods presented, as adjusted to reflect the results on a basis comparable to our Adjusted EBITDA. In the financial statements, this joint venture is accounted for as an equity method investment and reported net of depreciation and income taxes. Because such a presentation would not reflect the adjustments made in our calculation of Adjusted EBITDA, we include our 50% interest in our Mexico joint venture on an Adjusted EBITDA basis to ensure consistency. The table below presents a reconciliation of Mexico joint venture net income to Mexico joint venture EBITDA: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4"/>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31"/>
        </w:trPr>
        <w:tc>
          <w:tcPr>
            <w:tcW w:w="300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540"/>
              <w:spacing w:after="0" w:line="131"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2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254"/>
              <w:spacing w:after="0" w:line="131" w:lineRule="exact"/>
              <w:rPr>
                <w:sz w:val="20"/>
                <w:szCs w:val="20"/>
                <w:color w:val="auto"/>
              </w:rPr>
            </w:pPr>
            <w:r>
              <w:rPr>
                <w:rFonts w:ascii="Times New Roman" w:cs="Times New Roman" w:eastAsia="Times New Roman" w:hAnsi="Times New Roman"/>
                <w:sz w:val="14"/>
                <w:szCs w:val="14"/>
                <w:b w:val="1"/>
                <w:bCs w:val="1"/>
                <w:color w:val="auto"/>
              </w:rPr>
              <w:t>July 29,</w:t>
            </w: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196"/>
              <w:spacing w:after="0" w:line="131"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2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254"/>
              <w:spacing w:after="0" w:line="131" w:lineRule="exact"/>
              <w:rPr>
                <w:sz w:val="20"/>
                <w:szCs w:val="20"/>
                <w:color w:val="auto"/>
              </w:rPr>
            </w:pPr>
            <w:r>
              <w:rPr>
                <w:rFonts w:ascii="Times New Roman" w:cs="Times New Roman" w:eastAsia="Times New Roman" w:hAnsi="Times New Roman"/>
                <w:sz w:val="14"/>
                <w:szCs w:val="14"/>
                <w:b w:val="1"/>
                <w:bCs w:val="1"/>
                <w:color w:val="auto"/>
              </w:rPr>
              <w:t>July 29,</w:t>
            </w:r>
          </w:p>
        </w:tc>
        <w:tc>
          <w:tcPr>
            <w:tcW w:w="100" w:type="dxa"/>
            <w:vAlign w:val="bottom"/>
          </w:tcPr>
          <w:p>
            <w:pPr>
              <w:spacing w:after="0"/>
              <w:rPr>
                <w:sz w:val="11"/>
                <w:szCs w:val="11"/>
                <w:color w:val="auto"/>
              </w:rPr>
            </w:pPr>
          </w:p>
        </w:tc>
      </w:tr>
      <w:tr>
        <w:trPr>
          <w:trHeight w:val="187"/>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5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8,822</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6,656</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18,377</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12,915</w:t>
            </w:r>
          </w:p>
        </w:tc>
        <w:tc>
          <w:tcPr>
            <w:tcW w:w="100" w:type="dxa"/>
            <w:vAlign w:val="bottom"/>
            <w:shd w:val="clear" w:color="auto" w:fill="CFF0FC"/>
          </w:tcPr>
          <w:p>
            <w:pPr>
              <w:spacing w:after="0"/>
              <w:rPr>
                <w:sz w:val="20"/>
                <w:szCs w:val="20"/>
                <w:color w:val="auto"/>
              </w:rPr>
            </w:pPr>
          </w:p>
        </w:tc>
      </w:tr>
      <w:tr>
        <w:trPr>
          <w:trHeight w:val="238"/>
        </w:trPr>
        <w:tc>
          <w:tcPr>
            <w:tcW w:w="5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12,151</w:t>
            </w:r>
          </w:p>
        </w:tc>
        <w:tc>
          <w:tcPr>
            <w:tcW w:w="100" w:type="dxa"/>
            <w:vAlign w:val="bottom"/>
          </w:tcPr>
          <w:p>
            <w:pPr>
              <w:spacing w:after="0"/>
              <w:rPr>
                <w:sz w:val="20"/>
                <w:szCs w:val="20"/>
                <w:color w:val="auto"/>
              </w:rPr>
            </w:pPr>
          </w:p>
        </w:tc>
      </w:tr>
      <w:tr>
        <w:trPr>
          <w:trHeight w:val="247"/>
        </w:trPr>
        <w:tc>
          <w:tcPr>
            <w:tcW w:w="57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7,359</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100" w:type="dxa"/>
            <w:vAlign w:val="bottom"/>
            <w:shd w:val="clear" w:color="auto" w:fill="CFF0FC"/>
          </w:tcPr>
          <w:p>
            <w:pPr>
              <w:spacing w:after="0"/>
              <w:rPr>
                <w:sz w:val="21"/>
                <w:szCs w:val="21"/>
                <w:color w:val="auto"/>
              </w:rPr>
            </w:pPr>
          </w:p>
        </w:tc>
      </w:tr>
      <w:tr>
        <w:trPr>
          <w:trHeight w:val="238"/>
        </w:trPr>
        <w:tc>
          <w:tcPr>
            <w:tcW w:w="5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Foreign currency (gain) loss</w:t>
            </w:r>
          </w:p>
        </w:tc>
        <w:tc>
          <w:tcPr>
            <w:tcW w:w="2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(380 )</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20"/>
                <w:szCs w:val="20"/>
                <w:color w:val="auto"/>
              </w:rPr>
            </w:pPr>
          </w:p>
        </w:tc>
      </w:tr>
      <w:tr>
        <w:trPr>
          <w:trHeight w:val="243"/>
        </w:trPr>
        <w:tc>
          <w:tcPr>
            <w:tcW w:w="578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19,804</w:t>
            </w:r>
          </w:p>
        </w:tc>
        <w:tc>
          <w:tcPr>
            <w:tcW w:w="24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17,088</w:t>
            </w:r>
          </w:p>
        </w:tc>
        <w:tc>
          <w:tcPr>
            <w:tcW w:w="24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40,795</w:t>
            </w:r>
          </w:p>
        </w:tc>
        <w:tc>
          <w:tcPr>
            <w:tcW w:w="2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34,556</w:t>
            </w:r>
          </w:p>
        </w:tc>
        <w:tc>
          <w:tcPr>
            <w:tcW w:w="100" w:type="dxa"/>
            <w:vAlign w:val="bottom"/>
          </w:tcPr>
          <w:p>
            <w:pPr>
              <w:spacing w:after="0"/>
              <w:rPr>
                <w:sz w:val="20"/>
                <w:szCs w:val="20"/>
                <w:color w:val="auto"/>
              </w:rPr>
            </w:pPr>
          </w:p>
        </w:tc>
      </w:tr>
      <w:tr>
        <w:trPr>
          <w:trHeight w:val="276"/>
        </w:trPr>
        <w:tc>
          <w:tcPr>
            <w:tcW w:w="5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50% of EBITDA</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9,902</w:t>
            </w:r>
          </w:p>
        </w:tc>
        <w:tc>
          <w:tcPr>
            <w:tcW w:w="24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8,544</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20,398</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17,278</w:t>
            </w:r>
          </w:p>
        </w:tc>
        <w:tc>
          <w:tcPr>
            <w:tcW w:w="100" w:type="dxa"/>
            <w:vAlign w:val="bottom"/>
            <w:shd w:val="clear" w:color="auto" w:fill="CFF0FC"/>
          </w:tcPr>
          <w:p>
            <w:pPr>
              <w:spacing w:after="0"/>
              <w:rPr>
                <w:sz w:val="24"/>
                <w:szCs w:val="24"/>
                <w:color w:val="auto"/>
              </w:rPr>
            </w:pPr>
          </w:p>
        </w:tc>
      </w:tr>
      <w:tr>
        <w:trPr>
          <w:trHeight w:val="93"/>
        </w:trPr>
        <w:tc>
          <w:tcPr>
            <w:tcW w:w="3000" w:type="dxa"/>
            <w:vAlign w:val="bottom"/>
            <w:tcBorders>
              <w:top w:val="single" w:sz="8" w:color="CFF0FC"/>
              <w:bottom w:val="single" w:sz="8" w:color="auto"/>
            </w:tcBorders>
          </w:tcPr>
          <w:p>
            <w:pPr>
              <w:spacing w:after="0"/>
              <w:rPr>
                <w:sz w:val="8"/>
                <w:szCs w:val="8"/>
                <w:color w:val="auto"/>
              </w:rPr>
            </w:pPr>
          </w:p>
        </w:tc>
        <w:tc>
          <w:tcPr>
            <w:tcW w:w="2780" w:type="dxa"/>
            <w:vAlign w:val="bottom"/>
            <w:tcBorders>
              <w:top w:val="single" w:sz="8" w:color="CFF0FC"/>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-427355</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-427355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-427355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-427355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-102235</wp:posOffset>
            </wp:positionV>
            <wp:extent cx="768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-85090</wp:posOffset>
            </wp:positionV>
            <wp:extent cx="768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-102235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-85090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-102235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-85090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-102235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-85090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1020" w:right="200" w:hanging="504"/>
        <w:spacing w:after="0" w:line="258" w:lineRule="auto"/>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and divestiture-related costs include direct costs resulting from acquiring, integrating, or divesting businesses. These include third-party professional and legal fees, losses on sales of divestitures, and other integration-related costs that would not have otherwise been incurred as part of the Company's operations.</w:t>
      </w:r>
    </w:p>
    <w:p>
      <w:pPr>
        <w:spacing w:after="0" w:line="58" w:lineRule="exact"/>
        <w:rPr>
          <w:rFonts w:ascii="Times New Roman" w:cs="Times New Roman" w:eastAsia="Times New Roman" w:hAnsi="Times New Roman"/>
          <w:sz w:val="14"/>
          <w:szCs w:val="14"/>
          <w:color w:val="auto"/>
        </w:rPr>
      </w:pPr>
    </w:p>
    <w:p>
      <w:pPr>
        <w:ind w:left="1020" w:right="240" w:hanging="504"/>
        <w:spacing w:after="0" w:line="258" w:lineRule="auto"/>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costs include, as incurred: restructuring costs and restructuring-related severance costs; legal reserves associated with significant, non-ordinary course legal or regulatory matters; and costs related to certain significant strategic transactions.</w:t>
      </w:r>
    </w:p>
    <w:p>
      <w:pPr>
        <w:spacing w:after="0" w:line="58" w:lineRule="exact"/>
        <w:rPr>
          <w:rFonts w:ascii="Times New Roman" w:cs="Times New Roman" w:eastAsia="Times New Roman" w:hAnsi="Times New Roman"/>
          <w:sz w:val="14"/>
          <w:szCs w:val="14"/>
          <w:color w:val="auto"/>
        </w:rPr>
      </w:pPr>
    </w:p>
    <w:p>
      <w:pPr>
        <w:ind w:left="1020" w:right="220" w:hanging="504"/>
        <w:spacing w:after="0" w:line="258" w:lineRule="auto"/>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net margin as net loss attributable to Class A and B-1 common stockholders divided by net sales and Adjusted EBITDA margin as Adjusted EBITDA divided by net sales.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21" w:lineRule="exact"/>
        <w:rPr>
          <w:sz w:val="20"/>
          <w:szCs w:val="20"/>
          <w:color w:val="auto"/>
        </w:rPr>
      </w:pPr>
    </w:p>
    <w:p>
      <w:pPr>
        <w:ind w:right="300" w:firstLine="509"/>
        <w:spacing w:after="0" w:line="265" w:lineRule="auto"/>
        <w:rPr>
          <w:sz w:val="20"/>
          <w:szCs w:val="20"/>
          <w:color w:val="auto"/>
        </w:rPr>
      </w:pPr>
      <w:r>
        <w:rPr>
          <w:rFonts w:ascii="Times New Roman" w:cs="Times New Roman" w:eastAsia="Times New Roman" w:hAnsi="Times New Roman"/>
          <w:sz w:val="18"/>
          <w:szCs w:val="18"/>
          <w:color w:val="auto"/>
        </w:rPr>
        <w:t>Free Cash Flow is a non-GAAP financial measure that is calculated as net cash provided by operating activities less cash paid for fixed assets. Management believes that Free Cash Flow, which measures our ability to generate additional cash from our business operations, is an important financial measure for use in evaluating the Company’s financial performance.</w:t>
      </w:r>
    </w:p>
    <w:p>
      <w:pPr>
        <w:spacing w:after="0" w:line="17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00" w:right="239" w:bottom="1440" w:gutter="0" w:footer="0" w:header="0"/>
        </w:sectPr>
      </w:pPr>
    </w:p>
    <w:bookmarkStart w:id="23" w:name="page24"/>
    <w:bookmarkEnd w:id="23"/>
    <w:p>
      <w:pPr>
        <w:ind w:left="520"/>
        <w:spacing w:after="0"/>
        <w:rPr>
          <w:sz w:val="20"/>
          <w:szCs w:val="20"/>
          <w:color w:val="auto"/>
        </w:rPr>
      </w:pPr>
      <w:r>
        <w:rPr>
          <w:rFonts w:ascii="Times New Roman" w:cs="Times New Roman" w:eastAsia="Times New Roman" w:hAnsi="Times New Roman"/>
          <w:sz w:val="18"/>
          <w:szCs w:val="18"/>
          <w:color w:val="auto"/>
        </w:rPr>
        <w:t>The table below reflects the calculation of Free Cash Flow for the periods presented: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0" w:type="dxa"/>
            <w:vAlign w:val="bottom"/>
            <w:gridSpan w:val="5"/>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31"/>
        </w:trPr>
        <w:tc>
          <w:tcPr>
            <w:tcW w:w="77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gridSpan w:val="2"/>
          </w:tcPr>
          <w:p>
            <w:pPr>
              <w:jc w:val="right"/>
              <w:ind w:right="780"/>
              <w:spacing w:after="0" w:line="131"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3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457"/>
              <w:spacing w:after="0" w:line="131" w:lineRule="exact"/>
              <w:rPr>
                <w:sz w:val="20"/>
                <w:szCs w:val="20"/>
                <w:color w:val="auto"/>
              </w:rPr>
            </w:pPr>
            <w:r>
              <w:rPr>
                <w:rFonts w:ascii="Times New Roman" w:cs="Times New Roman" w:eastAsia="Times New Roman" w:hAnsi="Times New Roman"/>
                <w:sz w:val="14"/>
                <w:szCs w:val="14"/>
                <w:b w:val="1"/>
                <w:bCs w:val="1"/>
                <w:color w:val="auto"/>
              </w:rPr>
              <w:t>July 29,</w:t>
            </w:r>
          </w:p>
        </w:tc>
        <w:tc>
          <w:tcPr>
            <w:tcW w:w="100" w:type="dxa"/>
            <w:vAlign w:val="bottom"/>
          </w:tcPr>
          <w:p>
            <w:pPr>
              <w:spacing w:after="0"/>
              <w:rPr>
                <w:sz w:val="11"/>
                <w:szCs w:val="11"/>
                <w:color w:val="auto"/>
              </w:rPr>
            </w:pPr>
          </w:p>
        </w:tc>
      </w:tr>
      <w:tr>
        <w:trPr>
          <w:trHeight w:val="187"/>
        </w:trPr>
        <w:tc>
          <w:tcPr>
            <w:tcW w:w="7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6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60,956</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134,265</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fixed assets</w:t>
            </w:r>
          </w:p>
        </w:tc>
        <w:tc>
          <w:tcPr>
            <w:tcW w:w="30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(60,029 )</w:t>
            </w:r>
          </w:p>
        </w:tc>
        <w:tc>
          <w:tcPr>
            <w:tcW w:w="32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(114,023 )</w:t>
            </w:r>
          </w:p>
        </w:tc>
      </w:tr>
      <w:tr>
        <w:trPr>
          <w:trHeight w:val="276"/>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Free Cash Flow</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20" w:firstLine="509"/>
        <w:spacing w:after="0" w:line="276" w:lineRule="auto"/>
        <w:rPr>
          <w:sz w:val="20"/>
          <w:szCs w:val="20"/>
          <w:color w:val="auto"/>
        </w:rPr>
      </w:pPr>
      <w:r>
        <w:rPr>
          <w:rFonts w:ascii="Times New Roman" w:cs="Times New Roman" w:eastAsia="Times New Roman" w:hAnsi="Times New Roman"/>
          <w:sz w:val="17"/>
          <w:szCs w:val="17"/>
          <w:color w:val="auto"/>
        </w:rPr>
        <w:t>Our primary sources of liquidity are funds generated by operating activities and available capacity for borrowings on our $581 million secured asset-based revolving credit facility (as amended, the “ABL Revolving Credit Facility”). Our ability to fund our operations, to make planned capital investments, to make scheduled debt payments and to repay or refinance indebtedness depends on our future operating performance and cash flows, which are subject to prevailing economic conditions and financial, business, and other factors, some of which are beyond our control. Our liquidity as of August 3, 2024 was $655.2 million, inclusive of cash and cash equivalents of $127.6 million and $527.6 million of availability on the ABL Revolving Credit Facility.</w:t>
      </w:r>
    </w:p>
    <w:p>
      <w:pPr>
        <w:spacing w:after="0" w:line="63"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We are a party to contractual obligations involving commitments to make payments to third parties. These obligations impact our short-term and long-term liquidity and capital resource needs. We believe that our current resources, together with anticipated cash flows from operations and borrowing capacity under the ABL Revolving Credit Facility will be sufficient to finance our operations, meet our current cash requirements, and fund anticipated capital investments for at least the next 12 months. We may, however, seek additional financing to fund future growth or refinance our existing indebtedness through the debt capital markets, but we cannot be assured that such financing will be available on favorable terms, or at all.</w:t>
      </w:r>
    </w:p>
    <w:p>
      <w:pPr>
        <w:sectPr>
          <w:pgSz w:w="11900" w:h="16838" w:orient="portrait"/>
          <w:cols w:equalWidth="0" w:num="1">
            <w:col w:w="11240"/>
          </w:cols>
          <w:pgMar w:left="320" w:top="1308" w:right="339" w:bottom="1440" w:gutter="0" w:footer="0" w:header="0"/>
        </w:sectPr>
      </w:pP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summarizes our consolidated cash flows: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543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cash provided by (used in):</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2908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29083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restricted cash</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Twenty-six weeks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0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gridSpan w:val="2"/>
          </w:tcPr>
          <w:p>
            <w:pPr>
              <w:jc w:val="right"/>
              <w:ind w:right="780"/>
              <w:spacing w:after="0" w:line="131"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3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456"/>
              <w:spacing w:after="0" w:line="131" w:lineRule="exact"/>
              <w:rPr>
                <w:sz w:val="20"/>
                <w:szCs w:val="20"/>
                <w:color w:val="auto"/>
              </w:rPr>
            </w:pPr>
            <w:r>
              <w:rPr>
                <w:rFonts w:ascii="Times New Roman" w:cs="Times New Roman" w:eastAsia="Times New Roman" w:hAnsi="Times New Roman"/>
                <w:sz w:val="14"/>
                <w:szCs w:val="14"/>
                <w:b w:val="1"/>
                <w:bCs w:val="1"/>
                <w:color w:val="auto"/>
              </w:rPr>
              <w:t>July 29,</w:t>
            </w:r>
          </w:p>
        </w:tc>
        <w:tc>
          <w:tcPr>
            <w:tcW w:w="60" w:type="dxa"/>
            <w:vAlign w:val="bottom"/>
          </w:tcPr>
          <w:p>
            <w:pPr>
              <w:spacing w:after="0"/>
              <w:rPr>
                <w:sz w:val="11"/>
                <w:szCs w:val="11"/>
                <w:color w:val="auto"/>
              </w:rPr>
            </w:pPr>
          </w:p>
        </w:tc>
      </w:tr>
      <w:tr>
        <w:trPr>
          <w:trHeight w:val="187"/>
        </w:trPr>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r>
      <w:tr>
        <w:trPr>
          <w:trHeight w:val="465"/>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60,956</w:t>
            </w:r>
          </w:p>
        </w:tc>
        <w:tc>
          <w:tcPr>
            <w:tcW w:w="28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134,265</w:t>
            </w:r>
          </w:p>
        </w:tc>
        <w:tc>
          <w:tcPr>
            <w:tcW w:w="60" w:type="dxa"/>
            <w:vAlign w:val="bottom"/>
          </w:tcPr>
          <w:p>
            <w:pPr>
              <w:spacing w:after="0"/>
              <w:rPr>
                <w:sz w:val="24"/>
                <w:szCs w:val="24"/>
                <w:color w:val="auto"/>
              </w:rPr>
            </w:pPr>
          </w:p>
        </w:tc>
      </w:tr>
      <w:tr>
        <w:trPr>
          <w:trHeight w:val="243"/>
        </w:trPr>
        <w:tc>
          <w:tcPr>
            <w:tcW w:w="30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(58,065 )</w:t>
            </w:r>
          </w:p>
        </w:tc>
        <w:tc>
          <w:tcPr>
            <w:tcW w:w="32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(105,815 )</w:t>
            </w:r>
          </w:p>
        </w:tc>
      </w:tr>
      <w:tr>
        <w:trPr>
          <w:trHeight w:val="249"/>
        </w:trPr>
        <w:tc>
          <w:tcPr>
            <w:tcW w:w="30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(5,894 )</w:t>
            </w:r>
          </w:p>
        </w:tc>
        <w:tc>
          <w:tcPr>
            <w:tcW w:w="32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(65,768 )</w:t>
            </w:r>
          </w:p>
        </w:tc>
      </w:tr>
      <w:tr>
        <w:trPr>
          <w:trHeight w:val="20"/>
        </w:trPr>
        <w:tc>
          <w:tcPr>
            <w:tcW w:w="3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1"/>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(3,003 )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(37,318 )</w:t>
            </w:r>
          </w:p>
        </w:tc>
      </w:tr>
      <w:tr>
        <w:trPr>
          <w:trHeight w:val="20"/>
        </w:trPr>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83" w:lineRule="exact"/>
        <w:rPr>
          <w:sz w:val="20"/>
          <w:szCs w:val="20"/>
          <w:color w:val="auto"/>
        </w:rPr>
      </w:pPr>
    </w:p>
    <w:p>
      <w:pPr>
        <w:sectPr>
          <w:pgSz w:w="11900" w:h="16838" w:orient="portrait"/>
          <w:cols w:equalWidth="0" w:num="2">
            <w:col w:w="7020" w:space="720"/>
            <w:col w:w="3500"/>
          </w:cols>
          <w:pgMar w:left="320" w:top="1308" w:right="339" w:bottom="1440" w:gutter="0" w:footer="0" w:header="0"/>
          <w:type w:val="continuous"/>
        </w:sect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primary source of operating cash is sales of products and services to customers, which are substantially all on a cash basis, and therefore provide us with a significant source of liquidity. Our primary uses of cash in operating activities include: purchases of inventory; freight and warehousing costs; employee-related expenditures; occupancy-related costs for our pet care centers, distribution centers and corporate support centers; credit card fees; interest under our debt agreements; and marketing expenses. Net cash provided by operating activities is impacted by our net loss adjusted for certain non-cash items, including: depreciation, amortization, impairments and write-offs; amortization of debt discounts and issuance costs; deferred income taxes; equity-based compensation; impairments of goodwill and intangible assets; other non-operating (income) loss; and the effect of changes in operating assets and liabilities.</w:t>
      </w:r>
    </w:p>
    <w:p>
      <w:pPr>
        <w:spacing w:after="0" w:line="187" w:lineRule="exact"/>
        <w:rPr>
          <w:sz w:val="20"/>
          <w:szCs w:val="20"/>
          <w:color w:val="auto"/>
        </w:rPr>
      </w:pPr>
    </w:p>
    <w:p>
      <w:pPr>
        <w:ind w:right="420" w:firstLine="509"/>
        <w:spacing w:after="0" w:line="281" w:lineRule="auto"/>
        <w:rPr>
          <w:sz w:val="20"/>
          <w:szCs w:val="20"/>
          <w:color w:val="auto"/>
        </w:rPr>
      </w:pPr>
      <w:r>
        <w:rPr>
          <w:rFonts w:ascii="Times New Roman" w:cs="Times New Roman" w:eastAsia="Times New Roman" w:hAnsi="Times New Roman"/>
          <w:sz w:val="18"/>
          <w:szCs w:val="18"/>
          <w:color w:val="auto"/>
        </w:rPr>
        <w:t>Net cash provided by operating activities was $61.0 million in the twenty-six weeks ended August 3, 2024 compared with net cash provided by operating activities of $134.3 million in the twenty-six weeks ended July 29,</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type w:val="continuous"/>
        </w:sectPr>
      </w:pPr>
    </w:p>
    <w:bookmarkStart w:id="24" w:name="page25"/>
    <w:bookmarkEnd w:id="24"/>
    <w:p>
      <w:pPr>
        <w:ind w:right="100"/>
        <w:spacing w:after="0" w:line="281" w:lineRule="auto"/>
        <w:rPr>
          <w:sz w:val="20"/>
          <w:szCs w:val="20"/>
          <w:color w:val="auto"/>
        </w:rPr>
      </w:pPr>
      <w:r>
        <w:rPr>
          <w:rFonts w:ascii="Times New Roman" w:cs="Times New Roman" w:eastAsia="Times New Roman" w:hAnsi="Times New Roman"/>
          <w:sz w:val="18"/>
          <w:szCs w:val="18"/>
          <w:color w:val="auto"/>
        </w:rPr>
        <w:t>2023. The decrease in operating cash flow was driven by lower sales and an increase in cash paid for inventory, which was partially offset by a decrease in cash paid for operating leases and timing differences in accounts payable.</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48" w:lineRule="exact"/>
        <w:rPr>
          <w:sz w:val="20"/>
          <w:szCs w:val="20"/>
          <w:color w:val="auto"/>
        </w:rPr>
      </w:pPr>
    </w:p>
    <w:p>
      <w:pPr>
        <w:ind w:right="320" w:firstLine="469"/>
        <w:spacing w:after="0" w:line="265" w:lineRule="auto"/>
        <w:rPr>
          <w:sz w:val="20"/>
          <w:szCs w:val="20"/>
          <w:color w:val="auto"/>
        </w:rPr>
      </w:pPr>
      <w:r>
        <w:rPr>
          <w:rFonts w:ascii="Times New Roman" w:cs="Times New Roman" w:eastAsia="Times New Roman" w:hAnsi="Times New Roman"/>
          <w:sz w:val="18"/>
          <w:szCs w:val="18"/>
          <w:color w:val="auto"/>
        </w:rPr>
        <w:t>Net cash used in investing activities was $58.1 million and $105.8 million for the twenty-six weeks ended August 3, 2024 and July 29, 2023, respectively. The decrease was primarily driven by reductions in capital spend, reflecting fewer anticipated hospital build-outs and a balanced approach between focused investments and cash flow.</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680" w:firstLine="509"/>
        <w:spacing w:after="0" w:line="281" w:lineRule="auto"/>
        <w:rPr>
          <w:sz w:val="20"/>
          <w:szCs w:val="20"/>
          <w:color w:val="auto"/>
        </w:rPr>
      </w:pPr>
      <w:r>
        <w:rPr>
          <w:rFonts w:ascii="Times New Roman" w:cs="Times New Roman" w:eastAsia="Times New Roman" w:hAnsi="Times New Roman"/>
          <w:sz w:val="18"/>
          <w:szCs w:val="18"/>
          <w:color w:val="auto"/>
        </w:rPr>
        <w:t>Net cash used in financing activities was $5.9 million for the twenty-six weeks ended August 3, 2024, compared with $65.8 million used in financing activities in the twenty-six weeks ended July 29, 2023.</w:t>
      </w:r>
    </w:p>
    <w:p>
      <w:pPr>
        <w:spacing w:after="0" w:line="163" w:lineRule="exact"/>
        <w:rPr>
          <w:sz w:val="20"/>
          <w:szCs w:val="20"/>
          <w:color w:val="auto"/>
        </w:rPr>
      </w:pPr>
    </w:p>
    <w:p>
      <w:pPr>
        <w:ind w:right="460" w:firstLine="509"/>
        <w:spacing w:after="0" w:line="281" w:lineRule="auto"/>
        <w:rPr>
          <w:sz w:val="20"/>
          <w:szCs w:val="20"/>
          <w:color w:val="auto"/>
        </w:rPr>
      </w:pPr>
      <w:r>
        <w:rPr>
          <w:rFonts w:ascii="Times New Roman" w:cs="Times New Roman" w:eastAsia="Times New Roman" w:hAnsi="Times New Roman"/>
          <w:sz w:val="18"/>
          <w:szCs w:val="18"/>
          <w:color w:val="auto"/>
        </w:rPr>
        <w:t>Financing cash flows in the twenty-six weeks ended August 3, 2024 primarily consisted of borrowings and repayments on the ABL Revolving Credit Facility.</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Financing cash flows in the twenty-six weeks ended July 29, 2023 primarily consisted of $60.0 million in principal repayments on the term loan.</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Senior Secured Credit Facilities</w:t>
      </w:r>
    </w:p>
    <w:p>
      <w:pPr>
        <w:spacing w:after="0" w:line="229"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On March 4, 2021, the Company completed a refinancing transaction by entering into a $1,700 million secured term loan facility maturing on March 4, 2028 (the “First Lien Term Loan”) and the ABL Revolving Credit Facility, maturing on March 4, 2026 with availability of up to $500.0 million, subject to a borrowing base.</w:t>
      </w:r>
    </w:p>
    <w:p>
      <w:pPr>
        <w:spacing w:after="0" w:line="177" w:lineRule="exact"/>
        <w:rPr>
          <w:sz w:val="20"/>
          <w:szCs w:val="20"/>
          <w:color w:val="auto"/>
        </w:rPr>
      </w:pPr>
    </w:p>
    <w:p>
      <w:pPr>
        <w:ind w:right="40" w:firstLine="554"/>
        <w:spacing w:after="0" w:line="258" w:lineRule="auto"/>
        <w:rPr>
          <w:sz w:val="20"/>
          <w:szCs w:val="20"/>
          <w:color w:val="auto"/>
        </w:rPr>
      </w:pPr>
      <w:r>
        <w:rPr>
          <w:rFonts w:ascii="Times New Roman" w:cs="Times New Roman" w:eastAsia="Times New Roman" w:hAnsi="Times New Roman"/>
          <w:sz w:val="18"/>
          <w:szCs w:val="18"/>
          <w:color w:val="auto"/>
        </w:rPr>
        <w:t>In March 2024, the Company amended the ABL Revolving Credit Facility, which now consists of two tranches, to increase its total availability from $500.0 million to $581.0 million and extend the maturity on a portion of this availability. The first tranche has availability of up to $35.0 million, subject to a borrowing base, maturing on March 4, 2026. The second tranche has availability of up to $546.0 million, subject to a borrowing base, maturing on March 29, 2029. Interest on the ABL Revolving Credit Facility is now based on, at the Company's option, either the base rate subject to a 1% floor, or Term SOFR subject to a floor of 0%, plus an applicable margin. All other key terms of the ABL Revolving Credit Facility remained unchanged.</w:t>
      </w:r>
    </w:p>
    <w:p>
      <w:pPr>
        <w:spacing w:after="0" w:line="18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Interest on the First Lien Term Loan is based on, at the Company’s option, either a base rate or Adjusted Term SOFR, subject to a 0.75% floor, payable upon maturity of the SOFR contract, in either case plus the applicable rate. The base rate is the greater of the bank prime rate, federal funds effective rate plus 0.5% or Adjusted Term SOFR plus 1.0%. The applicable rate is 2.25% per annum for a base rate loan or 3.25% per annum for an Adjusted Term SOFR loan. Principal and interest payments commenced on June 30, 2021. Principal payments are typically $4.25 million quarterly. During the thirteen and twenty-six weeks ended July 29, 2023, the Company repaid $35.0 million and $25.0 million in principal, respectively, of the First Lien Term Loan using existing cash on hand. The repayments were applied to remaining principal payments in order of scheduled payment date.</w:t>
      </w:r>
    </w:p>
    <w:p>
      <w:pPr>
        <w:spacing w:after="0" w:line="184" w:lineRule="exact"/>
        <w:rPr>
          <w:sz w:val="20"/>
          <w:szCs w:val="20"/>
          <w:color w:val="auto"/>
        </w:rPr>
      </w:pPr>
    </w:p>
    <w:p>
      <w:pPr>
        <w:ind w:right="580" w:firstLine="509"/>
        <w:spacing w:after="0" w:line="283" w:lineRule="auto"/>
        <w:rPr>
          <w:sz w:val="20"/>
          <w:szCs w:val="20"/>
          <w:color w:val="auto"/>
        </w:rPr>
      </w:pPr>
      <w:r>
        <w:rPr>
          <w:rFonts w:ascii="Times New Roman" w:cs="Times New Roman" w:eastAsia="Times New Roman" w:hAnsi="Times New Roman"/>
          <w:sz w:val="18"/>
          <w:szCs w:val="18"/>
          <w:color w:val="auto"/>
        </w:rPr>
        <w:t>For more information regarding this indebtedness, refer to Note 3, “</w:t>
      </w:r>
      <w:r>
        <w:rPr>
          <w:rFonts w:ascii="Times New Roman" w:cs="Times New Roman" w:eastAsia="Times New Roman" w:hAnsi="Times New Roman"/>
          <w:sz w:val="18"/>
          <w:szCs w:val="18"/>
          <w:i w:val="1"/>
          <w:iCs w:val="1"/>
          <w:color w:val="auto"/>
        </w:rPr>
        <w:t>Senior Secured Credit Facilities</w:t>
      </w:r>
      <w:r>
        <w:rPr>
          <w:rFonts w:ascii="Times New Roman" w:cs="Times New Roman" w:eastAsia="Times New Roman" w:hAnsi="Times New Roman"/>
          <w:sz w:val="18"/>
          <w:szCs w:val="18"/>
          <w:color w:val="auto"/>
        </w:rPr>
        <w:t>,” to the Notes to Consolidated Financial Statements included in Part I, Item 1 of this Form 10-Q.</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29" w:lineRule="exact"/>
        <w:rPr>
          <w:sz w:val="20"/>
          <w:szCs w:val="20"/>
          <w:color w:val="auto"/>
        </w:rPr>
      </w:pPr>
    </w:p>
    <w:p>
      <w:pPr>
        <w:ind w:right="160" w:firstLine="509"/>
        <w:spacing w:after="0" w:line="265" w:lineRule="auto"/>
        <w:rPr>
          <w:sz w:val="20"/>
          <w:szCs w:val="20"/>
          <w:color w:val="auto"/>
        </w:rPr>
      </w:pPr>
      <w:r>
        <w:rPr>
          <w:rFonts w:ascii="Times New Roman" w:cs="Times New Roman" w:eastAsia="Times New Roman" w:hAnsi="Times New Roman"/>
          <w:sz w:val="18"/>
          <w:szCs w:val="18"/>
          <w:color w:val="auto"/>
        </w:rPr>
        <w:t>In November 2022, the Company entered into a series of interest rate cap agreements to limit the maximum interest on a portion of the Company’s variable-rate debt and decrease its exposure to interest rate variability relating to three-month Term SOFR. The interest rate caps became effective December 30, 2022 and expire on December 31, 2024.</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8" w:right="359" w:bottom="1440" w:gutter="0" w:footer="0" w:header="0"/>
        </w:sectPr>
      </w:pPr>
    </w:p>
    <w:bookmarkStart w:id="25" w:name="page26"/>
    <w:bookmarkEnd w:id="25"/>
    <w:p>
      <w:pPr>
        <w:ind w:right="80" w:firstLine="509"/>
        <w:spacing w:after="0" w:line="265" w:lineRule="auto"/>
        <w:rPr>
          <w:sz w:val="20"/>
          <w:szCs w:val="20"/>
          <w:color w:val="auto"/>
        </w:rPr>
      </w:pPr>
      <w:r>
        <w:rPr>
          <w:rFonts w:ascii="Times New Roman" w:cs="Times New Roman" w:eastAsia="Times New Roman" w:hAnsi="Times New Roman"/>
          <w:sz w:val="18"/>
          <w:szCs w:val="18"/>
          <w:color w:val="auto"/>
        </w:rPr>
        <w:t>In March 2023, the Company entered into an interest rate collar agreement to limit the maximum interest on a portion of the Company’s variable-rate debt and decrease its exposure to interest rate variability relating to three-month Term SOFR. The interest rate collar became effective March 31, 2023 and expires on March 31, 2026.</w:t>
      </w:r>
    </w:p>
    <w:p>
      <w:pPr>
        <w:spacing w:after="0" w:line="177" w:lineRule="exact"/>
        <w:rPr>
          <w:sz w:val="20"/>
          <w:szCs w:val="20"/>
          <w:color w:val="auto"/>
        </w:rPr>
      </w:pPr>
    </w:p>
    <w:p>
      <w:pPr>
        <w:jc w:val="both"/>
        <w:ind w:right="80" w:firstLine="509"/>
        <w:spacing w:after="0" w:line="265" w:lineRule="auto"/>
        <w:rPr>
          <w:sz w:val="20"/>
          <w:szCs w:val="20"/>
          <w:color w:val="auto"/>
        </w:rPr>
      </w:pPr>
      <w:r>
        <w:rPr>
          <w:rFonts w:ascii="Times New Roman" w:cs="Times New Roman" w:eastAsia="Times New Roman" w:hAnsi="Times New Roman"/>
          <w:sz w:val="18"/>
          <w:szCs w:val="18"/>
          <w:color w:val="auto"/>
        </w:rPr>
        <w:t>In June 2023, the Company entered into an interest rate collar agreement to limit the maximum interest on a portion of the Company’s variable-rate debt and decrease its exposure to interest rate variability relating to three-month Term SOFR. The interest rate collar became effective September 30, 2023 and expires on December 31, 2026.</w:t>
      </w:r>
    </w:p>
    <w:p>
      <w:pPr>
        <w:spacing w:after="0" w:line="177" w:lineRule="exact"/>
        <w:rPr>
          <w:sz w:val="20"/>
          <w:szCs w:val="20"/>
          <w:color w:val="auto"/>
        </w:rPr>
      </w:pPr>
    </w:p>
    <w:p>
      <w:pPr>
        <w:ind w:right="540" w:firstLine="509"/>
        <w:spacing w:after="0" w:line="265" w:lineRule="auto"/>
        <w:rPr>
          <w:sz w:val="20"/>
          <w:szCs w:val="20"/>
          <w:color w:val="auto"/>
        </w:rPr>
      </w:pPr>
      <w:r>
        <w:rPr>
          <w:rFonts w:ascii="Times New Roman" w:cs="Times New Roman" w:eastAsia="Times New Roman" w:hAnsi="Times New Roman"/>
          <w:sz w:val="18"/>
          <w:szCs w:val="18"/>
          <w:color w:val="auto"/>
        </w:rPr>
        <w:t>In December 2023, the Company entered into an interest rate collar agreement to limit the maximum interest on a portion of the Company’s variable-rate debt and decrease its exposure to interest rate variability relating to three-month Term SOFR. The interest rate collar becomes effective December 31, 2024 and expires on December 31, 2026.</w:t>
      </w:r>
    </w:p>
    <w:p>
      <w:pPr>
        <w:spacing w:after="0" w:line="177"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In March 2024, the Company entered into two interest rate collar agreements to limit the maximum interest on a portion of the Company’s variable-rate debt and decrease its exposure to interest rate variability relating to three-month Term SOFR. The interest rate collars become effective on December 31, 2024 and expire on December 31, 2026.</w:t>
      </w:r>
    </w:p>
    <w:p>
      <w:pPr>
        <w:spacing w:after="0" w:line="177"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In August 2024, the Company entered into an interest rate swap agreement to fix the interest rate on a portion of the Company’s variable-rate debt and decrease its exposure to interest rate variability relating to three-month Term SOFR. The interest rate swap becomes effective September 30, 2024 and expires on December 31, 2026.</w:t>
      </w:r>
    </w:p>
    <w:p>
      <w:pPr>
        <w:spacing w:after="0" w:line="94" w:lineRule="exact"/>
        <w:rPr>
          <w:sz w:val="20"/>
          <w:szCs w:val="20"/>
          <w:color w:val="auto"/>
        </w:rPr>
      </w:pPr>
    </w:p>
    <w:p>
      <w:pPr>
        <w:ind w:firstLine="509"/>
        <w:spacing w:after="0" w:line="283" w:lineRule="auto"/>
        <w:rPr>
          <w:sz w:val="20"/>
          <w:szCs w:val="20"/>
          <w:color w:val="auto"/>
        </w:rPr>
      </w:pPr>
      <w:r>
        <w:rPr>
          <w:rFonts w:ascii="Times New Roman" w:cs="Times New Roman" w:eastAsia="Times New Roman" w:hAnsi="Times New Roman"/>
          <w:sz w:val="18"/>
          <w:szCs w:val="18"/>
          <w:color w:val="auto"/>
        </w:rPr>
        <w:t xml:space="preserve">For more information regarding derivative instruments, refer to Note 4,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to the Notes to Consolidated Financial Statements included in Part I, Item 1 of this Form 10-Q.</w:t>
      </w: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accounting principles generally accepted in the United States (“GAAP”) requires us to make assumptions and estimates about future results and apply judgments that affect the reported amounts of assets, liabilities, net sales, expenses and related disclosures. We base our estimates and judgments on historical experience, current trends and other factors that we believe to be relevant at the time our consolidated financial statements are prepared. On an ongoing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Trade Name Intangible Assets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evaluate goodwill annually in our fourth quarter or whenever events or changes in circumstances indicate that the carrying value may not be recoverable. We have identified one reporting unit and selected our fourth fiscal quarter to perform our annual goodwill impairment testing. Goodwill impairment guidance provides entities the option to perform a qualitative assessment to determine whether further impairment testing is necessary. The qualitative assessment requires significant judgments about economic conditions, including the entity’s operating environment, its industry and other market conditions, entity-specific events related to financial performance or loss of key personnel, and other events that could impact the reporting unit. If management concludes, based on assessment of relevant events, facts, and circumstances, that it is more likely than not that a reporting unit’s fair value is greater than its carrying value, no further impairment testing is required.</w:t>
      </w:r>
    </w:p>
    <w:p>
      <w:pPr>
        <w:spacing w:after="0" w:line="187" w:lineRule="exact"/>
        <w:rPr>
          <w:sz w:val="20"/>
          <w:szCs w:val="20"/>
          <w:color w:val="auto"/>
        </w:rPr>
      </w:pPr>
    </w:p>
    <w:p>
      <w:pPr>
        <w:ind w:right="60" w:firstLine="509"/>
        <w:spacing w:after="0" w:line="274" w:lineRule="auto"/>
        <w:rPr>
          <w:sz w:val="20"/>
          <w:szCs w:val="20"/>
          <w:color w:val="auto"/>
        </w:rPr>
      </w:pPr>
      <w:r>
        <w:rPr>
          <w:rFonts w:ascii="Times New Roman" w:cs="Times New Roman" w:eastAsia="Times New Roman" w:hAnsi="Times New Roman"/>
          <w:sz w:val="17"/>
          <w:szCs w:val="17"/>
          <w:color w:val="auto"/>
        </w:rPr>
        <w:t>If management’s assessment of qualitative factors indicates that it is more likely than not that the fair value of a reporting unit is less than its carrying value, then a quantitative assessment is performed. We also have the option to bypass the qualitative assessment described above and proceed directly to the quantitative assessment, where we compare the fair value of the reporting unit to its carrying value. If the fair value of the reporting unit exceeds the carrying value of our net assets assigned to that unit, goodwill is not considered impaired, and we are not required to perform further testing. If the carrying value of net assets assigned to the reporting unit exceeds the fair value of the reporting unit, then we would record an impairment loss equal to the difference. If a quantitative assessment is performed, the evaluation includes management estimates of cash flow projections based on internal future</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0" w:right="359" w:bottom="1440" w:gutter="0" w:footer="0" w:header="0"/>
        </w:sectPr>
      </w:pPr>
    </w:p>
    <w:bookmarkStart w:id="26" w:name="page27"/>
    <w:bookmarkEnd w:id="26"/>
    <w:p>
      <w:pPr>
        <w:ind w:right="140"/>
        <w:spacing w:after="0" w:line="258" w:lineRule="auto"/>
        <w:rPr>
          <w:sz w:val="20"/>
          <w:szCs w:val="20"/>
          <w:color w:val="auto"/>
        </w:rPr>
      </w:pPr>
      <w:r>
        <w:rPr>
          <w:rFonts w:ascii="Times New Roman" w:cs="Times New Roman" w:eastAsia="Times New Roman" w:hAnsi="Times New Roman"/>
          <w:sz w:val="18"/>
          <w:szCs w:val="18"/>
          <w:color w:val="auto"/>
        </w:rPr>
        <w:t>projections and/or use of a market approach by reviewing transactional and financial data of publicly traded companies. The assumptions used in the impairment analysis are inherently subject to uncertainty and small changes in these assumptions could have a significant impact on the concluded value. The Company's market capitalization is also considered as part of the analysis, in order to further validate the reasonableness of the fair values concluded for the reporting unit. Factors that may trigger an interim impairment test may include, but are not limited to, current economic and market conditions or a significant decline in the Company's share price and market capitalization compared to net book value.</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Indefinite-lived trade name</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consider the Petco trade name to be an indefinite-lived intangible asset, as we currently anticipate that this trade name will contribute cash flows to us indefinitely. We perform our annual impairment test during the fourth quarter of each year or whenever events or changes in circumstances indicate the carrying value may not be recoverable. Management has the option to first perform a qualitative assessment of its trade name asset to determine whether it is necessary to perform a quantitative impairment test. We also have the option to bypass the qualitative assessment described above and proceed directly to quantitative assessment.</w:t>
      </w:r>
    </w:p>
    <w:p>
      <w:pPr>
        <w:spacing w:after="0" w:line="18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Factors that may trigger an interim impairment test may include, but are not limited to, a significant decline in the Company's share price and market capitalization compared to net book value, or changes in the pattern of utilization of the intangible asset. Significant assumptions used in the determination of fair value of the trade name generally include prospective financial information, growth rates, discount rates and comparable multiples from publicly traded companies in similar industries. An impairment charge is recorded for the amount by which the carrying amount of the trade name exceeds its fair value.</w:t>
      </w:r>
    </w:p>
    <w:p>
      <w:pPr>
        <w:spacing w:after="0" w:line="74"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compared to the critical accounting policies and estimates described in the 2023 Form 10-K.</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right="160" w:firstLine="509"/>
        <w:spacing w:after="0" w:line="315" w:lineRule="auto"/>
        <w:rPr>
          <w:sz w:val="20"/>
          <w:szCs w:val="20"/>
          <w:color w:val="auto"/>
        </w:rPr>
      </w:pPr>
      <w:r>
        <w:rPr>
          <w:rFonts w:ascii="Times New Roman" w:cs="Times New Roman" w:eastAsia="Times New Roman" w:hAnsi="Times New Roman"/>
          <w:sz w:val="18"/>
          <w:szCs w:val="18"/>
          <w:color w:val="auto"/>
        </w:rPr>
        <w:t>Refer to Note 1,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Notes to Consolidated Financial Statements included in Part I, Item 1 of this Form 10-Q for information regarding recently issued accounting pronouncements.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60" w:firstLine="509"/>
        <w:spacing w:after="0" w:line="265" w:lineRule="auto"/>
        <w:rPr>
          <w:sz w:val="20"/>
          <w:szCs w:val="20"/>
          <w:color w:val="auto"/>
        </w:rPr>
      </w:pPr>
      <w:r>
        <w:rPr>
          <w:rFonts w:ascii="Times New Roman" w:cs="Times New Roman" w:eastAsia="Times New Roman" w:hAnsi="Times New Roman"/>
          <w:sz w:val="18"/>
          <w:szCs w:val="18"/>
          <w:color w:val="auto"/>
        </w:rPr>
        <w:t>We are subject to market risks arising from transactions in the normal course of our business. These risks are primarily associated with interest rate fluctuations, as well as changes in our credit standing, based on the capital and credit markets, which are not predictable. We do not currently hold any instruments for trading purposes.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are subject to interest rate risk in connection with the First Lien Term Loan and the ABL Revolving Credit Facility. As of August 3, 2024, we had $1,595.3 million outstanding under the First Lien Term Loan and no amounts outstanding under the ABL Revolving Credit Facility. The First Lien Term Loan and the ABL Revolving Credit Facility each bear interest at variable rates. An increase of 100 basis points in the variable rates on the First Lien Term Loan and the ABL Revolving Credit Facility as of August 3, 2024 would have increased annual cash interest in the aggregate by approximately $16.2 million. Additionally, we entered into cash flow hedges to limit the maximum interest rate on a portion of our variable-rate debt and limit our exposure to interest rate variability, refer to Note 4, “Derivative Instruments,” to the Notes to Consolidated Financial Statements included in Part I, Item 1 of this Form 10-Q.</w:t>
      </w:r>
    </w:p>
    <w:p>
      <w:pPr>
        <w:spacing w:after="0" w:line="187"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We cannot predict market fluctuations in interest rates and their impact on our debt, nor can there be any assurance that long-term fixed-rate debt will be available at favorable rates, if at all. Consequently, future results may differ materially from estimated results due to adverse changes in interest rates or debt availability.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8"/>
          <w:szCs w:val="18"/>
          <w:color w:val="auto"/>
        </w:rPr>
        <w:t>As of August 3, 2024, our cash and cash equivalents were maintained at major financial institutions in the United States, and our current deposits are likely in excess of insured limits. We believe these institutions have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sufficient assets and liquidity to conduct their operations in the ordinary course of business with little or no credit risk to us.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Substantially all of our business is currently conducted in U.S. dollars, with a small amount denominated in foreign currencies. Our expenses are generally denominated in the currencies of the jurisdictions in which we conduct our operations. Our results of current and future operations and cash flows are subject to fluctuations due to changes in foreign currency exchange rates. We do not enter into forward currency contracts to hedge our foreign currency exposure. A hypothetical 10% change in foreign currency exchange rates applicable to our business would not have a material effect on our operating results.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229" w:lineRule="exact"/>
        <w:rPr>
          <w:sz w:val="20"/>
          <w:szCs w:val="20"/>
          <w:color w:val="auto"/>
        </w:rPr>
      </w:pPr>
    </w:p>
    <w:p>
      <w:pPr>
        <w:jc w:val="both"/>
        <w:ind w:right="300" w:firstLine="469"/>
        <w:spacing w:after="0" w:line="260"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financial disclosure.</w:t>
      </w:r>
    </w:p>
    <w:p>
      <w:pPr>
        <w:spacing w:after="0" w:line="182" w:lineRule="exact"/>
        <w:rPr>
          <w:sz w:val="20"/>
          <w:szCs w:val="20"/>
          <w:color w:val="auto"/>
        </w:rPr>
      </w:pPr>
    </w:p>
    <w:p>
      <w:pPr>
        <w:jc w:val="both"/>
        <w:ind w:right="100" w:firstLine="469"/>
        <w:spacing w:after="0" w:line="260" w:lineRule="auto"/>
        <w:rPr>
          <w:sz w:val="20"/>
          <w:szCs w:val="20"/>
          <w:color w:val="auto"/>
        </w:rPr>
      </w:pPr>
      <w:r>
        <w:rPr>
          <w:rFonts w:ascii="Times New Roman" w:cs="Times New Roman" w:eastAsia="Times New Roman" w:hAnsi="Times New Roman"/>
          <w:sz w:val="18"/>
          <w:szCs w:val="18"/>
          <w:color w:val="auto"/>
        </w:rPr>
        <w:t>As of the end of the period covered by this Form 10-Q, our management, under the supervision and with the participation of our principal executive officer and principal financial officer, evaluated the effectiveness of our disclosure controls and procedures pursuant to Exchange Act Rules 13a-15(e) and 15d-15(e). Based upon this evaluation, our principal executive officer and principal financial officer concluded that our disclosure controls and procedures were effective at a reasonable assurance level as of August 3, 2024.</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340" w:firstLine="469"/>
        <w:spacing w:after="0" w:line="281"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quarter ended August 3, 2024, which has materially affected, or is reasonably likely to materially affect, our internal control over financial reporting.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Controls</w:t>
      </w:r>
    </w:p>
    <w:p>
      <w:pPr>
        <w:spacing w:after="0" w:line="255" w:lineRule="exact"/>
        <w:rPr>
          <w:sz w:val="20"/>
          <w:szCs w:val="20"/>
          <w:color w:val="auto"/>
        </w:rPr>
      </w:pPr>
    </w:p>
    <w:p>
      <w:pPr>
        <w:ind w:firstLine="469"/>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are designed to provide reasonable assurance of achieving their objectives. Management does not expect, however, that our disclosure controls and procedures will prevent or detect all error and fraud. Any control system, no matter how well designed and operated, is based 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9" w:lineRule="exact"/>
        <w:rPr>
          <w:sz w:val="20"/>
          <w:szCs w:val="20"/>
          <w:color w:val="auto"/>
        </w:rPr>
      </w:pPr>
    </w:p>
    <w:p>
      <w:pPr>
        <w:ind w:firstLine="562"/>
        <w:spacing w:after="0" w:line="283" w:lineRule="auto"/>
        <w:rPr>
          <w:sz w:val="20"/>
          <w:szCs w:val="20"/>
          <w:color w:val="auto"/>
        </w:rPr>
      </w:pPr>
      <w:r>
        <w:rPr>
          <w:rFonts w:ascii="Times New Roman" w:cs="Times New Roman" w:eastAsia="Times New Roman" w:hAnsi="Times New Roman"/>
          <w:sz w:val="18"/>
          <w:szCs w:val="18"/>
          <w:color w:val="auto"/>
        </w:rPr>
        <w:t>See Note 7,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Notes to Consolidated Financial Statements included in Part I, Item 1 of this Form 10-Q for a description of legal proceedings, which is incorporated herein by reference.</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60" w:firstLine="562"/>
        <w:spacing w:after="0" w:line="256" w:lineRule="auto"/>
        <w:rPr>
          <w:sz w:val="20"/>
          <w:szCs w:val="20"/>
          <w:color w:val="auto"/>
        </w:rPr>
      </w:pPr>
      <w:r>
        <w:rPr>
          <w:rFonts w:ascii="Times New Roman" w:cs="Times New Roman" w:eastAsia="Times New Roman" w:hAnsi="Times New Roman"/>
          <w:sz w:val="18"/>
          <w:szCs w:val="18"/>
          <w:color w:val="auto"/>
        </w:rPr>
        <w:t>Reference is made to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in the 2023 Form 10-K and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in our Quarterly Report on Form 10-Q for the quarter ended May 4, 2024 (the “Q1 Form 10-Q”) for information concerning risk factors. Except as set forth in the Q1 Form 10-Q, there have been no material changes with respect to the risk factors disclosed in the 2023 Form 10-K. You should carefully consider such factors, which could materially and adversely affect our business, financial condition and/or results of operations. The risks described in the Q1 Form 10-Q and the 2023 Form 10-K are not the only risks we face. Additional risks and uncertainties not currently known to us or that we currently deem to be immaterial also may materially and adversely affect our business, financial condition and/or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As previously disclosed, on May 13, 2024 the Company issued 1,470,589 shares of Class A Common Stock, par value $0.001 per share, to GSSB</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an Ontario corporation, of which Glenn Murphy, the Company's Executive Chairman, is the sole stockholder, at a price per share equal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$1.70 for a total purchase price of $2,500,001.30. The shares were issued in a private placement exempt from the registration requirements of 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 of 1933, as amended, pursuant to Section 4(a)(2) thereof.</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None of our directors or Section 16 officers adopted or terminated a Rule 10b5-1 trading arrangement (as defined in Item 408(a) of Regulation S-K) or a non-Rule 10b5-1 trading arrangement (as defined in Item 408(c) of Regulation S-K) during the quarterly period covered by this Form 10-Q.</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Form 10-Q:</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740" w:type="dxa"/>
            <w:vAlign w:val="bottom"/>
            <w:gridSpan w:val="16"/>
            <w:vMerge w:val="restart"/>
          </w:tcPr>
          <w:p>
            <w:pPr>
              <w:ind w:left="33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740" w:type="dxa"/>
            <w:vAlign w:val="bottom"/>
            <w:tcBorders>
              <w:bottom w:val="single" w:sz="8" w:color="auto"/>
            </w:tcBorders>
            <w:gridSpan w:val="1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95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245">
              <w:r>
                <w:rPr>
                  <w:rFonts w:ascii="Times New Roman" w:cs="Times New Roman" w:eastAsia="Times New Roman" w:hAnsi="Times New Roman"/>
                  <w:sz w:val="18"/>
                  <w:szCs w:val="18"/>
                  <w:color w:val="0000FF"/>
                  <w:w w:val="99"/>
                </w:rPr>
                <w:t>Stock Purchase Agreement, dated May 13, 2024, among Petco Health and Wellness Company, Inc., GSSB Corporation and Scooby</w:t>
              </w:r>
            </w:hyperlink>
          </w:p>
        </w:tc>
        <w:tc>
          <w:tcPr>
            <w:tcW w:w="6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380" w:type="dxa"/>
            <w:vAlign w:val="bottom"/>
            <w:tcBorders>
              <w:bottom w:val="single" w:sz="8" w:color="0000FF"/>
            </w:tcBorders>
            <w:gridSpan w:val="10"/>
          </w:tcPr>
          <w:p>
            <w:pPr>
              <w:spacing w:after="0" w:line="195" w:lineRule="exact"/>
              <w:rPr>
                <w:rFonts w:ascii="Times New Roman" w:cs="Times New Roman" w:eastAsia="Times New Roman" w:hAnsi="Times New Roman"/>
                <w:sz w:val="18"/>
                <w:szCs w:val="18"/>
                <w:color w:val="0000FF"/>
                <w:w w:val="99"/>
              </w:rPr>
            </w:pPr>
            <w:hyperlink r:id="rId245">
              <w:r>
                <w:rPr>
                  <w:rFonts w:ascii="Times New Roman" w:cs="Times New Roman" w:eastAsia="Times New Roman" w:hAnsi="Times New Roman"/>
                  <w:sz w:val="18"/>
                  <w:szCs w:val="18"/>
                  <w:color w:val="0000FF"/>
                  <w:w w:val="99"/>
                </w:rPr>
                <w:t>Aggregator, LP. (incorporated by reference to Exhibit 10.1 of the Company's Current Report on Form 8-K, filed on May 14, 2024)</w:t>
              </w:r>
            </w:hyperlink>
          </w:p>
        </w:tc>
        <w:tc>
          <w:tcPr>
            <w:tcW w:w="7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972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246">
              <w:r>
                <w:rPr>
                  <w:rFonts w:ascii="Times New Roman" w:cs="Times New Roman" w:eastAsia="Times New Roman" w:hAnsi="Times New Roman"/>
                  <w:sz w:val="18"/>
                  <w:szCs w:val="18"/>
                  <w:color w:val="0000FF"/>
                  <w:w w:val="99"/>
                </w:rPr>
                <w:t>Offer Letter, dated May 13, 2024, between Glenn Murphy and Petco Health and Wellness Company, Inc. (incorporated by reference to</w:t>
              </w:r>
            </w:hyperlink>
          </w:p>
        </w:tc>
        <w:tc>
          <w:tcPr>
            <w:tcW w:w="4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60" w:type="dxa"/>
            <w:vAlign w:val="bottom"/>
            <w:tcBorders>
              <w:bottom w:val="single" w:sz="8" w:color="0000FF"/>
            </w:tcBorders>
            <w:gridSpan w:val="8"/>
          </w:tcPr>
          <w:p>
            <w:pPr>
              <w:spacing w:after="0" w:line="195" w:lineRule="exact"/>
              <w:rPr>
                <w:rFonts w:ascii="Times New Roman" w:cs="Times New Roman" w:eastAsia="Times New Roman" w:hAnsi="Times New Roman"/>
                <w:sz w:val="18"/>
                <w:szCs w:val="18"/>
                <w:color w:val="0000FF"/>
                <w:w w:val="99"/>
              </w:rPr>
            </w:pPr>
            <w:hyperlink r:id="rId246">
              <w:r>
                <w:rPr>
                  <w:rFonts w:ascii="Times New Roman" w:cs="Times New Roman" w:eastAsia="Times New Roman" w:hAnsi="Times New Roman"/>
                  <w:sz w:val="18"/>
                  <w:szCs w:val="18"/>
                  <w:color w:val="0000FF"/>
                  <w:w w:val="99"/>
                </w:rPr>
                <w:t>Exhibit 10.2 of the Company's Current Report on Form 8-K, filed on May 14, 2024)</w:t>
              </w:r>
            </w:hyperlink>
          </w:p>
        </w:tc>
        <w:tc>
          <w:tcPr>
            <w:tcW w:w="20" w:type="dxa"/>
            <w:vAlign w:val="bottom"/>
            <w:tcBorders>
              <w:bottom w:val="single" w:sz="8" w:color="0000EE"/>
            </w:tcBorders>
          </w:tcPr>
          <w:p>
            <w:pPr>
              <w:spacing w:after="0"/>
              <w:rPr>
                <w:sz w:val="17"/>
                <w:szCs w:val="17"/>
                <w:color w:val="auto"/>
              </w:rPr>
            </w:pPr>
          </w:p>
        </w:tc>
        <w:tc>
          <w:tcPr>
            <w:tcW w:w="40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98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247">
              <w:r>
                <w:rPr>
                  <w:rFonts w:ascii="Times New Roman" w:cs="Times New Roman" w:eastAsia="Times New Roman" w:hAnsi="Times New Roman"/>
                  <w:sz w:val="18"/>
                  <w:szCs w:val="18"/>
                  <w:color w:val="0000FF"/>
                  <w:w w:val="99"/>
                </w:rPr>
                <w:t>Offer Letter, dated July 17, 2024, between Joel D. Anderson and Petco Health and Wellness Company, Inc. (incorporated by reference to</w:t>
              </w:r>
            </w:hyperlink>
          </w:p>
        </w:tc>
        <w:tc>
          <w:tcPr>
            <w:tcW w:w="2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0"/>
          </w:tcPr>
          <w:p>
            <w:pPr>
              <w:spacing w:after="0" w:line="195"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Exhibit 10.1 of the Company's Current Report on Form 8-K, filed on July 17, 2024)</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5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10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248">
              <w:r>
                <w:rPr>
                  <w:rFonts w:ascii="Times New Roman" w:cs="Times New Roman" w:eastAsia="Times New Roman" w:hAnsi="Times New Roman"/>
                  <w:sz w:val="18"/>
                  <w:szCs w:val="18"/>
                  <w:color w:val="0000FF"/>
                  <w:w w:val="99"/>
                </w:rPr>
                <w:t>First Amendment to Restricted Stock Unit Award and Nonqualified Stock Options, effective July 29, 2024, between R. Michael Mohan and</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tcBorders>
              <w:bottom w:val="single" w:sz="8" w:color="0000FF"/>
            </w:tcBorders>
            <w:gridSpan w:val="17"/>
          </w:tcPr>
          <w:p>
            <w:pPr>
              <w:spacing w:after="0" w:line="195" w:lineRule="exact"/>
              <w:rPr>
                <w:rFonts w:ascii="Times New Roman" w:cs="Times New Roman" w:eastAsia="Times New Roman" w:hAnsi="Times New Roman"/>
                <w:sz w:val="18"/>
                <w:szCs w:val="18"/>
                <w:color w:val="0000FF"/>
                <w:w w:val="99"/>
              </w:rPr>
            </w:pPr>
            <w:hyperlink r:id="rId248">
              <w:r>
                <w:rPr>
                  <w:rFonts w:ascii="Times New Roman" w:cs="Times New Roman" w:eastAsia="Times New Roman" w:hAnsi="Times New Roman"/>
                  <w:sz w:val="18"/>
                  <w:szCs w:val="18"/>
                  <w:color w:val="0000FF"/>
                  <w:w w:val="99"/>
                </w:rPr>
                <w:t>Petco Health and Wellness Company, Inc. (incorporated by reference to Exhibit 10.1 of the Company's Current Report on Form 8-K, filed</w:t>
              </w:r>
            </w:hyperlink>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0"/>
          </w:tcPr>
          <w:p>
            <w:pPr>
              <w:spacing w:after="0" w:line="195"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on August 2, 2024)</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99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Transition and Separation Agreement and General Release of Claims between Petco Animal Supplies Stores, Inc. and Amy College dated</w:t>
            </w:r>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bottom w:val="single" w:sz="8" w:color="0000FF"/>
            </w:tcBorders>
            <w:gridSpan w:val="3"/>
          </w:tcPr>
          <w:p>
            <w:pPr>
              <w:spacing w:after="0" w:line="195" w:lineRule="exact"/>
              <w:rPr>
                <w:sz w:val="20"/>
                <w:szCs w:val="20"/>
                <w:color w:val="auto"/>
              </w:rPr>
            </w:pPr>
            <w:r>
              <w:rPr>
                <w:rFonts w:ascii="Times New Roman" w:cs="Times New Roman" w:eastAsia="Times New Roman" w:hAnsi="Times New Roman"/>
                <w:sz w:val="18"/>
                <w:szCs w:val="18"/>
                <w:color w:val="0000FF"/>
                <w:w w:val="98"/>
              </w:rPr>
              <w:t>June 4, 2024</w:t>
            </w:r>
          </w:p>
        </w:tc>
        <w:tc>
          <w:tcPr>
            <w:tcW w:w="92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96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5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tcBorders>
              <w:bottom w:val="single" w:sz="8" w:color="0000FF"/>
            </w:tcBorders>
            <w:gridSpan w:val="5"/>
          </w:tcPr>
          <w:p>
            <w:pPr>
              <w:spacing w:after="0" w:line="195"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2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95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13a-14(a) and 15d-14(a) under the Securities Exchange Act of 1934, as</w:t>
            </w:r>
          </w:p>
        </w:tc>
        <w:tc>
          <w:tcPr>
            <w:tcW w:w="5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tcBorders>
              <w:bottom w:val="single" w:sz="8" w:color="0000FF"/>
            </w:tcBorders>
            <w:gridSpan w:val="5"/>
          </w:tcPr>
          <w:p>
            <w:pPr>
              <w:spacing w:after="0" w:line="195"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2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100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Sarbanes-Oxley</w:t>
            </w:r>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bottom w:val="single" w:sz="8" w:color="0000FF"/>
            </w:tcBorders>
          </w:tcPr>
          <w:p>
            <w:pPr>
              <w:spacing w:after="0" w:line="195"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bottom w:val="single" w:sz="8" w:color="0000EE"/>
            </w:tcBorders>
          </w:tcPr>
          <w:p>
            <w:pPr>
              <w:spacing w:after="0"/>
              <w:rPr>
                <w:sz w:val="17"/>
                <w:szCs w:val="17"/>
                <w:color w:val="auto"/>
              </w:rPr>
            </w:pPr>
          </w:p>
        </w:tc>
        <w:tc>
          <w:tcPr>
            <w:tcW w:w="92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99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bottom w:val="single" w:sz="8" w:color="0000FF"/>
            </w:tcBorders>
          </w:tcPr>
          <w:p>
            <w:pPr>
              <w:spacing w:after="0" w:line="195"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bottom w:val="single" w:sz="8" w:color="0000EE"/>
            </w:tcBorders>
          </w:tcPr>
          <w:p>
            <w:pPr>
              <w:spacing w:after="0"/>
              <w:rPr>
                <w:sz w:val="17"/>
                <w:szCs w:val="17"/>
                <w:color w:val="auto"/>
              </w:rPr>
            </w:pPr>
          </w:p>
        </w:tc>
        <w:tc>
          <w:tcPr>
            <w:tcW w:w="92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101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458"/>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101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1100" w:hanging="989"/>
        <w:spacing w:after="0"/>
        <w:tabs>
          <w:tab w:leader="none" w:pos="110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26" w:lineRule="exact"/>
        <w:rPr>
          <w:rFonts w:ascii="Times New Roman" w:cs="Times New Roman" w:eastAsia="Times New Roman" w:hAnsi="Times New Roman"/>
          <w:sz w:val="18"/>
          <w:szCs w:val="18"/>
          <w:color w:val="auto"/>
        </w:rPr>
      </w:pPr>
    </w:p>
    <w:p>
      <w:pPr>
        <w:ind w:left="620" w:hanging="599"/>
        <w:spacing w:after="0"/>
        <w:tabs>
          <w:tab w:leader="none" w:pos="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318" w:lineRule="exact"/>
        <w:rPr>
          <w:rFonts w:ascii="Times New Roman" w:cs="Times New Roman" w:eastAsia="Times New Roman" w:hAnsi="Times New Roman"/>
          <w:sz w:val="18"/>
          <w:szCs w:val="18"/>
          <w:color w:val="auto"/>
        </w:rPr>
      </w:pPr>
    </w:p>
    <w:p>
      <w:pPr>
        <w:ind w:right="42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 and not deemed to be “filed” for purposes of Section 18 of the Securities Exchange Act of 1934, as amended, or incorporated by reference into any filing under the Securities Act of 1933, as amended, or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-715010</wp:posOffset>
            </wp:positionV>
            <wp:extent cx="19005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9">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60"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tc>
      </w:tr>
      <w:tr>
        <w:trPr>
          <w:trHeight w:val="47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10, 2024</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200" w:type="dxa"/>
            <w:vAlign w:val="bottom"/>
          </w:tcPr>
          <w:p>
            <w:pPr>
              <w:spacing w:after="0"/>
              <w:rPr>
                <w:sz w:val="24"/>
                <w:szCs w:val="24"/>
                <w:color w:val="auto"/>
              </w:rPr>
            </w:pP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Brian LaRose</w:t>
            </w:r>
          </w:p>
        </w:tc>
      </w:tr>
      <w:tr>
        <w:trPr>
          <w:trHeight w:val="204"/>
        </w:trPr>
        <w:tc>
          <w:tcPr>
            <w:tcW w:w="37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4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Brian LaRose</w:t>
            </w:r>
          </w:p>
        </w:tc>
      </w:tr>
      <w:tr>
        <w:trPr>
          <w:trHeight w:val="216"/>
        </w:trPr>
        <w:tc>
          <w:tcPr>
            <w:tcW w:w="37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7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31" w:name="page32"/>
    <w:bookmarkEnd w:id="31"/>
    <w:p>
      <w:pPr>
        <w:ind w:left="9880"/>
        <w:spacing w:after="0"/>
        <w:rPr>
          <w:sz w:val="20"/>
          <w:szCs w:val="20"/>
          <w:color w:val="auto"/>
        </w:rPr>
      </w:pPr>
      <w:r>
        <w:rPr>
          <w:rFonts w:ascii="Times New Roman" w:cs="Times New Roman" w:eastAsia="Times New Roman" w:hAnsi="Times New Roman"/>
          <w:sz w:val="20"/>
          <w:szCs w:val="20"/>
          <w:b w:val="1"/>
          <w:bCs w:val="1"/>
          <w:color w:val="auto"/>
        </w:rPr>
        <w:t>EXHIBIT 10.5</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TRANSITION AND SEPARATION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AND GENERAL RELEASE OF CLAIMS</w:t>
      </w:r>
    </w:p>
    <w:p>
      <w:pPr>
        <w:spacing w:after="0" w:line="193"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This TRANSITION AND SEPARATION AGREEMENT AND GENERAL RELEASE OF CLAIMS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entered into by and among Petco Animal Supplies Stores,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Amy College (“</w:t>
      </w:r>
      <w:r>
        <w:rPr>
          <w:rFonts w:ascii="Times New Roman" w:cs="Times New Roman" w:eastAsia="Times New Roman" w:hAnsi="Times New Roman"/>
          <w:sz w:val="20"/>
          <w:szCs w:val="20"/>
          <w:u w:val="single" w:color="auto"/>
          <w:color w:val="auto"/>
        </w:rPr>
        <w:t>Executive</w:t>
      </w:r>
      <w:r>
        <w:rPr>
          <w:rFonts w:ascii="Times New Roman" w:cs="Times New Roman" w:eastAsia="Times New Roman" w:hAnsi="Times New Roman"/>
          <w:sz w:val="20"/>
          <w:szCs w:val="20"/>
          <w:color w:val="auto"/>
        </w:rPr>
        <w:t>”). Executive and the Company are each referred to herein as a “</w:t>
      </w:r>
      <w:r>
        <w:rPr>
          <w:rFonts w:ascii="Times New Roman" w:cs="Times New Roman" w:eastAsia="Times New Roman" w:hAnsi="Times New Roman"/>
          <w:sz w:val="20"/>
          <w:szCs w:val="20"/>
          <w:u w:val="single" w:color="auto"/>
          <w:color w:val="auto"/>
        </w:rPr>
        <w:t>Party</w:t>
      </w:r>
      <w:r>
        <w:rPr>
          <w:rFonts w:ascii="Times New Roman" w:cs="Times New Roman" w:eastAsia="Times New Roman" w:hAnsi="Times New Roman"/>
          <w:sz w:val="20"/>
          <w:szCs w:val="20"/>
          <w:color w:val="auto"/>
        </w:rPr>
        <w:t>” and collectively as the “</w:t>
      </w:r>
      <w:r>
        <w:rPr>
          <w:rFonts w:ascii="Times New Roman" w:cs="Times New Roman" w:eastAsia="Times New Roman" w:hAnsi="Times New Roman"/>
          <w:sz w:val="20"/>
          <w:szCs w:val="20"/>
          <w:u w:val="single" w:color="auto"/>
          <w:color w:val="auto"/>
        </w:rPr>
        <w:t>Parties</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20"/>
          <w:szCs w:val="20"/>
          <w:color w:val="auto"/>
        </w:rPr>
        <w:t>WHEREAS, Executive’s employment with the Company will terminate effective as of August 17, 2024, unless earlier terminated in accordance with the terms hereof (such actual date of termination, the “</w:t>
      </w:r>
      <w:r>
        <w:rPr>
          <w:rFonts w:ascii="Times New Roman" w:cs="Times New Roman" w:eastAsia="Times New Roman" w:hAnsi="Times New Roman"/>
          <w:sz w:val="20"/>
          <w:szCs w:val="20"/>
          <w:u w:val="single" w:color="auto"/>
          <w:color w:val="auto"/>
        </w:rPr>
        <w:t>Separation Date</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WHEREAS, Executive and the Company are parties to an employment offer letter dated February 16, 2022 (the “</w:t>
      </w:r>
      <w:r>
        <w:rPr>
          <w:rFonts w:ascii="Times New Roman" w:cs="Times New Roman" w:eastAsia="Times New Roman" w:hAnsi="Times New Roman"/>
          <w:sz w:val="20"/>
          <w:szCs w:val="20"/>
          <w:u w:val="single" w:color="auto"/>
          <w:color w:val="auto"/>
        </w:rPr>
        <w:t>Offer Letter</w:t>
      </w:r>
      <w:r>
        <w:rPr>
          <w:rFonts w:ascii="Times New Roman" w:cs="Times New Roman" w:eastAsia="Times New Roman" w:hAnsi="Times New Roman"/>
          <w:sz w:val="20"/>
          <w:szCs w:val="20"/>
          <w:color w:val="auto"/>
        </w:rPr>
        <w:t>”) and Executive is a participant in the Petco Health and Wellness Company, Inc. Executive Severance Plan (the “</w:t>
      </w:r>
      <w:r>
        <w:rPr>
          <w:rFonts w:ascii="Times New Roman" w:cs="Times New Roman" w:eastAsia="Times New Roman" w:hAnsi="Times New Roman"/>
          <w:sz w:val="20"/>
          <w:szCs w:val="20"/>
          <w:u w:val="single" w:color="auto"/>
          <w:color w:val="auto"/>
        </w:rPr>
        <w:t>Severance Plan</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WHEREAS, the Company wishes to provide Executive with certain separation benefits, which are conditioned upon Executive’s execution, delivery and non-revocation of this Agreement and the Confirming Release (as defined below); and</w:t>
      </w:r>
    </w:p>
    <w:p>
      <w:pPr>
        <w:spacing w:after="0" w:line="161" w:lineRule="exact"/>
        <w:rPr>
          <w:sz w:val="20"/>
          <w:szCs w:val="20"/>
          <w:color w:val="auto"/>
        </w:rPr>
      </w:pPr>
    </w:p>
    <w:p>
      <w:pPr>
        <w:jc w:val="both"/>
        <w:ind w:right="20" w:firstLine="749"/>
        <w:spacing w:after="0" w:line="253" w:lineRule="auto"/>
        <w:rPr>
          <w:sz w:val="20"/>
          <w:szCs w:val="20"/>
          <w:color w:val="auto"/>
        </w:rPr>
      </w:pPr>
      <w:r>
        <w:rPr>
          <w:rFonts w:ascii="Times New Roman" w:cs="Times New Roman" w:eastAsia="Times New Roman" w:hAnsi="Times New Roman"/>
          <w:sz w:val="20"/>
          <w:szCs w:val="20"/>
          <w:color w:val="auto"/>
        </w:rPr>
        <w:t>WHEREAS, the Parties wish to resolve any and all claims that Executive has or may have against the Company and the other Company Parties (as defined below), including any claims that Executive has or may have arising from or relating to Executive’s employment, or the end of Executive’s employment, with any Company Party.</w:t>
      </w:r>
    </w:p>
    <w:p>
      <w:pPr>
        <w:spacing w:after="0" w:line="176"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NOW, THEREFORE, in consideration of the promises set forth herein, and for other good and valuable consideration, the receipt and sufficiency of which are hereby acknowledged by Executive and the Company, the Parties, intending to be legally bound, hereby agree as follows:</w:t>
      </w:r>
    </w:p>
    <w:p>
      <w:pPr>
        <w:spacing w:after="0" w:line="176"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Transition; Separation from Employment</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u w:val="single" w:color="auto"/>
          <w:color w:val="auto"/>
        </w:rPr>
      </w:pPr>
    </w:p>
    <w:p>
      <w:pPr>
        <w:jc w:val="both"/>
        <w:ind w:firstLine="757"/>
        <w:spacing w:after="0" w:line="243" w:lineRule="auto"/>
        <w:tabs>
          <w:tab w:leader="none" w:pos="1018"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Between May 28, 2024 (the “</w:t>
      </w:r>
      <w:r>
        <w:rPr>
          <w:rFonts w:ascii="Times New Roman" w:cs="Times New Roman" w:eastAsia="Times New Roman" w:hAnsi="Times New Roman"/>
          <w:sz w:val="20"/>
          <w:szCs w:val="20"/>
          <w:u w:val="single" w:color="auto"/>
          <w:color w:val="auto"/>
        </w:rPr>
        <w:t>Transition Date</w:t>
      </w:r>
      <w:r>
        <w:rPr>
          <w:rFonts w:ascii="Times New Roman" w:cs="Times New Roman" w:eastAsia="Times New Roman" w:hAnsi="Times New Roman"/>
          <w:sz w:val="20"/>
          <w:szCs w:val="20"/>
          <w:color w:val="auto"/>
        </w:rPr>
        <w:t>”) and the Separation Date (the “</w:t>
      </w:r>
      <w:r>
        <w:rPr>
          <w:rFonts w:ascii="Times New Roman" w:cs="Times New Roman" w:eastAsia="Times New Roman" w:hAnsi="Times New Roman"/>
          <w:sz w:val="20"/>
          <w:szCs w:val="20"/>
          <w:u w:val="single" w:color="auto"/>
          <w:color w:val="auto"/>
        </w:rPr>
        <w:t>Transition Period</w:t>
      </w:r>
      <w:r>
        <w:rPr>
          <w:rFonts w:ascii="Times New Roman" w:cs="Times New Roman" w:eastAsia="Times New Roman" w:hAnsi="Times New Roman"/>
          <w:sz w:val="20"/>
          <w:szCs w:val="20"/>
          <w:color w:val="auto"/>
        </w:rPr>
        <w:t>”), Executive shall (i) remain employed by the Company as a full-time employee and receive the same salary and benefits as in effect on the date hereof, (ii) continue to faithfully and efficiently perform certain of Executive’s duties, as may be modified or requested by the Company, (iii) remain available during regular business hours to address communication requests, and (iv) provide any transition services as reasonably requested by the Company’s Chief Executive Officer or Executive Chairman. Effective as of 11:59 p.m. CT on the Transition Date, Executive hereby resigns</w:t>
      </w:r>
    </w:p>
    <w:p>
      <w:pPr>
        <w:spacing w:after="0" w:line="3" w:lineRule="exact"/>
        <w:rPr>
          <w:rFonts w:ascii="Times New Roman" w:cs="Times New Roman" w:eastAsia="Times New Roman" w:hAnsi="Times New Roman"/>
          <w:sz w:val="20"/>
          <w:szCs w:val="20"/>
          <w:color w:val="auto"/>
        </w:rPr>
      </w:pPr>
    </w:p>
    <w:p>
      <w:pPr>
        <w:jc w:val="both"/>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as an officer of the Company and its affiliates (as applicable) and (B) from the board of managers, board of directors or similar governing body of each of the Company and its affiliates (as applicable) and any other corporation, limited liability company, trade organization, or other entity in which the Company or any of its affiliates holds an equity interest or with respect to which board or similar governing body Executive serves as the designee or other representative of the Company or any of its affiliates. For the avoidance of doubt, as of the Transition Date, Executive shall no longer hold herself out as an officer of the Company or other representative capable of binding the Company in any manner.</w:t>
      </w:r>
    </w:p>
    <w:p>
      <w:pPr>
        <w:spacing w:after="0" w:line="189" w:lineRule="exact"/>
        <w:rPr>
          <w:rFonts w:ascii="Times New Roman" w:cs="Times New Roman" w:eastAsia="Times New Roman" w:hAnsi="Times New Roman"/>
          <w:sz w:val="20"/>
          <w:szCs w:val="20"/>
          <w:color w:val="auto"/>
        </w:rPr>
      </w:pPr>
    </w:p>
    <w:p>
      <w:pPr>
        <w:jc w:val="both"/>
        <w:ind w:firstLine="757"/>
        <w:spacing w:after="0" w:line="259" w:lineRule="auto"/>
        <w:tabs>
          <w:tab w:leader="none" w:pos="1018" w:val="left"/>
        </w:tabs>
        <w:numPr>
          <w:ilvl w:val="1"/>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and Executive acknowledge and agree that Executive’s employment with the Company will end as of the Separation Date. As of the Separation Date, Executive will no longer be employed by the Company or any other Company Party. Notwithstanding anything herein to the contrary, Executive’s employment with the Company may end prior to August 17, 2024 as a result of</w:t>
      </w:r>
    </w:p>
    <w:p>
      <w:pPr>
        <w:spacing w:after="0" w:line="2"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 Executive’s resignation, (ii) the Company’s termination of Executive’s employment for Cause (as defined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877570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32" w:name="page33"/>
    <w:bookmarkEnd w:id="32"/>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Severance Plan), or (iii) Executive’s death or Disability (as defined in the Severance Plan). In the event of such earlier termination of employment, the Separation Date shall be the actual date of such termination; provided, however, that if such earlier termination occurs as a result of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Executive shall no longer be eligible to receive the payments and benefits set forth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both"/>
        <w:ind w:firstLine="8"/>
        <w:spacing w:after="0" w:line="243" w:lineRule="auto"/>
        <w:tabs>
          <w:tab w:leader="none" w:pos="509" w:val="left"/>
        </w:tabs>
        <w:numPr>
          <w:ilvl w:val="0"/>
          <w:numId w:val="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Separation Payments and Benefits</w:t>
      </w:r>
      <w:r>
        <w:rPr>
          <w:rFonts w:ascii="Times New Roman" w:cs="Times New Roman" w:eastAsia="Times New Roman" w:hAnsi="Times New Roman"/>
          <w:sz w:val="20"/>
          <w:szCs w:val="20"/>
          <w:color w:val="auto"/>
        </w:rPr>
        <w:t xml:space="preserve">. Provided that Executive: (x) executes this Agreement on or after the Transition Date and returns a copy of this Agreement that has been executed by Executive to the Company so that it is received by Giovanni Insana, Chief Legal Officer and Secretary, 10850 Via Frontera, San Diego, California 92127 (email: Giovanni.Insana@petco.com) by no later than 5:00 pm CT on June 4, 2024 (which is at least seven days following the date this Agreement was provided to Executive); (y) as set forth in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executes and returns to the Company a copy of the Confirming Release Agreement that is attached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Confirming Release</w:t>
      </w:r>
      <w:r>
        <w:rPr>
          <w:rFonts w:ascii="Times New Roman" w:cs="Times New Roman" w:eastAsia="Times New Roman" w:hAnsi="Times New Roman"/>
          <w:sz w:val="20"/>
          <w:szCs w:val="20"/>
          <w:color w:val="auto"/>
        </w:rPr>
        <w:t xml:space="preserve">”) on the Separation Date and does not revoke the Confirming Release pursuant to the terms of the Confirming Release; and (z) remains in compliance with the other terms and conditions set forth in this Agreement (including </w:t>
      </w:r>
      <w:r>
        <w:rPr>
          <w:rFonts w:ascii="Times New Roman" w:cs="Times New Roman" w:eastAsia="Times New Roman" w:hAnsi="Times New Roman"/>
          <w:sz w:val="20"/>
          <w:szCs w:val="20"/>
          <w:u w:val="single" w:color="auto"/>
          <w:color w:val="auto"/>
        </w:rPr>
        <w:t>Sections 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w:t>
      </w:r>
      <w:r>
        <w:rPr>
          <w:rFonts w:ascii="Times New Roman" w:cs="Times New Roman" w:eastAsia="Times New Roman" w:hAnsi="Times New Roman"/>
          <w:sz w:val="20"/>
          <w:szCs w:val="20"/>
          <w:color w:val="auto"/>
        </w:rPr>
        <w:t>), Executive shall be provided with the following separation payments and benefits:</w:t>
      </w:r>
    </w:p>
    <w:p>
      <w:pPr>
        <w:spacing w:after="0" w:line="186" w:lineRule="exact"/>
        <w:rPr>
          <w:rFonts w:ascii="Times New Roman" w:cs="Times New Roman" w:eastAsia="Times New Roman" w:hAnsi="Times New Roman"/>
          <w:sz w:val="20"/>
          <w:szCs w:val="20"/>
          <w:u w:val="single" w:color="auto"/>
          <w:color w:val="auto"/>
        </w:rPr>
      </w:pPr>
    </w:p>
    <w:p>
      <w:pPr>
        <w:jc w:val="both"/>
        <w:ind w:firstLine="757"/>
        <w:spacing w:after="0" w:line="249" w:lineRule="auto"/>
        <w:tabs>
          <w:tab w:leader="none" w:pos="1018"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pay to Executive a lump sum cash payment of $640,605.48, representing 12 months of Executive’s base salary and 12 months of monthly premiums for Executive’s and Executive’s covered dependents’ participation in the Company’s group health plans pursuant to COBRA (as defined in the Severance Plan), payable within 30 days following the expiration of the Release Revocation Period (as defined in the Confirming Release);</w:t>
      </w:r>
    </w:p>
    <w:p>
      <w:pPr>
        <w:spacing w:after="0" w:line="178"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pay to Executive a pro rata portion of the actual annual incentive that Executive would have earned for the 2024 fiscal year, based on the number of days Executive is employed during such fiscal year, payable on the date when annual incentives under the applicable incentive plan are otherwise paid during 2025, with any individual performance metrics calculated based on the average calculated payout percentage for all participants in such annual incentive plan, rounded to the nearest whole percentage point; and</w:t>
      </w:r>
    </w:p>
    <w:p>
      <w:pPr>
        <w:spacing w:after="0" w:line="178" w:lineRule="exact"/>
        <w:rPr>
          <w:rFonts w:ascii="Times New Roman" w:cs="Times New Roman" w:eastAsia="Times New Roman" w:hAnsi="Times New Roman"/>
          <w:sz w:val="20"/>
          <w:szCs w:val="20"/>
          <w:color w:val="auto"/>
        </w:rPr>
      </w:pPr>
    </w:p>
    <w:p>
      <w:pPr>
        <w:jc w:val="both"/>
        <w:ind w:firstLine="757"/>
        <w:spacing w:after="0" w:line="253" w:lineRule="auto"/>
        <w:tabs>
          <w:tab w:leader="none" w:pos="1018"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the terms of that certain Retention Bonus Agreement, dated May 1, 2024 between the Company and Executive (the “</w:t>
      </w:r>
      <w:r>
        <w:rPr>
          <w:rFonts w:ascii="Times New Roman" w:cs="Times New Roman" w:eastAsia="Times New Roman" w:hAnsi="Times New Roman"/>
          <w:sz w:val="20"/>
          <w:szCs w:val="20"/>
          <w:u w:val="single" w:color="auto"/>
          <w:color w:val="auto"/>
        </w:rPr>
        <w:t>Retention Bonus Agreement</w:t>
      </w:r>
      <w:r>
        <w:rPr>
          <w:rFonts w:ascii="Times New Roman" w:cs="Times New Roman" w:eastAsia="Times New Roman" w:hAnsi="Times New Roman"/>
          <w:sz w:val="20"/>
          <w:szCs w:val="20"/>
          <w:color w:val="auto"/>
        </w:rPr>
        <w:t>”), the Company shall pay to Executive a prorated Retention Bonus (as defined in the Retention Bonus Agreement) of $26,229.51, payable within 30 days following the expiration of the Release Revocation Period.</w:t>
      </w:r>
    </w:p>
    <w:p>
      <w:pPr>
        <w:spacing w:after="0" w:line="17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Executive acknowledges and agrees that the consideration referenced in this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represents the entirety of the amounts Executive is eligible to receive as severance pay and benefits from the Company or any other Company Party, including under the Offer Letter and the Severance Plan. Executive further acknowledges that as of the Separation Date: (i) all Common Series C Units in Scooby LP (“</w:t>
      </w:r>
      <w:r>
        <w:rPr>
          <w:rFonts w:ascii="Times New Roman" w:cs="Times New Roman" w:eastAsia="Times New Roman" w:hAnsi="Times New Roman"/>
          <w:sz w:val="20"/>
          <w:szCs w:val="20"/>
          <w:u w:val="single" w:color="auto"/>
          <w:color w:val="auto"/>
        </w:rPr>
        <w:t>Scooby</w:t>
      </w:r>
      <w:r>
        <w:rPr>
          <w:rFonts w:ascii="Times New Roman" w:cs="Times New Roman" w:eastAsia="Times New Roman" w:hAnsi="Times New Roman"/>
          <w:sz w:val="20"/>
          <w:szCs w:val="20"/>
          <w:color w:val="auto"/>
        </w:rPr>
        <w:t xml:space="preserve">”) which remain unvested shall be forfeited upon the Separation Date for no consideration, and Executive shall have no rights with respect thereto; and (ii) Executive will automatically forfeit any and all unvested restricted stock units, performance stock units and stock options and any unvested Retention Bonus (after giving effect to </w:t>
      </w:r>
      <w:r>
        <w:rPr>
          <w:rFonts w:ascii="Times New Roman" w:cs="Times New Roman" w:eastAsia="Times New Roman" w:hAnsi="Times New Roman"/>
          <w:sz w:val="20"/>
          <w:szCs w:val="20"/>
          <w:u w:val="single" w:color="auto"/>
          <w:color w:val="auto"/>
        </w:rPr>
        <w:t>Section 2(c)</w:t>
      </w:r>
      <w:r>
        <w:rPr>
          <w:rFonts w:ascii="Times New Roman" w:cs="Times New Roman" w:eastAsia="Times New Roman" w:hAnsi="Times New Roman"/>
          <w:sz w:val="20"/>
          <w:szCs w:val="20"/>
          <w:color w:val="auto"/>
        </w:rPr>
        <w:t>), in each case, granted under the Petco Health and Wellness Company, Inc. 2021 Equity Incentive Plan, as amended, and such awards shall terminate automatically and without any further action by the Company and at no cost to the Company.</w:t>
      </w:r>
    </w:p>
    <w:p>
      <w:pPr>
        <w:spacing w:after="0" w:line="187"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Release of Liability for Claims</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u w:val="single" w:color="auto"/>
          <w:color w:val="auto"/>
        </w:rPr>
      </w:pPr>
    </w:p>
    <w:p>
      <w:pPr>
        <w:jc w:val="both"/>
        <w:ind w:firstLine="757"/>
        <w:spacing w:after="0" w:line="253" w:lineRule="auto"/>
        <w:tabs>
          <w:tab w:leader="none" w:pos="1018"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good and valuable consideration, including the consideration set forth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(and any portion thereof), Executive knowingly and voluntarily (for Executive, Executive’s family, and Executive’s heirs, executors, administrators and assigns) hereby releases and forever discharges the Company, Scooby, Petco Health and Wellness Company, Inc. (collectively, the “</w:t>
      </w:r>
      <w:r>
        <w:rPr>
          <w:rFonts w:ascii="Times New Roman" w:cs="Times New Roman" w:eastAsia="Times New Roman" w:hAnsi="Times New Roman"/>
          <w:sz w:val="20"/>
          <w:szCs w:val="20"/>
          <w:u w:val="single" w:color="auto"/>
          <w:color w:val="auto"/>
        </w:rPr>
        <w:t>Petco Affiliated Entities</w:t>
      </w:r>
      <w:r>
        <w:rPr>
          <w:rFonts w:ascii="Times New Roman" w:cs="Times New Roman" w:eastAsia="Times New Roman" w:hAnsi="Times New Roman"/>
          <w:sz w:val="20"/>
          <w:szCs w:val="20"/>
          <w:color w:val="auto"/>
        </w:rPr>
        <w:t>”)</w:t>
      </w:r>
    </w:p>
    <w:p>
      <w:pPr>
        <w:spacing w:after="0" w:line="3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and their respective affiliates, predecessors, successors, subsidiaries and benefit plans, and the foregoing entities’ respective equity-holders, officers, directors, managers, members, partners, Executives, agents, representatives, and other affiliated persons, and the Company’s and its affiliates’ benefit plans (and the fiduciaries and trustees of such plans) (collectively, the “</w:t>
      </w:r>
      <w:r>
        <w:rPr>
          <w:rFonts w:ascii="Times New Roman" w:cs="Times New Roman" w:eastAsia="Times New Roman" w:hAnsi="Times New Roman"/>
          <w:sz w:val="19"/>
          <w:szCs w:val="19"/>
          <w:u w:val="single" w:color="auto"/>
          <w:color w:val="auto"/>
        </w:rPr>
        <w:t>Company Parties</w:t>
      </w:r>
      <w:r>
        <w:rPr>
          <w:rFonts w:ascii="Times New Roman" w:cs="Times New Roman" w:eastAsia="Times New Roman" w:hAnsi="Times New Roman"/>
          <w:sz w:val="19"/>
          <w:szCs w:val="19"/>
          <w:color w:val="auto"/>
        </w:rPr>
        <w:t>”), from liability for, and Executive hereby waives, any and all claims, damages, or causes of action of any kind related to Executive’s ownership of any interest in any Company Party, Executive’s employment with any Company Party, the termination of such employment, and any other acts or omissions related to any matter occurring on or prior to the date that Executive executes this Agreement, including: (i) any alleged violation through such time of: (A) any federal, state or local anti-discrimination, anti-harassment or anti-retaliation law, regulation or ordinance, including Title VII of the Civil Rights Act of 1964, the Civil Rights Act of 1991, Sections 1981 through 1988 of Title 42 of the United States Code and the Americans with Disabilities Act of 1990, as amended; (B) the Employee Retirement Income Security Act of 1974 (“</w:t>
      </w:r>
      <w:r>
        <w:rPr>
          <w:rFonts w:ascii="Times New Roman" w:cs="Times New Roman" w:eastAsia="Times New Roman" w:hAnsi="Times New Roman"/>
          <w:sz w:val="19"/>
          <w:szCs w:val="19"/>
          <w:u w:val="single" w:color="auto"/>
          <w:color w:val="auto"/>
        </w:rPr>
        <w:t>ERISA</w:t>
      </w:r>
      <w:r>
        <w:rPr>
          <w:rFonts w:ascii="Times New Roman" w:cs="Times New Roman" w:eastAsia="Times New Roman" w:hAnsi="Times New Roman"/>
          <w:sz w:val="19"/>
          <w:szCs w:val="19"/>
          <w:color w:val="auto"/>
        </w:rPr>
        <w:t>”); (C) the Immigration Reform Control Act; (D) the National Labor Relations Act; (E) the Occupational Safety and Health Act; (F) the Family and Medical Leave Act of 1993; (G) the California Pregnancy Disability Leave law, the California Family Rights Act, the Healthy Workplace Healthy Family Act of 2014, the California Labor Code, the Private Attorneys’ General Act (Labor Code§ 2698 et seq.), any Wage Orders issued by the California Industrial Welfare Commission and the California Business and Professionals Code; the Minnesota Equal Pay for Equal Work Law, the Minnesota Termination of Sales Representatives Act, the Minnesota Whistleblower Act, the Minnesota Whistleblower Protection Laws, the Minnesota Parental Leave Act, other claims allowed under Minnesota Statute Chapter 181; (H) any federal, state or local wage and hour law;</w:t>
      </w:r>
    </w:p>
    <w:p>
      <w:pPr>
        <w:spacing w:after="0" w:line="6" w:lineRule="exact"/>
        <w:rPr>
          <w:sz w:val="20"/>
          <w:szCs w:val="20"/>
          <w:color w:val="auto"/>
        </w:rPr>
      </w:pPr>
    </w:p>
    <w:p>
      <w:pPr>
        <w:jc w:val="both"/>
        <w:ind w:firstLine="8"/>
        <w:spacing w:after="0" w:line="239" w:lineRule="auto"/>
        <w:tabs>
          <w:tab w:leader="none" w:pos="252"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local, state or federal law, regulation or ordinance; or (J) any public policy, contract, tort, or common law claim; (ii) any and all rights, benefits or claims Executive may have under any employment contract, incentive compensation plan or equity-based plan with any Company Party or to any ownership interest in any Company Party (including the Offer Letter, the Severance Plan and the Award Agreements); (iii) any claim for compensation or benefits of any kind not expressly set forth in this Agreement; and (iv) any allegation for costs, fees, or other expenses including attorneys’ fees incurred in or with respect to any of the foregoing (collectively, the “</w:t>
      </w:r>
      <w:r>
        <w:rPr>
          <w:rFonts w:ascii="Times New Roman" w:cs="Times New Roman" w:eastAsia="Times New Roman" w:hAnsi="Times New Roman"/>
          <w:sz w:val="20"/>
          <w:szCs w:val="20"/>
          <w:u w:val="single" w:color="auto"/>
          <w:color w:val="auto"/>
        </w:rPr>
        <w:t>Released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Claims</w:t>
      </w:r>
      <w:r>
        <w:rPr>
          <w:rFonts w:ascii="Times New Roman" w:cs="Times New Roman" w:eastAsia="Times New Roman" w:hAnsi="Times New Roman"/>
          <w:sz w:val="20"/>
          <w:szCs w:val="20"/>
          <w:color w:val="auto"/>
        </w:rPr>
        <w:t xml:space="preserve">”). This Agreement is not intended to indicate that any such claims exist or that, if they do exist, they are meritorious. Rather, Executive is simply agreeing that, in exchange for any consideration received by Executive pursuant to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any and all potential claims of this nature that Executive may have against the Company Parties, regardless of whether they actually exist, are expressly settled, compromised and waived. </w:t>
      </w:r>
      <w:r>
        <w:rPr>
          <w:rFonts w:ascii="Times New Roman" w:cs="Times New Roman" w:eastAsia="Times New Roman" w:hAnsi="Times New Roman"/>
          <w:sz w:val="20"/>
          <w:szCs w:val="20"/>
          <w:b w:val="1"/>
          <w:bCs w:val="1"/>
          <w:color w:val="auto"/>
        </w:rPr>
        <w:t>THIS RELEASE INCLUDES MATTERS ATTRIBUTABLE TO THE SOLE OR PARTIAL</w:t>
      </w:r>
    </w:p>
    <w:p>
      <w:pPr>
        <w:spacing w:after="0" w:line="1" w:lineRule="exact"/>
        <w:rPr>
          <w:rFonts w:ascii="Times New Roman" w:cs="Times New Roman" w:eastAsia="Times New Roman" w:hAnsi="Times New Roman"/>
          <w:sz w:val="20"/>
          <w:szCs w:val="20"/>
          <w:color w:val="auto"/>
        </w:rPr>
      </w:pPr>
    </w:p>
    <w:p>
      <w:pPr>
        <w:spacing w:after="0" w:line="24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NEGLIGENCE (WHETHER GROSS OR SIMPLE) OR OTHER FAULT, INCLUDING STRICT LIABILITY, OF ANY OF THE COMPANY PARTIES.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(b) Section 1542 of the Civil Code of the State of California (“</w:t>
      </w:r>
      <w:r>
        <w:rPr>
          <w:rFonts w:ascii="Times New Roman" w:cs="Times New Roman" w:eastAsia="Times New Roman" w:hAnsi="Times New Roman"/>
          <w:sz w:val="20"/>
          <w:szCs w:val="20"/>
          <w:u w:val="single" w:color="auto"/>
          <w:color w:val="auto"/>
        </w:rPr>
        <w:t>Section 1542</w:t>
      </w:r>
      <w:r>
        <w:rPr>
          <w:rFonts w:ascii="Times New Roman" w:cs="Times New Roman" w:eastAsia="Times New Roman" w:hAnsi="Times New Roman"/>
          <w:sz w:val="20"/>
          <w:szCs w:val="20"/>
          <w:color w:val="auto"/>
        </w:rPr>
        <w:t>”) provides:</w:t>
      </w:r>
    </w:p>
    <w:p>
      <w:pPr>
        <w:spacing w:after="0" w:line="215" w:lineRule="exact"/>
        <w:rPr>
          <w:sz w:val="20"/>
          <w:szCs w:val="20"/>
          <w:color w:val="auto"/>
        </w:rPr>
      </w:pPr>
    </w:p>
    <w:p>
      <w:pPr>
        <w:jc w:val="both"/>
        <w:ind w:left="760" w:right="740"/>
        <w:spacing w:after="0" w:line="249" w:lineRule="auto"/>
        <w:rPr>
          <w:sz w:val="20"/>
          <w:szCs w:val="20"/>
          <w:color w:val="auto"/>
        </w:rPr>
      </w:pPr>
      <w:r>
        <w:rPr>
          <w:rFonts w:ascii="Times New Roman" w:cs="Times New Roman" w:eastAsia="Times New Roman" w:hAnsi="Times New Roman"/>
          <w:sz w:val="20"/>
          <w:szCs w:val="20"/>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Executive waives all rights under Section 1542 or any other law or statute of similar effect in any jurisdiction with respect to the Released Claims. Executive acknowledges that Executive understands the significance and specifically assumes the risk regarding the consequences of such release and such specific waiver of Section 1542.</w:t>
      </w:r>
    </w:p>
    <w:p>
      <w:pPr>
        <w:spacing w:after="0" w:line="176" w:lineRule="exact"/>
        <w:rPr>
          <w:sz w:val="20"/>
          <w:szCs w:val="20"/>
          <w:color w:val="auto"/>
        </w:rPr>
      </w:pPr>
    </w:p>
    <w:p>
      <w:pPr>
        <w:jc w:val="both"/>
        <w:ind w:firstLine="757"/>
        <w:spacing w:after="0" w:line="263" w:lineRule="auto"/>
        <w:tabs>
          <w:tab w:leader="none" w:pos="1018" w:val="left"/>
        </w:tabs>
        <w:numPr>
          <w:ilvl w:val="1"/>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For the avoidance of doubt, nothing in this Agreement releases Executive’s rights to receive payments or benefits pursuant to </w:t>
      </w:r>
      <w:r>
        <w:rPr>
          <w:rFonts w:ascii="Times New Roman" w:cs="Times New Roman" w:eastAsia="Times New Roman" w:hAnsi="Times New Roman"/>
          <w:sz w:val="19"/>
          <w:szCs w:val="19"/>
          <w:u w:val="single" w:color="auto"/>
          <w:color w:val="auto"/>
        </w:rPr>
        <w:t>Section 2</w:t>
      </w:r>
      <w:r>
        <w:rPr>
          <w:rFonts w:ascii="Times New Roman" w:cs="Times New Roman" w:eastAsia="Times New Roman" w:hAnsi="Times New Roman"/>
          <w:sz w:val="19"/>
          <w:szCs w:val="19"/>
          <w:color w:val="auto"/>
        </w:rPr>
        <w:t>. Further, in no event shall the Released Claims include: (i) any claim that arises after the date that Executive signs this Agreement;</w:t>
      </w:r>
    </w:p>
    <w:p>
      <w:pPr>
        <w:spacing w:after="0" w:line="1" w:lineRule="exact"/>
        <w:rPr>
          <w:rFonts w:ascii="Times New Roman" w:cs="Times New Roman" w:eastAsia="Times New Roman" w:hAnsi="Times New Roman"/>
          <w:sz w:val="19"/>
          <w:szCs w:val="19"/>
          <w:color w:val="auto"/>
        </w:rPr>
      </w:pPr>
    </w:p>
    <w:p>
      <w:pPr>
        <w:ind w:left="300" w:hanging="292"/>
        <w:spacing w:after="0"/>
        <w:tabs>
          <w:tab w:leader="none" w:pos="3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claim to unemployment</w:t>
      </w:r>
    </w:p>
    <w:p>
      <w:pPr>
        <w:spacing w:after="0" w:line="3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benefits, worker’s compensation or vested benefits under an employee benefit plan that is subject to ERISA; (iii) any claim for breach of, or otherwise arising out of, this Agreement; or (iv) any claim that relates to any rights of indemnification afforded Executive by statute or common law, including any insurance coverage maintained by or on behalf of the Company. Further notwithstanding this release of liability, nothing in this Agreement prevents Executive from filing any non-legally waivable claim (including a challenge to the validity of this Agreement) with the Equal Employment Opportunity Commission (“</w:t>
      </w:r>
      <w:r>
        <w:rPr>
          <w:rFonts w:ascii="Times New Roman" w:cs="Times New Roman" w:eastAsia="Times New Roman" w:hAnsi="Times New Roman"/>
          <w:sz w:val="19"/>
          <w:szCs w:val="19"/>
          <w:u w:val="single" w:color="auto"/>
          <w:color w:val="auto"/>
        </w:rPr>
        <w:t>EEOC</w:t>
      </w:r>
      <w:r>
        <w:rPr>
          <w:rFonts w:ascii="Times New Roman" w:cs="Times New Roman" w:eastAsia="Times New Roman" w:hAnsi="Times New Roman"/>
          <w:sz w:val="19"/>
          <w:szCs w:val="19"/>
          <w:color w:val="auto"/>
        </w:rPr>
        <w:t>”) or comparable state or local agency or participating in (or cooperating with) any investigation or proceeding conducted by the EEOC or comparable state or local agency or cooperating in any such investigation or proceeding; however, Executive understands and agrees that Executive is waiving any and all rights to recover any monetary or personal relief from a Company Party as a result of such EEOC or comparable state or local agency or proceeding or subsequent legal actions. Further, nothing in this Agreement prohibits or restricts Executive from (A) filing a charge or complaint with, or cooperating in any investigation with, the Securities and Exchange Commission, the Financial Industry Regulatory Authority, or any other governmental agency, entity or authority (each, a “</w:t>
      </w:r>
      <w:r>
        <w:rPr>
          <w:rFonts w:ascii="Times New Roman" w:cs="Times New Roman" w:eastAsia="Times New Roman" w:hAnsi="Times New Roman"/>
          <w:sz w:val="19"/>
          <w:szCs w:val="19"/>
          <w:u w:val="single" w:color="auto"/>
          <w:color w:val="auto"/>
        </w:rPr>
        <w:t>Government Agency</w:t>
      </w:r>
      <w:r>
        <w:rPr>
          <w:rFonts w:ascii="Times New Roman" w:cs="Times New Roman" w:eastAsia="Times New Roman" w:hAnsi="Times New Roman"/>
          <w:sz w:val="19"/>
          <w:szCs w:val="19"/>
          <w:color w:val="auto"/>
        </w:rPr>
        <w:t>”), (B) reporting violations of U.S. federal or state laws or regulations to a Government Agency, (C) making disclosures that are protected under U.S. federal and state whistleblower laws and regulations or (D) accepting any monetary reward in connection therewith. Nothing herein shall prevent Executive from discussing or disclosing information regarding unlawful acts in the workplace, such as harassment, discrimination or any other conduct that Executive has reason to believe is unlawful.</w:t>
      </w:r>
    </w:p>
    <w:p>
      <w:pPr>
        <w:spacing w:after="0" w:line="175" w:lineRule="exact"/>
        <w:rPr>
          <w:sz w:val="20"/>
          <w:szCs w:val="20"/>
          <w:color w:val="auto"/>
        </w:rPr>
      </w:pPr>
    </w:p>
    <w:p>
      <w:pPr>
        <w:jc w:val="both"/>
        <w:ind w:firstLine="8"/>
        <w:spacing w:after="0" w:line="243" w:lineRule="auto"/>
        <w:tabs>
          <w:tab w:leader="none" w:pos="509" w:val="left"/>
        </w:tabs>
        <w:numPr>
          <w:ilvl w:val="0"/>
          <w:numId w:val="1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Representations and Warranties Regarding Claims</w:t>
      </w:r>
      <w:r>
        <w:rPr>
          <w:rFonts w:ascii="Times New Roman" w:cs="Times New Roman" w:eastAsia="Times New Roman" w:hAnsi="Times New Roman"/>
          <w:sz w:val="20"/>
          <w:szCs w:val="20"/>
          <w:color w:val="auto"/>
        </w:rPr>
        <w:t>. Executive represents and warrants that, as of the time at which Executive signs this Agreement, Executive has not filed or joined any claims, complaints, charges, or lawsuits against any of the Company Parties with any governmental agency or with any state or federal court or arbitrator for, or with respect to, a matter, claim, or incident that occurred or arose out of one or more occurrences that took place on or prior to the time at which Executive signs this Agreement (excluding, for the avoidance of doubt, any whistleblower complaints protected under applicable law), and Executive is not aware of any violation of any law, rule or regulation or any other misconduct by the Company or any of its officers or employees. Executive further represents and warrants that Executive has not made any assignment, sale, delivery, transfer or conveyance of any rights Executive has asserted or may have against any of the Company Parties with respect to any Released Claim.</w:t>
      </w:r>
    </w:p>
    <w:p>
      <w:pPr>
        <w:spacing w:after="0" w:line="186" w:lineRule="exact"/>
        <w:rPr>
          <w:rFonts w:ascii="Times New Roman" w:cs="Times New Roman" w:eastAsia="Times New Roman" w:hAnsi="Times New Roman"/>
          <w:sz w:val="20"/>
          <w:szCs w:val="20"/>
          <w:u w:val="single" w:color="auto"/>
          <w:color w:val="auto"/>
        </w:rPr>
      </w:pPr>
    </w:p>
    <w:p>
      <w:pPr>
        <w:ind w:left="520" w:hanging="512"/>
        <w:spacing w:after="0"/>
        <w:tabs>
          <w:tab w:leader="none" w:pos="520" w:val="left"/>
        </w:tabs>
        <w:numPr>
          <w:ilvl w:val="0"/>
          <w:numId w:val="1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Covenants</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u w:val="single" w:color="auto"/>
          <w:color w:val="auto"/>
        </w:rPr>
      </w:pPr>
    </w:p>
    <w:p>
      <w:pPr>
        <w:jc w:val="both"/>
        <w:ind w:firstLine="757"/>
        <w:spacing w:after="0" w:line="266" w:lineRule="auto"/>
        <w:tabs>
          <w:tab w:leader="none" w:pos="1018" w:val="left"/>
        </w:tabs>
        <w:numPr>
          <w:ilvl w:val="1"/>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acknowledges and agrees that Executive has continuing obligations to the Company and its affiliates pursuant to that certain Confidentiality and Inventions Agreement, including obligations relating to confidentiality and intellectual property (collectively, the “</w:t>
      </w:r>
      <w:r>
        <w:rPr>
          <w:rFonts w:ascii="Times New Roman" w:cs="Times New Roman" w:eastAsia="Times New Roman" w:hAnsi="Times New Roman"/>
          <w:sz w:val="19"/>
          <w:szCs w:val="19"/>
          <w:u w:val="single" w:color="auto"/>
          <w:color w:val="auto"/>
        </w:rPr>
        <w:t>Covenants</w:t>
      </w:r>
      <w:r>
        <w:rPr>
          <w:rFonts w:ascii="Times New Roman" w:cs="Times New Roman" w:eastAsia="Times New Roman" w:hAnsi="Times New Roman"/>
          <w:sz w:val="19"/>
          <w:szCs w:val="19"/>
          <w:color w:val="auto"/>
        </w:rPr>
        <w:t>”). In entering into this Agreement, Executive acknowledges the continued effectiveness and enforceability of the Covenants, and Executive expressly reaffirms Executive’s commitment to abide by, and agrees that he will abide by, the terms of the Covenants.</w:t>
      </w:r>
    </w:p>
    <w:p>
      <w:pPr>
        <w:spacing w:after="0" w:line="164" w:lineRule="exact"/>
        <w:rPr>
          <w:rFonts w:ascii="Times New Roman" w:cs="Times New Roman" w:eastAsia="Times New Roman" w:hAnsi="Times New Roman"/>
          <w:sz w:val="19"/>
          <w:szCs w:val="19"/>
          <w:color w:val="auto"/>
        </w:rPr>
      </w:pPr>
    </w:p>
    <w:p>
      <w:pPr>
        <w:jc w:val="both"/>
        <w:ind w:firstLine="757"/>
        <w:spacing w:after="0" w:line="245" w:lineRule="auto"/>
        <w:tabs>
          <w:tab w:leader="none" w:pos="1018"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shall refrain from publishing any oral or written statements about the Company and any Company Party that (i) are slanderous, libelous, disparaging or defamatory, (ii) disclose confidential information of or regarding any Company Party’s business affairs, directors, officers, managers, members, employees, consultants, agents or representatives, or (iii) place the Company, any Company Party or any of their respective directors, officers, managers, members, employees, consultants, agents or representatives in a false light before the public. The Company agrees to direct its current executive officers to refrain from publishing any oral or written statements about Executive that are slanderous, libelous, disparaging or defamatory or that place Executive in a false light before the public.</w:t>
      </w:r>
    </w:p>
    <w:p>
      <w:pPr>
        <w:spacing w:after="0" w:line="182" w:lineRule="exact"/>
        <w:rPr>
          <w:rFonts w:ascii="Times New Roman" w:cs="Times New Roman" w:eastAsia="Times New Roman" w:hAnsi="Times New Roman"/>
          <w:sz w:val="20"/>
          <w:szCs w:val="20"/>
          <w:color w:val="auto"/>
        </w:rPr>
      </w:pPr>
    </w:p>
    <w:p>
      <w:pPr>
        <w:ind w:firstLine="8"/>
        <w:spacing w:after="0" w:line="268" w:lineRule="auto"/>
        <w:tabs>
          <w:tab w:leader="none" w:pos="509" w:val="left"/>
        </w:tabs>
        <w:numPr>
          <w:ilvl w:val="0"/>
          <w:numId w:val="1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Covenant to Cooperate in Legal Proceedings</w:t>
      </w:r>
      <w:r>
        <w:rPr>
          <w:rFonts w:ascii="Times New Roman" w:cs="Times New Roman" w:eastAsia="Times New Roman" w:hAnsi="Times New Roman"/>
          <w:sz w:val="20"/>
          <w:szCs w:val="20"/>
          <w:color w:val="auto"/>
        </w:rPr>
        <w:t>. Executive agrees to fully cooperate with the Petco Affiliated Entities and provide truthful information in any internal investigation, any administrative,</w:t>
      </w:r>
    </w:p>
    <w:p>
      <w:pPr>
        <w:spacing w:after="0" w:line="3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87"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20"/>
          <w:szCs w:val="20"/>
          <w:color w:val="auto"/>
        </w:rPr>
        <w:t>regulatory, or judicial proceeding or any dispute with a third party. Executive understands and agrees that Executive’s cooperation may include: making Executive available to the Petco Affiliated Entities upon reasonable notice for interviews and factual investigations; appearing at the Petco Affiliated Entities’ request to give testimony without requiring service of a subpoena or other legal process; volunteering to the Petco Affiliated Entities pertinent information received by Executive in Executive’s capacity as an employee; and turning over to the Petco Affiliated Entities all relevant documents which are or may come into Executive’s possession in Executive’s capacity an employee or otherwise, all at times and on schedules that are reasonably consistent with Executive’s other permitted activities and commitments.</w:t>
      </w:r>
    </w:p>
    <w:p>
      <w:pPr>
        <w:spacing w:after="0" w:line="184"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Executive’s Acknowledgements</w:t>
      </w:r>
      <w:r>
        <w:rPr>
          <w:rFonts w:ascii="Times New Roman" w:cs="Times New Roman" w:eastAsia="Times New Roman" w:hAnsi="Times New Roman"/>
          <w:sz w:val="20"/>
          <w:szCs w:val="20"/>
          <w:color w:val="auto"/>
        </w:rPr>
        <w:t>. By executing and delivering this Agreement, Executive expressly acknowledges that:</w:t>
      </w:r>
    </w:p>
    <w:p>
      <w:pPr>
        <w:spacing w:after="0" w:line="214" w:lineRule="exact"/>
        <w:rPr>
          <w:rFonts w:ascii="Times New Roman" w:cs="Times New Roman" w:eastAsia="Times New Roman" w:hAnsi="Times New Roman"/>
          <w:sz w:val="20"/>
          <w:szCs w:val="20"/>
          <w:u w:val="single" w:color="auto"/>
          <w:color w:val="auto"/>
        </w:rPr>
      </w:pPr>
    </w:p>
    <w:p>
      <w:pPr>
        <w:jc w:val="both"/>
        <w:ind w:firstLine="757"/>
        <w:spacing w:after="0" w:line="249" w:lineRule="auto"/>
        <w:tabs>
          <w:tab w:leader="none" w:pos="1018"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Executive has been given sufficient time to review and consider this Agreement. If Executive signs this Agreement before the date set forth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Executive has knowingly and voluntarily waived any longer consideration period than the one provided to Executive and such earlier signature was not induced by the Company through fraud, misrepresentation or a threat to withdraw or alter this Agreement prior to such date;</w:t>
      </w:r>
    </w:p>
    <w:p>
      <w:pPr>
        <w:spacing w:after="0" w:line="178"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is receiving, pursuant to this Agreement, consideration in addition to anything of value to which Executive is already</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entitled;</w:t>
      </w:r>
    </w:p>
    <w:p>
      <w:pPr>
        <w:spacing w:after="0" w:line="192" w:lineRule="exact"/>
        <w:rPr>
          <w:rFonts w:ascii="Times New Roman" w:cs="Times New Roman" w:eastAsia="Times New Roman" w:hAnsi="Times New Roman"/>
          <w:sz w:val="20"/>
          <w:szCs w:val="20"/>
          <w:color w:val="auto"/>
        </w:rPr>
      </w:pPr>
    </w:p>
    <w:p>
      <w:pPr>
        <w:ind w:right="20" w:firstLine="757"/>
        <w:spacing w:after="0" w:line="268" w:lineRule="auto"/>
        <w:tabs>
          <w:tab w:leader="none" w:pos="1018"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has been advised, and hereby is advised in writing, to discuss this Agreement with an attorney of Executive’s choice and that Executive has had an adequate opportunity to do so prior to executing this Agreement;</w:t>
      </w:r>
    </w:p>
    <w:p>
      <w:pPr>
        <w:spacing w:after="0" w:line="160"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fully understands the final and binding effect of this Agreement; the only promises made to Executive to sign this Agreement are those stated herein; Executive is signing this Agreement knowingly, voluntarily and of Executive’s own free will with the full intent of releasing the Company Parties of all claims; Executive acknowledges and agrees that Executive has carefully read this Agreement; and that Executive understands and agrees to each of the terms of this Agreement;</w:t>
      </w:r>
    </w:p>
    <w:p>
      <w:pPr>
        <w:spacing w:after="0" w:line="178" w:lineRule="exact"/>
        <w:rPr>
          <w:rFonts w:ascii="Times New Roman" w:cs="Times New Roman" w:eastAsia="Times New Roman" w:hAnsi="Times New Roman"/>
          <w:sz w:val="20"/>
          <w:szCs w:val="20"/>
          <w:color w:val="auto"/>
        </w:rPr>
      </w:pPr>
    </w:p>
    <w:p>
      <w:pPr>
        <w:ind w:firstLine="757"/>
        <w:spacing w:after="0" w:line="268" w:lineRule="auto"/>
        <w:tabs>
          <w:tab w:leader="none" w:pos="1018"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only matters relied upon by Executive in causing Executive to sign this Agreement are the provisions set forth in writing within the four corners of this Agreement; and</w:t>
      </w:r>
    </w:p>
    <w:p>
      <w:pPr>
        <w:spacing w:after="0" w:line="160" w:lineRule="exact"/>
        <w:rPr>
          <w:rFonts w:ascii="Times New Roman" w:cs="Times New Roman" w:eastAsia="Times New Roman" w:hAnsi="Times New Roman"/>
          <w:sz w:val="20"/>
          <w:szCs w:val="20"/>
          <w:color w:val="auto"/>
        </w:rPr>
      </w:pPr>
    </w:p>
    <w:p>
      <w:pPr>
        <w:jc w:val="both"/>
        <w:ind w:firstLine="757"/>
        <w:spacing w:after="0" w:line="253" w:lineRule="auto"/>
        <w:tabs>
          <w:tab w:leader="none" w:pos="1018"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Company Party has provided any tax or legal advice regarding this Agreement, and Executive has had an adequate opportunity to receive sufficient tax and legal advice from advisors of Executive’s own choosing such that Executive enters into this Agreement with full understanding of the tax and legal implications thereof.</w:t>
      </w:r>
    </w:p>
    <w:p>
      <w:pPr>
        <w:spacing w:after="0" w:line="176" w:lineRule="exact"/>
        <w:rPr>
          <w:rFonts w:ascii="Times New Roman" w:cs="Times New Roman" w:eastAsia="Times New Roman" w:hAnsi="Times New Roman"/>
          <w:sz w:val="20"/>
          <w:szCs w:val="20"/>
          <w:color w:val="auto"/>
        </w:rPr>
      </w:pPr>
    </w:p>
    <w:p>
      <w:pPr>
        <w:jc w:val="both"/>
        <w:ind w:firstLine="8"/>
        <w:spacing w:after="0" w:line="253" w:lineRule="auto"/>
        <w:tabs>
          <w:tab w:leader="none" w:pos="509" w:val="left"/>
        </w:tabs>
        <w:numPr>
          <w:ilvl w:val="0"/>
          <w:numId w:val="1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Reaffirmation of Release</w:t>
      </w:r>
      <w:r>
        <w:rPr>
          <w:rFonts w:ascii="Times New Roman" w:cs="Times New Roman" w:eastAsia="Times New Roman" w:hAnsi="Times New Roman"/>
          <w:sz w:val="20"/>
          <w:szCs w:val="20"/>
          <w:color w:val="auto"/>
        </w:rPr>
        <w:t>. On the Separation Date, Executive shall execute the Confirming Release and return Executive’s executed Confirming Release to the Company so that it is received by Giovanni Insana, Chief Legal Officer and Secretary, 10850 Via Frontera, San Diego, California 92127 (email: Giovanni.Insana@petco.com) on the Separation Date.</w:t>
      </w:r>
    </w:p>
    <w:p>
      <w:pPr>
        <w:spacing w:after="0" w:line="176" w:lineRule="exact"/>
        <w:rPr>
          <w:rFonts w:ascii="Times New Roman" w:cs="Times New Roman" w:eastAsia="Times New Roman" w:hAnsi="Times New Roman"/>
          <w:sz w:val="20"/>
          <w:szCs w:val="20"/>
          <w:u w:val="single" w:color="auto"/>
          <w:color w:val="auto"/>
        </w:rPr>
      </w:pPr>
    </w:p>
    <w:p>
      <w:pPr>
        <w:jc w:val="both"/>
        <w:ind w:firstLine="8"/>
        <w:spacing w:after="0" w:line="253" w:lineRule="auto"/>
        <w:tabs>
          <w:tab w:leader="none" w:pos="509" w:val="left"/>
        </w:tabs>
        <w:numPr>
          <w:ilvl w:val="0"/>
          <w:numId w:val="1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and, if executed, the Confirming Release and their performance will be construed and interpreted in accordance with the laws of the State of Minnesota without regard to principles of conflicts of law that would apply the substantive law of any other jurisdiction.</w:t>
      </w:r>
    </w:p>
    <w:p>
      <w:pPr>
        <w:spacing w:after="0" w:line="176" w:lineRule="exact"/>
        <w:rPr>
          <w:rFonts w:ascii="Times New Roman" w:cs="Times New Roman" w:eastAsia="Times New Roman" w:hAnsi="Times New Roman"/>
          <w:sz w:val="20"/>
          <w:szCs w:val="20"/>
          <w:u w:val="single" w:color="auto"/>
          <w:color w:val="auto"/>
        </w:rPr>
      </w:pPr>
    </w:p>
    <w:p>
      <w:pPr>
        <w:ind w:right="20" w:firstLine="8"/>
        <w:spacing w:after="0" w:line="268" w:lineRule="auto"/>
        <w:tabs>
          <w:tab w:leader="none" w:pos="509" w:val="left"/>
        </w:tabs>
        <w:numPr>
          <w:ilvl w:val="0"/>
          <w:numId w:val="1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several counterparts, including by .PDF or .GIF attachment to email or by facsimile, each of which is deemed to be an original, and all of which taken together constitute one and the same agreement.</w:t>
      </w:r>
    </w:p>
    <w:p>
      <w:pPr>
        <w:spacing w:after="0" w:line="3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87" w:lineRule="exact"/>
        <w:rPr>
          <w:sz w:val="20"/>
          <w:szCs w:val="20"/>
          <w:color w:val="auto"/>
        </w:rPr>
      </w:pPr>
    </w:p>
    <w:p>
      <w:pPr>
        <w:jc w:val="both"/>
        <w:ind w:left="-8" w:firstLine="8"/>
        <w:spacing w:after="0" w:line="249" w:lineRule="auto"/>
        <w:tabs>
          <w:tab w:leader="none" w:pos="501" w:val="left"/>
        </w:tabs>
        <w:numPr>
          <w:ilvl w:val="0"/>
          <w:numId w:val="1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Amendment; Entire Agreement</w:t>
      </w:r>
      <w:r>
        <w:rPr>
          <w:rFonts w:ascii="Times New Roman" w:cs="Times New Roman" w:eastAsia="Times New Roman" w:hAnsi="Times New Roman"/>
          <w:sz w:val="20"/>
          <w:szCs w:val="20"/>
          <w:color w:val="auto"/>
        </w:rPr>
        <w:t>. This Agreement may not be changed orally but only by an agreement in writing agreed to and signed by the Party to be charged. This Agreement, the Award Agreements, the Covenants and, if executed, the Confirming Release constitute the entire agreement of the Parties with regard to the subject matter hereof and supersede all prior and contemporaneous agreements and understandings, oral or written, between Executive and any Company Party with regard to the subject matter hereof.</w:t>
      </w:r>
    </w:p>
    <w:p>
      <w:pPr>
        <w:spacing w:after="0" w:line="178" w:lineRule="exact"/>
        <w:rPr>
          <w:rFonts w:ascii="Times New Roman" w:cs="Times New Roman" w:eastAsia="Times New Roman" w:hAnsi="Times New Roman"/>
          <w:sz w:val="20"/>
          <w:szCs w:val="20"/>
          <w:u w:val="single" w:color="auto"/>
          <w:color w:val="auto"/>
        </w:rPr>
      </w:pPr>
    </w:p>
    <w:p>
      <w:pPr>
        <w:jc w:val="both"/>
        <w:ind w:left="-8" w:firstLine="8"/>
        <w:spacing w:after="0" w:line="253" w:lineRule="auto"/>
        <w:tabs>
          <w:tab w:leader="none" w:pos="501" w:val="left"/>
        </w:tabs>
        <w:numPr>
          <w:ilvl w:val="0"/>
          <w:numId w:val="1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Third-Party Beneficiaries</w:t>
      </w:r>
      <w:r>
        <w:rPr>
          <w:rFonts w:ascii="Times New Roman" w:cs="Times New Roman" w:eastAsia="Times New Roman" w:hAnsi="Times New Roman"/>
          <w:sz w:val="20"/>
          <w:szCs w:val="20"/>
          <w:color w:val="auto"/>
        </w:rPr>
        <w:t xml:space="preserve">. Executive expressly acknowledges and agrees that each Petco Affiliated Entity that is not a party to this Agreement shall be a third-party beneficiary of Sections </w:t>
      </w:r>
      <w:r>
        <w:rPr>
          <w:rFonts w:ascii="Times New Roman" w:cs="Times New Roman" w:eastAsia="Times New Roman" w:hAnsi="Times New Roman"/>
          <w:sz w:val="20"/>
          <w:szCs w:val="20"/>
          <w:u w:val="single" w:color="auto"/>
          <w:color w:val="auto"/>
        </w:rPr>
        <w:t>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w:t>
      </w:r>
      <w:r>
        <w:rPr>
          <w:rFonts w:ascii="Times New Roman" w:cs="Times New Roman" w:eastAsia="Times New Roman" w:hAnsi="Times New Roman"/>
          <w:sz w:val="20"/>
          <w:szCs w:val="20"/>
          <w:color w:val="auto"/>
        </w:rPr>
        <w:t xml:space="preserve"> and, if executed, the Confirming Release, and entitled to enforce such provisions as if it were a party hereto or thereto.</w:t>
      </w:r>
    </w:p>
    <w:p>
      <w:pPr>
        <w:spacing w:after="0" w:line="176" w:lineRule="exact"/>
        <w:rPr>
          <w:rFonts w:ascii="Times New Roman" w:cs="Times New Roman" w:eastAsia="Times New Roman" w:hAnsi="Times New Roman"/>
          <w:sz w:val="20"/>
          <w:szCs w:val="20"/>
          <w:u w:val="single" w:color="auto"/>
          <w:color w:val="auto"/>
        </w:rPr>
      </w:pPr>
    </w:p>
    <w:p>
      <w:pPr>
        <w:jc w:val="both"/>
        <w:ind w:left="-8" w:firstLine="8"/>
        <w:spacing w:after="0" w:line="249" w:lineRule="auto"/>
        <w:tabs>
          <w:tab w:leader="none" w:pos="501" w:val="left"/>
        </w:tabs>
        <w:numPr>
          <w:ilvl w:val="0"/>
          <w:numId w:val="1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Executive shall, and shall cause Executive’s affiliates, representatives and agents to, from time to time at the request of the Company and without any additional consideration, furnish the Company with such further information or assurances, execute and deliver such additional documents, instruments and conveyances, and take such other actions and do such other things, as may be reasonably necessary or desirable, as determined in the sole discretion of the Company, to carry out the provisions of this Agreement.</w:t>
      </w:r>
    </w:p>
    <w:p>
      <w:pPr>
        <w:spacing w:after="0" w:line="178" w:lineRule="exact"/>
        <w:rPr>
          <w:rFonts w:ascii="Times New Roman" w:cs="Times New Roman" w:eastAsia="Times New Roman" w:hAnsi="Times New Roman"/>
          <w:sz w:val="20"/>
          <w:szCs w:val="20"/>
          <w:u w:val="single" w:color="auto"/>
          <w:color w:val="auto"/>
        </w:rPr>
      </w:pPr>
    </w:p>
    <w:p>
      <w:pPr>
        <w:jc w:val="both"/>
        <w:ind w:left="-8" w:firstLine="8"/>
        <w:spacing w:after="0" w:line="249" w:lineRule="auto"/>
        <w:tabs>
          <w:tab w:leader="none" w:pos="501" w:val="left"/>
        </w:tabs>
        <w:numPr>
          <w:ilvl w:val="0"/>
          <w:numId w:val="1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Any term or provision of this Agreement (or part thereof) that renders such term or provision (or part thereof) or any other term or provision (or part thereof) hereof invalid or unenforceable in any respect shall be severable and shall be modified or severed to the extent necessary to avoid rendering such term or provision (or part thereof) invalid or unenforceable, and such modification or severance shall be accomplished in the manner that most nearly preserves the benefit of the Parties’ bargain hereunder.</w:t>
      </w:r>
    </w:p>
    <w:p>
      <w:pPr>
        <w:spacing w:after="0" w:line="178" w:lineRule="exact"/>
        <w:rPr>
          <w:rFonts w:ascii="Times New Roman" w:cs="Times New Roman" w:eastAsia="Times New Roman" w:hAnsi="Times New Roman"/>
          <w:sz w:val="20"/>
          <w:szCs w:val="20"/>
          <w:u w:val="single" w:color="auto"/>
          <w:color w:val="auto"/>
        </w:rPr>
      </w:pPr>
    </w:p>
    <w:p>
      <w:pPr>
        <w:jc w:val="both"/>
        <w:ind w:left="-8" w:firstLine="8"/>
        <w:spacing w:after="0" w:line="241" w:lineRule="auto"/>
        <w:tabs>
          <w:tab w:leader="none" w:pos="501" w:val="left"/>
        </w:tabs>
        <w:numPr>
          <w:ilvl w:val="0"/>
          <w:numId w:val="1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Interpretation</w:t>
      </w:r>
      <w:r>
        <w:rPr>
          <w:rFonts w:ascii="Times New Roman" w:cs="Times New Roman" w:eastAsia="Times New Roman" w:hAnsi="Times New Roman"/>
          <w:sz w:val="20"/>
          <w:szCs w:val="20"/>
          <w:color w:val="auto"/>
        </w:rPr>
        <w:t>. The Section headings have been inserted for purposes of convenience and shall not be used for interpretive purposes. The words “hereof,” “herein” and “hereunder” and other compounds of the word “here” shall refer to the entire Agreement and not to any particular provision hereof.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The word “or” as used herein is not exclusive and is deemed to have the meaning “and/or.” Unless the context requires otherwise, all references herein to a law, agreement, instrument or other document shall be deemed to refer to such law, agreement, instrument or other document as amended, supplemented, modified and restated from time to time to the extent permitted by the provisions thereof. Neither this Agreement nor any uncertainty or ambiguity herein shall be construed against any Party, whether under any rule of construction or otherwise. This Agreement has been reviewed by each of the Parties and shall be construed and interpreted according to the ordinary meaning of the words used so as to fairly accomplish the purposes and intentions of the Parties.</w:t>
      </w:r>
    </w:p>
    <w:p>
      <w:pPr>
        <w:spacing w:after="0" w:line="195" w:lineRule="exact"/>
        <w:rPr>
          <w:rFonts w:ascii="Times New Roman" w:cs="Times New Roman" w:eastAsia="Times New Roman" w:hAnsi="Times New Roman"/>
          <w:sz w:val="20"/>
          <w:szCs w:val="20"/>
          <w:u w:val="single" w:color="auto"/>
          <w:color w:val="auto"/>
        </w:rPr>
      </w:pPr>
    </w:p>
    <w:p>
      <w:pPr>
        <w:jc w:val="both"/>
        <w:ind w:left="-8" w:firstLine="8"/>
        <w:spacing w:after="0" w:line="253" w:lineRule="auto"/>
        <w:tabs>
          <w:tab w:leader="none" w:pos="501" w:val="left"/>
        </w:tabs>
        <w:numPr>
          <w:ilvl w:val="0"/>
          <w:numId w:val="1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No Assignment</w:t>
      </w:r>
      <w:r>
        <w:rPr>
          <w:rFonts w:ascii="Times New Roman" w:cs="Times New Roman" w:eastAsia="Times New Roman" w:hAnsi="Times New Roman"/>
          <w:sz w:val="20"/>
          <w:szCs w:val="20"/>
          <w:color w:val="auto"/>
        </w:rPr>
        <w:t>. No right to receive payments and benefits under this Agreement shall be subject to set off, offset, anticipation, commutation, alienation, assignment, encumbrance, charge, pledge or hypothecation or to execution, attachment, levy, or similar process or assignment by operation of law.</w:t>
      </w:r>
    </w:p>
    <w:p>
      <w:pPr>
        <w:spacing w:after="0" w:line="176" w:lineRule="exact"/>
        <w:rPr>
          <w:rFonts w:ascii="Times New Roman" w:cs="Times New Roman" w:eastAsia="Times New Roman" w:hAnsi="Times New Roman"/>
          <w:sz w:val="20"/>
          <w:szCs w:val="20"/>
          <w:u w:val="single" w:color="auto"/>
          <w:color w:val="auto"/>
        </w:rPr>
      </w:pPr>
    </w:p>
    <w:p>
      <w:pPr>
        <w:jc w:val="both"/>
        <w:ind w:left="-8" w:firstLine="8"/>
        <w:spacing w:after="0" w:line="253" w:lineRule="auto"/>
        <w:tabs>
          <w:tab w:leader="none" w:pos="501" w:val="left"/>
        </w:tabs>
        <w:numPr>
          <w:ilvl w:val="0"/>
          <w:numId w:val="1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Withholdings; Deductions</w:t>
      </w:r>
      <w:r>
        <w:rPr>
          <w:rFonts w:ascii="Times New Roman" w:cs="Times New Roman" w:eastAsia="Times New Roman" w:hAnsi="Times New Roman"/>
          <w:sz w:val="20"/>
          <w:szCs w:val="20"/>
          <w:color w:val="auto"/>
        </w:rPr>
        <w:t>. The Company may withhold and deduct from any payments or benefits made or to be made pursuant to this Agreement (a) all federal, state, local and other taxes as may be required pursuant to any law or governmental regulation or ruling and (b) any deductions consented to in writing by Executive.</w:t>
      </w:r>
    </w:p>
    <w:p>
      <w:pPr>
        <w:spacing w:after="0" w:line="360" w:lineRule="exact"/>
        <w:rPr>
          <w:sz w:val="20"/>
          <w:szCs w:val="20"/>
          <w:color w:val="auto"/>
        </w:rPr>
      </w:pPr>
    </w:p>
    <w:p>
      <w:pPr>
        <w:ind w:left="432"/>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477520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37" w:name="page38"/>
    <w:bookmarkEnd w:id="37"/>
    <w:p>
      <w:pPr>
        <w:spacing w:after="0" w:line="187" w:lineRule="exact"/>
        <w:rPr>
          <w:sz w:val="20"/>
          <w:szCs w:val="20"/>
          <w:color w:val="auto"/>
        </w:rPr>
      </w:pPr>
    </w:p>
    <w:p>
      <w:pPr>
        <w:jc w:val="both"/>
        <w:ind w:left="-8" w:firstLine="8"/>
        <w:spacing w:after="0" w:line="244" w:lineRule="auto"/>
        <w:tabs>
          <w:tab w:leader="none" w:pos="501" w:val="left"/>
        </w:tabs>
        <w:numPr>
          <w:ilvl w:val="0"/>
          <w:numId w:val="1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This Agreement and the benefits provided hereunder are intended be exempt from, or compliant with, the requirements of Section 409A of the Internal Revenue Code of 1986 and the Treasury regulations and other guidance issued thereunder (collectively,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and shall be construed and administered in accordance with such intent. Each installment payment under this Agreement shall be deemed and treated as a separate payment for purposes of Section 409A. Notwithstanding the foregoing, the Company makes no representations that the benefits provided under this Agreement are exempt from the requirements of Section 409A and in no event shall the Company or any other Company Party be liable for all or any portion of any taxes, penalties, interest or other expenses that may be incurred by Executive on account of non-compliance with Section 409A.</w:t>
      </w:r>
    </w:p>
    <w:p>
      <w:pPr>
        <w:spacing w:after="0" w:line="368" w:lineRule="exact"/>
        <w:rPr>
          <w:sz w:val="20"/>
          <w:szCs w:val="20"/>
          <w:color w:val="auto"/>
        </w:rPr>
      </w:pPr>
    </w:p>
    <w:p>
      <w:pPr>
        <w:ind w:left="432"/>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477520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38" w:name="page39"/>
    <w:bookmarkEnd w:id="38"/>
    <w:p>
      <w:pPr>
        <w:ind w:firstLine="749"/>
        <w:spacing w:after="0" w:line="268" w:lineRule="auto"/>
        <w:rPr>
          <w:sz w:val="20"/>
          <w:szCs w:val="20"/>
          <w:color w:val="auto"/>
        </w:rPr>
      </w:pPr>
      <w:r>
        <w:rPr>
          <w:rFonts w:ascii="Times New Roman" w:cs="Times New Roman" w:eastAsia="Times New Roman" w:hAnsi="Times New Roman"/>
          <w:sz w:val="20"/>
          <w:szCs w:val="20"/>
          <w:color w:val="auto"/>
        </w:rPr>
        <w:t>IN WITNESS WHEREOF, the Parties have executed this Agreement as of the dates set forth beneath their names below, effective for all purposes as provided above.</w:t>
      </w:r>
    </w:p>
    <w:p>
      <w:pPr>
        <w:spacing w:after="0" w:line="17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EXECUTIVE</w:t>
      </w:r>
    </w:p>
    <w:p>
      <w:pPr>
        <w:spacing w:after="0" w:line="200" w:lineRule="exact"/>
        <w:rPr>
          <w:sz w:val="20"/>
          <w:szCs w:val="20"/>
          <w:color w:val="auto"/>
        </w:rPr>
      </w:pPr>
    </w:p>
    <w:p>
      <w:pPr>
        <w:spacing w:after="0" w:line="25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/s/ Amy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-10795</wp:posOffset>
            </wp:positionV>
            <wp:extent cx="150558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9">
                      <a:extLst>
                        <a:ext uri="{28A0092B-C50C-407E-A947-70E740481C1C}"/>
                      </a:extLst>
                    </a:blip>
                    <a:srcRect/>
                    <a:stretch>
                      <a:fillRect/>
                    </a:stretch>
                  </pic:blipFill>
                  <pic:spPr bwMode="auto">
                    <a:xfrm>
                      <a:off x="0" y="0"/>
                      <a:ext cx="1505585"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Amy College</w:t>
      </w:r>
    </w:p>
    <w:p>
      <w:pPr>
        <w:spacing w:after="0" w:line="206" w:lineRule="exact"/>
        <w:rPr>
          <w:sz w:val="20"/>
          <w:szCs w:val="20"/>
          <w:color w:val="auto"/>
        </w:rPr>
      </w:pPr>
    </w:p>
    <w:p>
      <w:pPr>
        <w:jc w:val="center"/>
        <w:ind w:left="4020"/>
        <w:spacing w:after="0"/>
        <w:tabs>
          <w:tab w:leader="none" w:pos="36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June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3129915</wp:posOffset>
            </wp:positionH>
            <wp:positionV relativeFrom="paragraph">
              <wp:posOffset>-10795</wp:posOffset>
            </wp:positionV>
            <wp:extent cx="148463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0">
                      <a:extLst>
                        <a:ext uri="{28A0092B-C50C-407E-A947-70E740481C1C}"/>
                      </a:extLst>
                    </a:blip>
                    <a:srcRect/>
                    <a:stretch>
                      <a:fillRect/>
                    </a:stretch>
                  </pic:blipFill>
                  <pic:spPr bwMode="auto">
                    <a:xfrm>
                      <a:off x="0" y="0"/>
                      <a:ext cx="148463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PETCO ANIMAL SUPPLIES STORES, INC.</w:t>
      </w:r>
    </w:p>
    <w:p>
      <w:pPr>
        <w:spacing w:after="0" w:line="200" w:lineRule="exact"/>
        <w:rPr>
          <w:sz w:val="20"/>
          <w:szCs w:val="20"/>
          <w:color w:val="auto"/>
        </w:rPr>
      </w:pPr>
    </w:p>
    <w:p>
      <w:pPr>
        <w:spacing w:after="0" w:line="25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/s/ Holly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-10795</wp:posOffset>
            </wp:positionV>
            <wp:extent cx="132461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1">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tbl>
      <w:tblPr>
        <w:tblLayout w:type="fixed"/>
        <w:tblInd w:w="4500" w:type="dxa"/>
        <w:tblCellMar>
          <w:top w:w="0" w:type="dxa"/>
          <w:left w:w="0" w:type="dxa"/>
          <w:bottom w:w="0" w:type="dxa"/>
          <w:right w:w="0" w:type="dxa"/>
        </w:tblCellMar>
      </w:tblPr>
      <w:tr>
        <w:trPr>
          <w:trHeight w:val="211"/>
        </w:trPr>
        <w:tc>
          <w:tcPr>
            <w:tcW w:w="660" w:type="dxa"/>
            <w:vAlign w:val="bottom"/>
            <w:gridSpan w:val="3"/>
          </w:tcPr>
          <w:p>
            <w:pPr>
              <w:spacing w:after="0" w:line="211" w:lineRule="exact"/>
              <w:rPr>
                <w:sz w:val="20"/>
                <w:szCs w:val="20"/>
                <w:color w:val="auto"/>
              </w:rPr>
            </w:pPr>
            <w:r>
              <w:rPr>
                <w:rFonts w:ascii="Times New Roman" w:cs="Times New Roman" w:eastAsia="Times New Roman" w:hAnsi="Times New Roman"/>
                <w:sz w:val="20"/>
                <w:szCs w:val="20"/>
                <w:color w:val="auto"/>
              </w:rPr>
              <w:t>Name:</w:t>
            </w:r>
          </w:p>
        </w:tc>
        <w:tc>
          <w:tcPr>
            <w:tcW w:w="2900" w:type="dxa"/>
            <w:vAlign w:val="bottom"/>
            <w:gridSpan w:val="2"/>
          </w:tcPr>
          <w:p>
            <w:pPr>
              <w:ind w:left="140"/>
              <w:spacing w:after="0" w:line="211" w:lineRule="exact"/>
              <w:rPr>
                <w:sz w:val="20"/>
                <w:szCs w:val="20"/>
                <w:color w:val="auto"/>
              </w:rPr>
            </w:pPr>
            <w:r>
              <w:rPr>
                <w:rFonts w:ascii="Times New Roman" w:cs="Times New Roman" w:eastAsia="Times New Roman" w:hAnsi="Times New Roman"/>
                <w:sz w:val="20"/>
                <w:szCs w:val="20"/>
                <w:color w:val="auto"/>
              </w:rPr>
              <w:t>Holly May</w:t>
            </w:r>
          </w:p>
        </w:tc>
      </w:tr>
      <w:tr>
        <w:trPr>
          <w:trHeight w:val="20"/>
        </w:trPr>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9"/>
        </w:trPr>
        <w:tc>
          <w:tcPr>
            <w:tcW w:w="52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18"/>
                <w:szCs w:val="18"/>
                <w:color w:val="auto"/>
              </w:rPr>
            </w:pPr>
          </w:p>
        </w:tc>
        <w:tc>
          <w:tcPr>
            <w:tcW w:w="2900" w:type="dxa"/>
            <w:vAlign w:val="bottom"/>
            <w:gridSpan w:val="2"/>
          </w:tcPr>
          <w:p>
            <w:pPr>
              <w:ind w:left="140"/>
              <w:spacing w:after="0" w:line="209" w:lineRule="exact"/>
              <w:rPr>
                <w:sz w:val="20"/>
                <w:szCs w:val="20"/>
                <w:color w:val="auto"/>
              </w:rPr>
            </w:pPr>
            <w:r>
              <w:rPr>
                <w:rFonts w:ascii="Times New Roman" w:cs="Times New Roman" w:eastAsia="Times New Roman" w:hAnsi="Times New Roman"/>
                <w:sz w:val="20"/>
                <w:szCs w:val="20"/>
                <w:color w:val="auto"/>
              </w:rPr>
              <w:t>Chief Human Resources Officer</w:t>
            </w:r>
          </w:p>
        </w:tc>
      </w:tr>
      <w:tr>
        <w:trPr>
          <w:trHeight w:val="20"/>
        </w:trPr>
        <w:tc>
          <w:tcPr>
            <w:tcW w:w="42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900" w:type="dxa"/>
            <w:vAlign w:val="bottom"/>
            <w:gridSpan w:val="2"/>
            <w:shd w:val="clear" w:color="auto" w:fill="000000"/>
          </w:tcPr>
          <w:p>
            <w:pPr>
              <w:spacing w:after="0" w:line="20" w:lineRule="exact"/>
              <w:rPr>
                <w:sz w:val="1"/>
                <w:szCs w:val="1"/>
                <w:color w:val="auto"/>
              </w:rPr>
            </w:pPr>
          </w:p>
        </w:tc>
      </w:tr>
      <w:tr>
        <w:trPr>
          <w:trHeight w:val="438"/>
        </w:trPr>
        <w:tc>
          <w:tcPr>
            <w:tcW w:w="6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Date:</w:t>
            </w:r>
          </w:p>
        </w:tc>
        <w:tc>
          <w:tcPr>
            <w:tcW w:w="29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June 4, 2024</w:t>
            </w:r>
          </w:p>
        </w:tc>
      </w:tr>
      <w:tr>
        <w:trPr>
          <w:trHeight w:val="20"/>
        </w:trPr>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age to</w:t>
      </w:r>
    </w:p>
    <w:p>
      <w:pPr>
        <w:spacing w:after="0" w:line="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ransition and</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eparation</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jc w:val="center"/>
        <w:ind w:right="-219"/>
        <w:spacing w:after="0"/>
        <w:rPr>
          <w:sz w:val="20"/>
          <w:szCs w:val="20"/>
          <w:color w:val="auto"/>
        </w:rPr>
      </w:pPr>
      <w:r>
        <w:rPr>
          <w:rFonts w:ascii="Times New Roman" w:cs="Times New Roman" w:eastAsia="Times New Roman" w:hAnsi="Times New Roman"/>
          <w:sz w:val="15"/>
          <w:szCs w:val="15"/>
          <w:color w:val="auto"/>
        </w:rPr>
        <w:t xml:space="preserve">and </w:t>
      </w:r>
      <w:r>
        <w:rPr>
          <w:rFonts w:ascii="Times New Roman" w:cs="Times New Roman" w:eastAsia="Times New Roman" w:hAnsi="Times New Roman"/>
          <w:sz w:val="21"/>
          <w:szCs w:val="21"/>
          <w:color w:val="auto"/>
        </w:rPr>
        <w:t>G</w:t>
      </w:r>
      <w:r>
        <w:rPr>
          <w:rFonts w:ascii="Times New Roman" w:cs="Times New Roman" w:eastAsia="Times New Roman" w:hAnsi="Times New Roman"/>
          <w:sz w:val="15"/>
          <w:szCs w:val="15"/>
          <w:color w:val="auto"/>
        </w:rPr>
        <w:t xml:space="preserve">eneral </w:t>
      </w:r>
      <w:r>
        <w:rPr>
          <w:rFonts w:ascii="Times New Roman" w:cs="Times New Roman" w:eastAsia="Times New Roman" w:hAnsi="Times New Roman"/>
          <w:sz w:val="21"/>
          <w:szCs w:val="21"/>
          <w:color w:val="auto"/>
        </w:rPr>
        <w:t>R</w:t>
      </w:r>
      <w:r>
        <w:rPr>
          <w:rFonts w:ascii="Times New Roman" w:cs="Times New Roman" w:eastAsia="Times New Roman" w:hAnsi="Times New Roman"/>
          <w:sz w:val="15"/>
          <w:szCs w:val="15"/>
          <w:color w:val="auto"/>
        </w:rPr>
        <w:t xml:space="preserve">elease of </w:t>
      </w:r>
      <w:r>
        <w:rPr>
          <w:rFonts w:ascii="Times New Roman" w:cs="Times New Roman" w:eastAsia="Times New Roman" w:hAnsi="Times New Roman"/>
          <w:sz w:val="21"/>
          <w:szCs w:val="21"/>
          <w:color w:val="auto"/>
        </w:rPr>
        <w:t>C</w:t>
      </w:r>
      <w:r>
        <w:rPr>
          <w:rFonts w:ascii="Times New Roman" w:cs="Times New Roman" w:eastAsia="Times New Roman" w:hAnsi="Times New Roman"/>
          <w:sz w:val="15"/>
          <w:szCs w:val="15"/>
          <w:color w:val="auto"/>
        </w:rPr>
        <w:t>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11" w:right="5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CONFIRMING RELEASE</w:t>
      </w:r>
    </w:p>
    <w:p>
      <w:pPr>
        <w:spacing w:after="0" w:line="21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This Confirming Release (the “</w:t>
      </w:r>
      <w:r>
        <w:rPr>
          <w:rFonts w:ascii="Times New Roman" w:cs="Times New Roman" w:eastAsia="Times New Roman" w:hAnsi="Times New Roman"/>
          <w:sz w:val="20"/>
          <w:szCs w:val="20"/>
          <w:u w:val="single" w:color="auto"/>
          <w:color w:val="auto"/>
        </w:rPr>
        <w:t>Confirming Release</w:t>
      </w:r>
      <w:r>
        <w:rPr>
          <w:rFonts w:ascii="Times New Roman" w:cs="Times New Roman" w:eastAsia="Times New Roman" w:hAnsi="Times New Roman"/>
          <w:sz w:val="20"/>
          <w:szCs w:val="20"/>
          <w:color w:val="auto"/>
        </w:rPr>
        <w:t>”) is that certain Confirming Release referenced in the Transition and Separation Agreement and General Release of Claims (the “</w:t>
      </w:r>
      <w:r>
        <w:rPr>
          <w:rFonts w:ascii="Times New Roman" w:cs="Times New Roman" w:eastAsia="Times New Roman" w:hAnsi="Times New Roman"/>
          <w:sz w:val="20"/>
          <w:szCs w:val="20"/>
          <w:u w:val="single" w:color="auto"/>
          <w:color w:val="auto"/>
        </w:rPr>
        <w:t>Separation Agreement</w:t>
      </w:r>
      <w:r>
        <w:rPr>
          <w:rFonts w:ascii="Times New Roman" w:cs="Times New Roman" w:eastAsia="Times New Roman" w:hAnsi="Times New Roman"/>
          <w:sz w:val="20"/>
          <w:szCs w:val="20"/>
          <w:color w:val="auto"/>
        </w:rPr>
        <w:t>”), entered into by and among Petco Animal Supplies Stores,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Amy College (“</w:t>
      </w:r>
      <w:r>
        <w:rPr>
          <w:rFonts w:ascii="Times New Roman" w:cs="Times New Roman" w:eastAsia="Times New Roman" w:hAnsi="Times New Roman"/>
          <w:sz w:val="20"/>
          <w:szCs w:val="20"/>
          <w:u w:val="single" w:color="auto"/>
          <w:color w:val="auto"/>
        </w:rPr>
        <w:t>Executive</w:t>
      </w:r>
      <w:r>
        <w:rPr>
          <w:rFonts w:ascii="Times New Roman" w:cs="Times New Roman" w:eastAsia="Times New Roman" w:hAnsi="Times New Roman"/>
          <w:sz w:val="20"/>
          <w:szCs w:val="20"/>
          <w:color w:val="auto"/>
        </w:rPr>
        <w:t xml:space="preserve">”). Unless sooner revoked by Executive pursuant to the terms of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below, Executive’s acceptance of this Confirming Release becomes irrevocable and this Confirming Release becomes effective on the 16th day after Executive signs it. Capitalized terms used herein that are not otherwise defined have the meanings assigned to them in the Separation Agreement. In signing below, Executive agrees as follows:</w:t>
      </w:r>
    </w:p>
    <w:p>
      <w:pPr>
        <w:spacing w:after="0" w:line="183" w:lineRule="exact"/>
        <w:rPr>
          <w:sz w:val="20"/>
          <w:szCs w:val="20"/>
          <w:color w:val="auto"/>
        </w:rPr>
      </w:pPr>
    </w:p>
    <w:p>
      <w:pPr>
        <w:jc w:val="both"/>
        <w:ind w:firstLine="8"/>
        <w:spacing w:after="0" w:line="249" w:lineRule="auto"/>
        <w:tabs>
          <w:tab w:leader="none" w:pos="509" w:val="left"/>
        </w:tabs>
        <w:numPr>
          <w:ilvl w:val="0"/>
          <w:numId w:val="1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Receipt of Leaves and Other Compensation</w:t>
      </w:r>
      <w:r>
        <w:rPr>
          <w:rFonts w:ascii="Times New Roman" w:cs="Times New Roman" w:eastAsia="Times New Roman" w:hAnsi="Times New Roman"/>
          <w:sz w:val="20"/>
          <w:szCs w:val="20"/>
          <w:color w:val="auto"/>
        </w:rPr>
        <w:t>. Other than payments and benefits provided pursuant to Section 2 of the Separation Agreement, Executive acknowledges and agrees that Executive has been paid in full all bonuses, been provided all benefits, and otherwise received all wages, compensation and other sums that Executive has been owed by each Company Party. Executive further acknowledges and agrees that Executive has received all leaves (paid and unpaid) that Executive has been entitled to receive from each Company Party.</w:t>
      </w:r>
    </w:p>
    <w:p>
      <w:pPr>
        <w:spacing w:after="0" w:line="178" w:lineRule="exact"/>
        <w:rPr>
          <w:rFonts w:ascii="Times New Roman" w:cs="Times New Roman" w:eastAsia="Times New Roman" w:hAnsi="Times New Roman"/>
          <w:sz w:val="20"/>
          <w:szCs w:val="20"/>
          <w:u w:val="single" w:color="auto"/>
          <w:color w:val="auto"/>
        </w:rPr>
      </w:pPr>
    </w:p>
    <w:p>
      <w:pPr>
        <w:ind w:left="520" w:hanging="512"/>
        <w:spacing w:after="0"/>
        <w:tabs>
          <w:tab w:leader="none" w:pos="520" w:val="left"/>
        </w:tabs>
        <w:numPr>
          <w:ilvl w:val="0"/>
          <w:numId w:val="1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Release of Liability for Claims</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u w:val="single" w:color="auto"/>
          <w:color w:val="auto"/>
        </w:rPr>
      </w:pPr>
    </w:p>
    <w:p>
      <w:pPr>
        <w:jc w:val="both"/>
        <w:ind w:firstLine="757"/>
        <w:spacing w:after="0" w:line="254" w:lineRule="auto"/>
        <w:tabs>
          <w:tab w:leader="none" w:pos="1018" w:val="left"/>
        </w:tabs>
        <w:numPr>
          <w:ilvl w:val="1"/>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good and valuable consideration, including the consideration set forth in Section 2 of the Separation Agreement (and any portion thereof), Executive knowingly and voluntarily (for Executive, Executive’s family, and Executive’s heirs, executors, administrators and assigns) hereby releases and forever discharges the Company Parties from liability for, and Executive hereby waives, any and all claims, damages, or causes of action of any kind related to Executive’s ownership of any interest in any Company Party, Executive’s employment with any Company Party, the termination of such employment, and any other acts or omissions related to any matter occurring on or prior to the date that Executive executes this Confirming Release, including: (i) any alleged violation through such time of: (A) any federal, state or local anti-discrimination, anti-harassment or anti-retaliation law, regulation or ordinance, including the Age Discrimination in Employment Act of 1967 (including as amended by the Older Workers Benefit Protection Act), Title VII of the Civil Rights Act of 1964, the Civil Rights Act of 1991, Sections 1981 through 1988 of Title 42 of the United States Code and the Americans with Disabilities Act of 1990, as amended;</w:t>
      </w:r>
    </w:p>
    <w:p>
      <w:pPr>
        <w:spacing w:after="0" w:line="4" w:lineRule="exact"/>
        <w:rPr>
          <w:rFonts w:ascii="Times New Roman" w:cs="Times New Roman" w:eastAsia="Times New Roman" w:hAnsi="Times New Roman"/>
          <w:sz w:val="19"/>
          <w:szCs w:val="19"/>
          <w:color w:val="auto"/>
        </w:rPr>
      </w:pPr>
    </w:p>
    <w:p>
      <w:pPr>
        <w:jc w:val="both"/>
        <w:spacing w:after="0" w:line="23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(B) ERISA; (C) the Immigration Reform Control Act; (D) the National Labor Relations Act; (E) the Occupational Safety and Health Act; (F) the Family and Medical Leave Act of 1993; (G) California’s Fair Employment and Housing Act, the California Pregnancy Disability Leave law, the California Family Rights Act, the Healthy Workplace Healthy Family Act of 2014, the California Labor Code, the Private Attorneys’ General Act (Labor Code§ 2698 et seq.), any Wage Orders issued by the California Industrial Welfare Commission and the California Business and Professionals Code; the Minnesota Equal Pay for Equal Work Law, the Minnesota Termination of Sales Representatives Act, the Minnesota Whistleblower Act, the Minnesota Whistleblower Protection Laws, the Minnesota Parental Leave Act, other claims allowed under Minnesota Statute Chapter 181; the Minnesota Human Rights Act; (H) any federal, state or local wage and hour law; (I) any other local, state or federal law, regulation or ordinance; or (J) any public policy, contract, tort, or common law claim; (ii) any and all rights, benefits or claims Executive may have under any employment contract, incentive compensation plan or equity-based plan with any Company Party or to any ownership interest in any Company Party (including the Employment Agreement, the Award Agreements and the C Unit Agreements); (iii) any claim for compensation or benefits of any kind not expressly set forth in this Confirming Release; and (iv) any allegation for costs, fees, or other expenses including attorneys’ fees incurred in or with respect to any of the foregoing (collectively, the “</w:t>
      </w:r>
      <w:r>
        <w:rPr>
          <w:rFonts w:ascii="Times New Roman" w:cs="Times New Roman" w:eastAsia="Times New Roman" w:hAnsi="Times New Roman"/>
          <w:sz w:val="20"/>
          <w:szCs w:val="20"/>
          <w:u w:val="single" w:color="auto"/>
          <w:color w:val="auto"/>
        </w:rPr>
        <w:t>Further Released Claims</w:t>
      </w:r>
      <w:r>
        <w:rPr>
          <w:rFonts w:ascii="Times New Roman" w:cs="Times New Roman" w:eastAsia="Times New Roman" w:hAnsi="Times New Roman"/>
          <w:sz w:val="20"/>
          <w:szCs w:val="20"/>
          <w:color w:val="auto"/>
        </w:rPr>
        <w:t>”). This Confirming Release is not intended to indicate that any such claims exist or that, if they do exist, they are meritorious. Rather, Executive is simply agreeing that, in exchange for any consideration received by</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40" w:name="page41"/>
    <w:bookmarkEnd w:id="40"/>
    <w:p>
      <w:pPr>
        <w:spacing w:after="0" w:line="18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 xml:space="preserve">Executive pursuant to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any and all potential claims of this nature that Executive may have against the Company Parties, regardless of whether they actually exist, are expressly settled, compromised and waived. </w:t>
      </w:r>
      <w:r>
        <w:rPr>
          <w:rFonts w:ascii="Times New Roman" w:cs="Times New Roman" w:eastAsia="Times New Roman" w:hAnsi="Times New Roman"/>
          <w:sz w:val="20"/>
          <w:szCs w:val="20"/>
          <w:b w:val="1"/>
          <w:bCs w:val="1"/>
          <w:color w:val="auto"/>
        </w:rPr>
        <w:t>THIS RELEASE INCLUDES MATTERS</w:t>
      </w:r>
    </w:p>
    <w:p>
      <w:pPr>
        <w:spacing w:after="0" w:line="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b w:val="1"/>
          <w:bCs w:val="1"/>
          <w:color w:val="auto"/>
        </w:rPr>
        <w:t>ATTRIBUTABLE TO THE SOLE OR PARTIAL NEGLIGENCE (WHETHER GROSS OR SIMPLE) OR OTHER FAULT, INCLUDING STRICT LIABILITY, OF ANY OF THE COMPANY PARTIES.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(b) Section 1542 of the Civil Code of the State of California (“</w:t>
      </w:r>
      <w:r>
        <w:rPr>
          <w:rFonts w:ascii="Times New Roman" w:cs="Times New Roman" w:eastAsia="Times New Roman" w:hAnsi="Times New Roman"/>
          <w:sz w:val="20"/>
          <w:szCs w:val="20"/>
          <w:u w:val="single" w:color="auto"/>
          <w:color w:val="auto"/>
        </w:rPr>
        <w:t>Section 1542</w:t>
      </w:r>
      <w:r>
        <w:rPr>
          <w:rFonts w:ascii="Times New Roman" w:cs="Times New Roman" w:eastAsia="Times New Roman" w:hAnsi="Times New Roman"/>
          <w:sz w:val="20"/>
          <w:szCs w:val="20"/>
          <w:color w:val="auto"/>
        </w:rPr>
        <w:t>”) provides:</w:t>
      </w:r>
    </w:p>
    <w:p>
      <w:pPr>
        <w:spacing w:after="0" w:line="215" w:lineRule="exact"/>
        <w:rPr>
          <w:sz w:val="20"/>
          <w:szCs w:val="20"/>
          <w:color w:val="auto"/>
        </w:rPr>
      </w:pPr>
    </w:p>
    <w:p>
      <w:pPr>
        <w:jc w:val="both"/>
        <w:ind w:left="760" w:right="740"/>
        <w:spacing w:after="0" w:line="249" w:lineRule="auto"/>
        <w:rPr>
          <w:sz w:val="20"/>
          <w:szCs w:val="20"/>
          <w:color w:val="auto"/>
        </w:rPr>
      </w:pPr>
      <w:r>
        <w:rPr>
          <w:rFonts w:ascii="Times New Roman" w:cs="Times New Roman" w:eastAsia="Times New Roman" w:hAnsi="Times New Roman"/>
          <w:sz w:val="20"/>
          <w:szCs w:val="20"/>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Executive waives all rights under Section 1542 or any other law or statute of similar effect in any jurisdiction with respect to the Further Released Claims. Executive acknowledges that Executive understands the significance and specifically assumes the risk regarding the consequences of such release and such specific waiver of Section 1542.</w:t>
      </w:r>
    </w:p>
    <w:p>
      <w:pPr>
        <w:spacing w:after="0" w:line="176" w:lineRule="exact"/>
        <w:rPr>
          <w:sz w:val="20"/>
          <w:szCs w:val="20"/>
          <w:color w:val="auto"/>
        </w:rPr>
      </w:pPr>
    </w:p>
    <w:p>
      <w:pPr>
        <w:jc w:val="both"/>
        <w:ind w:firstLine="757"/>
        <w:spacing w:after="0" w:line="241" w:lineRule="auto"/>
        <w:tabs>
          <w:tab w:leader="none" w:pos="1018"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nothing in this Confirming Release releases Executive’s rights to receive payments or benefits pursuant to Section 2 of the Separation Agreement. Further, in no event shall the Further Released Claims include: (i) any claim that arises after the date that Executive signs this Confirming Release; (ii) any claim to unemployment benefits, worker’s compensation or vested benefits under an employee benefit plan that is subject to ERISA; (iii) any claim for breach of, or otherwise arising out of, this Confirming Release; or (iv) any claim that relates to any rights of indemnification afforded Executive by statute or common law, including any insurance coverage maintained by or on behalf of the Company. Further notwithstanding this release of liability, nothing in this Confirming Release prevents Executive from filing any non-legally waivable claim (including a challenge to the validity of this Confirming Release) with the EEOC or comparable state or local agency or participating in (or cooperating with) any investigation or proceeding conducted by the EEOC or comparable state or local agency or cooperating in any such investigation or proceeding; however, Executive understands and agrees that Executive is waiving any and all rights to recover any monetary or personal relief from a Company Party as a result of such EEOC or comparable state or local agency or proceeding or subsequent legal actions. Further, nothing in this Confirming prohibits or restricts Executive from (A) filing a charge or complaint with, or cooperating in any investigation with, any Government Agency, (B) reporting violations of U.S. federal or state laws or regulations to a Government Agency, (C) making disclosures that are protected under U.S. federal and state whistleblower laws and regulations or (D) accepting any monetary reward in connection therewith. Nothing herein shall prevent Executive from discussing or disclosing information regarding unlawful acts in the workplace, such as harassment, discrimination or any other conduct that Executive has reason to believe is unlawful.</w:t>
      </w:r>
    </w:p>
    <w:p>
      <w:pPr>
        <w:spacing w:after="0" w:line="188" w:lineRule="exact"/>
        <w:rPr>
          <w:rFonts w:ascii="Times New Roman" w:cs="Times New Roman" w:eastAsia="Times New Roman" w:hAnsi="Times New Roman"/>
          <w:sz w:val="20"/>
          <w:szCs w:val="20"/>
          <w:color w:val="auto"/>
        </w:rPr>
      </w:pPr>
    </w:p>
    <w:p>
      <w:pPr>
        <w:jc w:val="both"/>
        <w:ind w:firstLine="8"/>
        <w:spacing w:after="0" w:line="243" w:lineRule="auto"/>
        <w:tabs>
          <w:tab w:leader="none" w:pos="509" w:val="left"/>
        </w:tabs>
        <w:numPr>
          <w:ilvl w:val="0"/>
          <w:numId w:val="1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Representations and Warranties Regarding Claims</w:t>
      </w:r>
      <w:r>
        <w:rPr>
          <w:rFonts w:ascii="Times New Roman" w:cs="Times New Roman" w:eastAsia="Times New Roman" w:hAnsi="Times New Roman"/>
          <w:sz w:val="20"/>
          <w:szCs w:val="20"/>
          <w:color w:val="auto"/>
        </w:rPr>
        <w:t>. Executive represents and warrants that, as of the time at which Executive signs this Confirming Release, Executive has not filed or joined any claims, complaints, charges, or lawsuits against any of the Company Parties with any governmental agency or with any state or federal court or arbitrator for, or with respect to, a matter, claim, or incident that occurred or arose out of one or more occurrences that took place on or prior to the time at which Executive signs this Confirming Release (excluding, for the avoidance of doubt, any whistleblower complaints protected under applicable law), and Executive is not aware of any violation of any law, rule or regulation or any other misconduct by the Company or any of its officers or employees. Executive further represents and warrants that Executive has not made any assignment, sale, delivery, transfer or conveyance of any rights Executive has asserted or may have against any of the Company Parties with respect to any Further Released Claim.</w:t>
      </w:r>
    </w:p>
    <w:p>
      <w:pPr>
        <w:spacing w:after="0" w:line="3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87" w:lineRule="exact"/>
        <w:rPr>
          <w:sz w:val="20"/>
          <w:szCs w:val="20"/>
          <w:color w:val="auto"/>
        </w:rPr>
      </w:pPr>
    </w:p>
    <w:p>
      <w:pPr>
        <w:ind w:left="512" w:hanging="512"/>
        <w:spacing w:after="0"/>
        <w:tabs>
          <w:tab w:leader="none" w:pos="512" w:val="left"/>
        </w:tabs>
        <w:numPr>
          <w:ilvl w:val="0"/>
          <w:numId w:val="2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Executive’s Acknowledgements</w:t>
      </w:r>
      <w:r>
        <w:rPr>
          <w:rFonts w:ascii="Times New Roman" w:cs="Times New Roman" w:eastAsia="Times New Roman" w:hAnsi="Times New Roman"/>
          <w:sz w:val="20"/>
          <w:szCs w:val="20"/>
          <w:color w:val="auto"/>
        </w:rPr>
        <w:t>. By executing and delivering this Confirming Release, Executive expressly acknowledges that:</w:t>
      </w:r>
    </w:p>
    <w:p>
      <w:pPr>
        <w:spacing w:after="0" w:line="214" w:lineRule="exact"/>
        <w:rPr>
          <w:rFonts w:ascii="Times New Roman" w:cs="Times New Roman" w:eastAsia="Times New Roman" w:hAnsi="Times New Roman"/>
          <w:sz w:val="20"/>
          <w:szCs w:val="20"/>
          <w:u w:val="single" w:color="auto"/>
          <w:color w:val="auto"/>
        </w:rPr>
      </w:pPr>
    </w:p>
    <w:p>
      <w:pPr>
        <w:jc w:val="both"/>
        <w:ind w:left="-8" w:firstLine="757"/>
        <w:spacing w:after="0" w:line="246" w:lineRule="auto"/>
        <w:tabs>
          <w:tab w:leader="none" w:pos="1011"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has been given at least 21 days to review and consider this Confirming Release. If Executive signs this Confirming before the expiration of 21 days after Executive’s receipt of this Confirming Release, Executive has knowingly and voluntarily waived any longer consideration period than the one provided to Executive and such earlier signature was not induced by the Company through fraud, misrepresentation or a threat to withdraw or alter this Confirming Release prior to the expiration of such 21-day period. No changes (whether material or immaterial) to this Confirming Release shall restart the running of this 21-day period.</w:t>
      </w:r>
    </w:p>
    <w:p>
      <w:pPr>
        <w:spacing w:after="0" w:line="183" w:lineRule="exact"/>
        <w:rPr>
          <w:rFonts w:ascii="Times New Roman" w:cs="Times New Roman" w:eastAsia="Times New Roman" w:hAnsi="Times New Roman"/>
          <w:sz w:val="20"/>
          <w:szCs w:val="20"/>
          <w:color w:val="auto"/>
        </w:rPr>
      </w:pPr>
    </w:p>
    <w:p>
      <w:pPr>
        <w:ind w:left="-8" w:firstLine="757"/>
        <w:spacing w:after="0" w:line="268" w:lineRule="auto"/>
        <w:tabs>
          <w:tab w:leader="none" w:pos="1011"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is receiving, pursuant to this Confirming Release and the Separation Agreement, consideration in addition to anything of value to which Executive is already entitled;</w:t>
      </w:r>
    </w:p>
    <w:p>
      <w:pPr>
        <w:spacing w:after="0" w:line="160" w:lineRule="exact"/>
        <w:rPr>
          <w:rFonts w:ascii="Times New Roman" w:cs="Times New Roman" w:eastAsia="Times New Roman" w:hAnsi="Times New Roman"/>
          <w:sz w:val="20"/>
          <w:szCs w:val="20"/>
          <w:color w:val="auto"/>
        </w:rPr>
      </w:pPr>
    </w:p>
    <w:p>
      <w:pPr>
        <w:ind w:left="-8" w:firstLine="757"/>
        <w:spacing w:after="0" w:line="268" w:lineRule="auto"/>
        <w:tabs>
          <w:tab w:leader="none" w:pos="1011"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has been advised, and hereby is advised in writing, to discuss this Confirming Release with an attorney of Executive’s choice and that Executive has had an adequate opportunity to do so prior to executing this Confirming Release;</w:t>
      </w:r>
    </w:p>
    <w:p>
      <w:pPr>
        <w:spacing w:after="0" w:line="160" w:lineRule="exact"/>
        <w:rPr>
          <w:rFonts w:ascii="Times New Roman" w:cs="Times New Roman" w:eastAsia="Times New Roman" w:hAnsi="Times New Roman"/>
          <w:sz w:val="20"/>
          <w:szCs w:val="20"/>
          <w:color w:val="auto"/>
        </w:rPr>
      </w:pPr>
    </w:p>
    <w:p>
      <w:pPr>
        <w:jc w:val="both"/>
        <w:ind w:left="-8" w:firstLine="757"/>
        <w:spacing w:after="0" w:line="246" w:lineRule="auto"/>
        <w:tabs>
          <w:tab w:leader="none" w:pos="1011"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fully understands the final and binding effect of this Confirming Release; the only promises made to Executive to sign this Confirming Release are those stated herein and in the Separation Agreement; Executive is signing this Confirming Release knowingly, voluntarily and of Executive’s own free will with the full intent of releasing the Company Parties of all claims; Executive acknowledges and agrees that Executive has carefully read the Separation Agreement and this Confirming Release; and that Executive understands and agrees to each of the terms of the Separation Agreement and this Confirming Release;</w:t>
      </w:r>
    </w:p>
    <w:p>
      <w:pPr>
        <w:spacing w:after="0" w:line="183" w:lineRule="exact"/>
        <w:rPr>
          <w:rFonts w:ascii="Times New Roman" w:cs="Times New Roman" w:eastAsia="Times New Roman" w:hAnsi="Times New Roman"/>
          <w:sz w:val="20"/>
          <w:szCs w:val="20"/>
          <w:color w:val="auto"/>
        </w:rPr>
      </w:pPr>
    </w:p>
    <w:p>
      <w:pPr>
        <w:ind w:left="-8" w:firstLine="757"/>
        <w:spacing w:after="0" w:line="268" w:lineRule="auto"/>
        <w:tabs>
          <w:tab w:leader="none" w:pos="1011"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only matters relied upon by Executive in causing Executive to sign this Confirming Release are the provisions set forth in writing within the four corners of the Separation Agreement and this Confirming Release; and</w:t>
      </w:r>
    </w:p>
    <w:p>
      <w:pPr>
        <w:spacing w:after="0" w:line="160" w:lineRule="exact"/>
        <w:rPr>
          <w:rFonts w:ascii="Times New Roman" w:cs="Times New Roman" w:eastAsia="Times New Roman" w:hAnsi="Times New Roman"/>
          <w:sz w:val="20"/>
          <w:szCs w:val="20"/>
          <w:color w:val="auto"/>
        </w:rPr>
      </w:pPr>
    </w:p>
    <w:p>
      <w:pPr>
        <w:jc w:val="both"/>
        <w:ind w:left="-8" w:firstLine="757"/>
        <w:spacing w:after="0" w:line="253" w:lineRule="auto"/>
        <w:tabs>
          <w:tab w:leader="none" w:pos="1011"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Company Party has provided any tax or legal advice regarding this Confirming Release, and Executive has had an adequate opportunity to receive sufficient tax and legal advice from advisors of Executive’s own choosing such that Executive enters into this Confirming Release with full understanding of the tax and legal implications thereof.</w:t>
      </w:r>
    </w:p>
    <w:p>
      <w:pPr>
        <w:spacing w:after="0" w:line="176" w:lineRule="exact"/>
        <w:rPr>
          <w:rFonts w:ascii="Times New Roman" w:cs="Times New Roman" w:eastAsia="Times New Roman" w:hAnsi="Times New Roman"/>
          <w:sz w:val="20"/>
          <w:szCs w:val="20"/>
          <w:color w:val="auto"/>
        </w:rPr>
      </w:pPr>
    </w:p>
    <w:p>
      <w:pPr>
        <w:jc w:val="both"/>
        <w:ind w:left="-8" w:firstLine="8"/>
        <w:spacing w:after="0" w:line="259" w:lineRule="auto"/>
        <w:tabs>
          <w:tab w:leader="none" w:pos="501" w:val="left"/>
        </w:tabs>
        <w:numPr>
          <w:ilvl w:val="0"/>
          <w:numId w:val="20"/>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Revocation Right</w:t>
      </w:r>
      <w:r>
        <w:rPr>
          <w:rFonts w:ascii="Times New Roman" w:cs="Times New Roman" w:eastAsia="Times New Roman" w:hAnsi="Times New Roman"/>
          <w:sz w:val="19"/>
          <w:szCs w:val="19"/>
          <w:color w:val="auto"/>
        </w:rPr>
        <w:t>. Notwithstanding the initial effectiveness of this Confirming Release, Executive may revoke the delivery (and therefore the effectiveness) of this Confirming Release within the 15-day period beginning on the date Executive executes this Confirming Release (such 15-day period being referred to herein as the “</w:t>
      </w:r>
      <w:r>
        <w:rPr>
          <w:rFonts w:ascii="Times New Roman" w:cs="Times New Roman" w:eastAsia="Times New Roman" w:hAnsi="Times New Roman"/>
          <w:sz w:val="19"/>
          <w:szCs w:val="19"/>
          <w:u w:val="single" w:color="auto"/>
          <w:color w:val="auto"/>
        </w:rPr>
        <w:t>Release Revocation Period</w:t>
      </w:r>
      <w:r>
        <w:rPr>
          <w:rFonts w:ascii="Times New Roman" w:cs="Times New Roman" w:eastAsia="Times New Roman" w:hAnsi="Times New Roman"/>
          <w:sz w:val="19"/>
          <w:szCs w:val="19"/>
          <w:color w:val="auto"/>
        </w:rPr>
        <w:t>”). To be effective, such revocation must be in writing signed by Executive and must be delivered personally or by courier to the Company so that it is received by Giovanni Insana, Chief Legal Officer and Secretary, 10850 Via Frontera, San Diego, California 92127 (email: Giovanni.Insana@petco.com) no later than 11:59 pm CT on the last day of the Release Revocation Period. If an effective revocation is delivered in the foregoing manner and timeframe, this Confirming Release will be no force or effect and Executive will not receive the payments or benefits set forth in Section 2 of the Agreement.</w:t>
      </w:r>
    </w:p>
    <w:p>
      <w:pPr>
        <w:spacing w:after="0" w:line="169" w:lineRule="exact"/>
        <w:rPr>
          <w:rFonts w:ascii="Times New Roman" w:cs="Times New Roman" w:eastAsia="Times New Roman" w:hAnsi="Times New Roman"/>
          <w:sz w:val="19"/>
          <w:szCs w:val="19"/>
          <w:u w:val="single" w:color="auto"/>
          <w:color w:val="auto"/>
        </w:rPr>
      </w:pPr>
    </w:p>
    <w:p>
      <w:pPr>
        <w:jc w:val="both"/>
        <w:ind w:left="-8" w:firstLine="8"/>
        <w:spacing w:after="0" w:line="249" w:lineRule="auto"/>
        <w:tabs>
          <w:tab w:leader="none" w:pos="501" w:val="left"/>
        </w:tabs>
        <w:numPr>
          <w:ilvl w:val="0"/>
          <w:numId w:val="2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Return of Property</w:t>
      </w:r>
      <w:r>
        <w:rPr>
          <w:rFonts w:ascii="Times New Roman" w:cs="Times New Roman" w:eastAsia="Times New Roman" w:hAnsi="Times New Roman"/>
          <w:sz w:val="20"/>
          <w:szCs w:val="20"/>
          <w:color w:val="auto"/>
        </w:rPr>
        <w:t>. Executive represents and warrants that, except as otherwise expressly permitted by the Company, Executive has returned, or shall promptly upon request return, to the Company all property belonging to the Company or any other Company Party, including all computer files, electronically stored information, computers and other materials and items provided to Executive by the Company or any other Company Party in the course of Executive’s employment and Executive further</w:t>
      </w:r>
    </w:p>
    <w:p>
      <w:pPr>
        <w:spacing w:after="0" w:line="362" w:lineRule="exact"/>
        <w:rPr>
          <w:sz w:val="20"/>
          <w:szCs w:val="20"/>
          <w:color w:val="auto"/>
        </w:rPr>
      </w:pPr>
    </w:p>
    <w:p>
      <w:pPr>
        <w:ind w:left="432"/>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477520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42" w:name="page43"/>
    <w:bookmarkEnd w:id="42"/>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represents and warrants that Executive has not maintained a copy of any such materials or items in any form.</w:t>
      </w:r>
    </w:p>
    <w:p>
      <w:pPr>
        <w:spacing w:after="0" w:line="21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auto"/>
        </w:rPr>
        <w:t>EXECUTIVE HAS CAREFULLY READ THIS CONFIRMING RELEASE, FULLY UNDERSTANDS HIS AGREEMENT, AND SIGNS IT AS HIS OWN FREE ACT.</w:t>
      </w:r>
    </w:p>
    <w:p>
      <w:pPr>
        <w:spacing w:after="0" w:line="16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0"/>
          <w:szCs w:val="20"/>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424815</wp:posOffset>
            </wp:positionV>
            <wp:extent cx="125476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6">
                      <a:extLst>
                        <a:ext uri="{28A0092B-C50C-407E-A947-70E740481C1C}"/>
                      </a:extLst>
                    </a:blip>
                    <a:srcRect/>
                    <a:stretch>
                      <a:fillRect/>
                    </a:stretch>
                  </pic:blipFill>
                  <pic:spPr bwMode="auto">
                    <a:xfrm>
                      <a:off x="0" y="0"/>
                      <a:ext cx="12547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Amy College</w:t>
      </w:r>
    </w:p>
    <w:p>
      <w:pPr>
        <w:spacing w:after="0" w:line="22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-10795</wp:posOffset>
            </wp:positionV>
            <wp:extent cx="123380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7">
                      <a:extLst>
                        <a:ext uri="{28A0092B-C50C-407E-A947-70E740481C1C}"/>
                      </a:extLst>
                    </a:blip>
                    <a:srcRect/>
                    <a:stretch>
                      <a:fillRect/>
                    </a:stretch>
                  </pic:blipFill>
                  <pic:spPr bwMode="auto">
                    <a:xfrm>
                      <a:off x="0" y="0"/>
                      <a:ext cx="1233805" cy="8255"/>
                    </a:xfrm>
                    <a:prstGeom prst="rect">
                      <a:avLst/>
                    </a:prstGeom>
                    <a:noFill/>
                  </pic:spPr>
                </pic:pic>
              </a:graphicData>
            </a:graphic>
          </wp:anchor>
        </w:drawing>
      </w:r>
    </w:p>
    <w:p>
      <w:pPr>
        <w:spacing w:after="0" w:line="3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Joel Anderson, certify that:</w:t>
      </w:r>
    </w:p>
    <w:p>
      <w:pPr>
        <w:spacing w:after="0" w:line="225"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Petco Health and Wellness Company, Inc.;</w:t>
      </w:r>
    </w:p>
    <w:p>
      <w:pPr>
        <w:spacing w:after="0" w:line="22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020" w:right="340" w:hanging="504"/>
        <w:spacing w:after="0" w:line="265"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020" w:right="500" w:hanging="504"/>
        <w:spacing w:after="0" w:line="312" w:lineRule="auto"/>
        <w:tabs>
          <w:tab w:leader="none" w:pos="102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20" w:right="20" w:hanging="504"/>
        <w:spacing w:after="0" w:line="265"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740" w:hanging="504"/>
        <w:spacing w:after="0" w:line="281"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440" w:hanging="504"/>
        <w:spacing w:after="0" w:line="281"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ind w:left="20"/>
        <w:spacing w:after="0"/>
        <w:tabs>
          <w:tab w:leader="none" w:pos="5700" w:val="left"/>
          <w:tab w:leader="none" w:pos="8020" w:val="left"/>
        </w:tabs>
        <w:rPr>
          <w:sz w:val="20"/>
          <w:szCs w:val="20"/>
          <w:color w:val="auto"/>
        </w:rPr>
      </w:pPr>
      <w:r>
        <w:rPr>
          <w:rFonts w:ascii="Times New Roman" w:cs="Times New Roman" w:eastAsia="Times New Roman" w:hAnsi="Times New Roman"/>
          <w:sz w:val="18"/>
          <w:szCs w:val="18"/>
          <w:color w:val="auto"/>
        </w:rPr>
        <w:t>Date: September 10,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Joel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3900805</wp:posOffset>
            </wp:positionH>
            <wp:positionV relativeFrom="paragraph">
              <wp:posOffset>26035</wp:posOffset>
            </wp:positionV>
            <wp:extent cx="323659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9">
                      <a:extLst>
                        <a:ext uri="{28A0092B-C50C-407E-A947-70E740481C1C}"/>
                      </a:extLst>
                    </a:blip>
                    <a:srcRect/>
                    <a:stretch>
                      <a:fillRect/>
                    </a:stretch>
                  </pic:blipFill>
                  <pic:spPr bwMode="auto">
                    <a:xfrm>
                      <a:off x="0" y="0"/>
                      <a:ext cx="3236595" cy="8255"/>
                    </a:xfrm>
                    <a:prstGeom prst="rect">
                      <a:avLst/>
                    </a:prstGeom>
                    <a:noFill/>
                  </pic:spPr>
                </pic:pic>
              </a:graphicData>
            </a:graphic>
          </wp:anchor>
        </w:drawing>
      </w:r>
    </w:p>
    <w:p>
      <w:pPr>
        <w:spacing w:after="0" w:line="21"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b w:val="1"/>
          <w:bCs w:val="1"/>
          <w:color w:val="auto"/>
        </w:rPr>
        <w:t>Joel Anderson</w:t>
      </w:r>
    </w:p>
    <w:p>
      <w:pPr>
        <w:spacing w:after="0" w:line="22"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2"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617855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LaRose, certify that:</w:t>
      </w:r>
    </w:p>
    <w:p>
      <w:pPr>
        <w:spacing w:after="0" w:line="225"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Petco Health and Wellness Company, Inc.;</w:t>
      </w:r>
    </w:p>
    <w:p>
      <w:pPr>
        <w:spacing w:after="0" w:line="22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020" w:right="340" w:hanging="504"/>
        <w:spacing w:after="0" w:line="265" w:lineRule="auto"/>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020" w:right="500" w:hanging="504"/>
        <w:spacing w:after="0" w:line="312" w:lineRule="auto"/>
        <w:tabs>
          <w:tab w:leader="none" w:pos="102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20" w:right="20" w:hanging="504"/>
        <w:spacing w:after="0" w:line="265" w:lineRule="auto"/>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740" w:hanging="504"/>
        <w:spacing w:after="0" w:line="281" w:lineRule="auto"/>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440" w:hanging="504"/>
        <w:spacing w:after="0" w:line="281" w:lineRule="auto"/>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ind w:left="20"/>
        <w:spacing w:after="0"/>
        <w:tabs>
          <w:tab w:leader="none" w:pos="5460" w:val="left"/>
          <w:tab w:leader="none" w:pos="8020" w:val="left"/>
        </w:tabs>
        <w:rPr>
          <w:sz w:val="20"/>
          <w:szCs w:val="20"/>
          <w:color w:val="auto"/>
        </w:rPr>
      </w:pPr>
      <w:r>
        <w:rPr>
          <w:rFonts w:ascii="Times New Roman" w:cs="Times New Roman" w:eastAsia="Times New Roman" w:hAnsi="Times New Roman"/>
          <w:sz w:val="18"/>
          <w:szCs w:val="18"/>
          <w:color w:val="auto"/>
        </w:rPr>
        <w:t>Date: September 10,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LaRose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26035</wp:posOffset>
            </wp:positionV>
            <wp:extent cx="330517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1">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21"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Brian LaRose</w:t>
      </w:r>
    </w:p>
    <w:p>
      <w:pPr>
        <w:spacing w:after="0" w:line="22"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2" w:lineRule="exact"/>
        <w:rPr>
          <w:sz w:val="20"/>
          <w:szCs w:val="20"/>
          <w:color w:val="auto"/>
        </w:rPr>
      </w:pPr>
    </w:p>
    <w:p>
      <w:pPr>
        <w:jc w:val="right"/>
        <w:ind w:right="1400"/>
        <w:spacing w:after="0"/>
        <w:rPr>
          <w:sz w:val="20"/>
          <w:szCs w:val="20"/>
          <w:color w:val="auto"/>
        </w:rPr>
      </w:pPr>
      <w:r>
        <w:rPr>
          <w:rFonts w:ascii="Times New Roman" w:cs="Times New Roman" w:eastAsia="Times New Roman" w:hAnsi="Times New Roman"/>
          <w:sz w:val="18"/>
          <w:szCs w:val="18"/>
          <w:b w:val="1"/>
          <w:bCs w:val="1"/>
          <w:color w:val="auto"/>
        </w:rPr>
        <w:t>(Principal Financial Officer and</w:t>
      </w:r>
    </w:p>
    <w:p>
      <w:pPr>
        <w:spacing w:after="0" w:line="9" w:lineRule="exact"/>
        <w:rPr>
          <w:sz w:val="20"/>
          <w:szCs w:val="20"/>
          <w:color w:val="auto"/>
        </w:rPr>
      </w:pPr>
    </w:p>
    <w:p>
      <w:pPr>
        <w:jc w:val="right"/>
        <w:ind w:right="146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617855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jc w:val="both"/>
        <w:ind w:right="6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Petco Health and Wellness Company, Inc. (the “Company”) for the quarter ended August 3, 2024, as filed with the Securities and Exchange Commission on the date hereof (the “Report”), I, Joel Anderson, Chief Executive Officer of the Company, hereby certify, pursuant to 18 U.S.C. § 1350, as adopted pursuant to § 906 of the Sarbanes-Oxley Act of 2002, that:</w:t>
      </w:r>
    </w:p>
    <w:p>
      <w:pPr>
        <w:spacing w:after="0" w:line="177" w:lineRule="exact"/>
        <w:rPr>
          <w:sz w:val="20"/>
          <w:szCs w:val="20"/>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4" w:lineRule="exact"/>
        <w:rPr>
          <w:rFonts w:ascii="Times New Roman" w:cs="Times New Roman" w:eastAsia="Times New Roman" w:hAnsi="Times New Roman"/>
          <w:sz w:val="18"/>
          <w:szCs w:val="18"/>
          <w:color w:val="auto"/>
        </w:rPr>
      </w:pPr>
    </w:p>
    <w:p>
      <w:pPr>
        <w:ind w:left="1020" w:right="640" w:hanging="504"/>
        <w:spacing w:after="0" w:line="28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90" w:lineRule="exact"/>
        <w:rPr>
          <w:sz w:val="20"/>
          <w:szCs w:val="20"/>
          <w:color w:val="auto"/>
        </w:rPr>
      </w:pPr>
    </w:p>
    <w:p>
      <w:pPr>
        <w:ind w:left="20"/>
        <w:spacing w:after="0"/>
        <w:tabs>
          <w:tab w:leader="none" w:pos="5700" w:val="left"/>
          <w:tab w:leader="none" w:pos="8000" w:val="left"/>
        </w:tabs>
        <w:rPr>
          <w:sz w:val="20"/>
          <w:szCs w:val="20"/>
          <w:color w:val="auto"/>
        </w:rPr>
      </w:pPr>
      <w:r>
        <w:rPr>
          <w:rFonts w:ascii="Times New Roman" w:cs="Times New Roman" w:eastAsia="Times New Roman" w:hAnsi="Times New Roman"/>
          <w:sz w:val="18"/>
          <w:szCs w:val="18"/>
          <w:color w:val="auto"/>
        </w:rPr>
        <w:t>Date: September 10,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Joel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26035</wp:posOffset>
            </wp:positionV>
            <wp:extent cx="330517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3">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21"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b w:val="1"/>
          <w:bCs w:val="1"/>
          <w:color w:val="auto"/>
        </w:rPr>
        <w:t>Joel Anderson</w:t>
      </w:r>
    </w:p>
    <w:p>
      <w:pPr>
        <w:spacing w:after="0" w:line="22"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617855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jc w:val="both"/>
        <w:ind w:right="4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Petco Health and Wellness Company, Inc. (the “Company”) for the quarter ended August 3, 2024, as filed with the Securities and Exchange Commission on the date hereof (the “Report”), I, Brian LaRose, Chief Financial Officer of the Company, hereby certify, pursuant to 18 U.S.C. § 1350, as adopted pursuant to § 906 of the Sarbanes-Oxley Act of 2002, that:</w:t>
      </w:r>
    </w:p>
    <w:p>
      <w:pPr>
        <w:spacing w:after="0" w:line="177" w:lineRule="exact"/>
        <w:rPr>
          <w:sz w:val="20"/>
          <w:szCs w:val="20"/>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4" w:lineRule="exact"/>
        <w:rPr>
          <w:rFonts w:ascii="Times New Roman" w:cs="Times New Roman" w:eastAsia="Times New Roman" w:hAnsi="Times New Roman"/>
          <w:sz w:val="18"/>
          <w:szCs w:val="18"/>
          <w:color w:val="auto"/>
        </w:rPr>
      </w:pPr>
    </w:p>
    <w:p>
      <w:pPr>
        <w:ind w:left="1020" w:right="640" w:hanging="504"/>
        <w:spacing w:after="0" w:line="28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90" w:lineRule="exact"/>
        <w:rPr>
          <w:sz w:val="20"/>
          <w:szCs w:val="20"/>
          <w:color w:val="auto"/>
        </w:rPr>
      </w:pPr>
    </w:p>
    <w:p>
      <w:pPr>
        <w:ind w:left="20"/>
        <w:spacing w:after="0"/>
        <w:tabs>
          <w:tab w:leader="none" w:pos="5700" w:val="left"/>
          <w:tab w:leader="none" w:pos="8020" w:val="left"/>
        </w:tabs>
        <w:rPr>
          <w:sz w:val="20"/>
          <w:szCs w:val="20"/>
          <w:color w:val="auto"/>
        </w:rPr>
      </w:pPr>
      <w:r>
        <w:rPr>
          <w:rFonts w:ascii="Times New Roman" w:cs="Times New Roman" w:eastAsia="Times New Roman" w:hAnsi="Times New Roman"/>
          <w:sz w:val="18"/>
          <w:szCs w:val="18"/>
          <w:color w:val="auto"/>
        </w:rPr>
        <w:t>Date: September 10,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LaRose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26035</wp:posOffset>
            </wp:positionV>
            <wp:extent cx="330517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5">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21"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Brian LaRose</w:t>
      </w:r>
    </w:p>
    <w:p>
      <w:pPr>
        <w:spacing w:after="0" w:line="22"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2" w:lineRule="exact"/>
        <w:rPr>
          <w:sz w:val="20"/>
          <w:szCs w:val="20"/>
          <w:color w:val="auto"/>
        </w:rPr>
      </w:pPr>
    </w:p>
    <w:p>
      <w:pPr>
        <w:jc w:val="right"/>
        <w:ind w:right="1400"/>
        <w:spacing w:after="0"/>
        <w:rPr>
          <w:sz w:val="20"/>
          <w:szCs w:val="20"/>
          <w:color w:val="auto"/>
        </w:rPr>
      </w:pPr>
      <w:r>
        <w:rPr>
          <w:rFonts w:ascii="Times New Roman" w:cs="Times New Roman" w:eastAsia="Times New Roman" w:hAnsi="Times New Roman"/>
          <w:sz w:val="18"/>
          <w:szCs w:val="18"/>
          <w:b w:val="1"/>
          <w:bCs w:val="1"/>
          <w:color w:val="auto"/>
        </w:rPr>
        <w:t>(Principal Financial Officer and</w:t>
      </w:r>
    </w:p>
    <w:p>
      <w:pPr>
        <w:spacing w:after="0" w:line="9" w:lineRule="exact"/>
        <w:rPr>
          <w:sz w:val="20"/>
          <w:szCs w:val="20"/>
          <w:color w:val="auto"/>
        </w:rPr>
      </w:pPr>
    </w:p>
    <w:p>
      <w:pPr>
        <w:jc w:val="right"/>
        <w:ind w:right="146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617855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7" w:name="page48"/>
    <w:bookmarkEnd w:id="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2"/>
    </w:lvl>
  </w:abstractNum>
  <w:abstractNum w:abstractNumId="5">
    <w:nsid w:val="1BEFD79F"/>
    <w:multiLevelType w:val="hybridMultilevel"/>
    <w:lvl w:ilvl="0">
      <w:lvlJc w:val="left"/>
      <w:lvlText w:val="*"/>
      <w:numFmt w:val="bullet"/>
      <w:start w:val="1"/>
    </w:lvl>
    <w:lvl w:ilvl="1">
      <w:lvlJc w:val="left"/>
      <w:lvlText w:val="†"/>
      <w:numFmt w:val="bullet"/>
      <w:start w:val="1"/>
    </w:lvl>
    <w:lvl w:ilvl="2">
      <w:lvlJc w:val="left"/>
      <w:lvlText w:val="%3"/>
      <w:numFmt w:val="decimal"/>
      <w:start w:val="104"/>
    </w:lvl>
  </w:abstractNum>
  <w:abstractNum w:abstractNumId="6">
    <w:nsid w:val="41A7C4C9"/>
    <w:multiLevelType w:val="hybridMultilevel"/>
    <w:lvl w:ilvl="0">
      <w:lvlJc w:val="left"/>
      <w:lvlText w:val="%1."/>
      <w:numFmt w:val="decimal"/>
      <w:start w:val="1"/>
    </w:lvl>
    <w:lvl w:ilvl="1">
      <w:lvlJc w:val="left"/>
      <w:lvlText w:val="(%2)"/>
      <w:numFmt w:val="lowerLetter"/>
      <w:start w:val="1"/>
    </w:lvl>
  </w:abstractNum>
  <w:abstractNum w:abstractNumId="7">
    <w:nsid w:val="6B68079A"/>
    <w:multiLevelType w:val="hybridMultilevel"/>
    <w:lvl w:ilvl="0">
      <w:lvlJc w:val="left"/>
      <w:lvlText w:val="%1."/>
      <w:numFmt w:val="decimal"/>
      <w:start w:val="2"/>
    </w:lvl>
    <w:lvl w:ilvl="1">
      <w:lvlJc w:val="left"/>
      <w:lvlText w:val="(%2)"/>
      <w:numFmt w:val="lowerLetter"/>
      <w:start w:val="1"/>
    </w:lvl>
  </w:abstractNum>
  <w:abstractNum w:abstractNumId="8">
    <w:nsid w:val="4E6AFB66"/>
    <w:multiLevelType w:val="hybridMultilevel"/>
    <w:lvl w:ilvl="0">
      <w:lvlJc w:val="left"/>
      <w:lvlText w:val="%1."/>
      <w:numFmt w:val="decimal"/>
      <w:start w:val="3"/>
    </w:lvl>
    <w:lvl w:ilvl="1">
      <w:lvlJc w:val="left"/>
      <w:lvlText w:val="(%2)"/>
      <w:numFmt w:val="lowerLetter"/>
      <w:start w:val="1"/>
    </w:lvl>
  </w:abstractNum>
  <w:abstractNum w:abstractNumId="9">
    <w:nsid w:val="25E45D32"/>
    <w:multiLevelType w:val="hybridMultilevel"/>
    <w:lvl w:ilvl="0">
      <w:lvlJc w:val="left"/>
      <w:lvlText w:val="(%1)"/>
      <w:numFmt w:val="upperLetter"/>
      <w:start w:val="9"/>
    </w:lvl>
  </w:abstractNum>
  <w:abstractNum w:abstractNumId="10">
    <w:nsid w:val="519B500D"/>
    <w:multiLevelType w:val="hybridMultilevel"/>
    <w:lvl w:ilvl="0">
      <w:lvlJc w:val="left"/>
      <w:lvlText w:val="%1"/>
      <w:numFmt w:val="lowerLetter"/>
      <w:start w:val="1"/>
    </w:lvl>
    <w:lvl w:ilvl="1">
      <w:lvlJc w:val="left"/>
      <w:lvlText w:val="(%2)"/>
      <w:numFmt w:val="lowerLetter"/>
      <w:start w:val="3"/>
    </w:lvl>
  </w:abstractNum>
  <w:abstractNum w:abstractNumId="11">
    <w:nsid w:val="431BD7B7"/>
    <w:multiLevelType w:val="hybridMultilevel"/>
    <w:lvl w:ilvl="0">
      <w:lvlJc w:val="left"/>
      <w:lvlText w:val="(%1)"/>
      <w:numFmt w:val="lowerLetter"/>
      <w:start w:val="35"/>
    </w:lvl>
    <w:lvl w:ilvl="1">
      <w:lvlJc w:val="left"/>
      <w:lvlText w:val="%2"/>
      <w:numFmt w:val="lowerLetter"/>
      <w:start w:val="1"/>
    </w:lvl>
  </w:abstractNum>
  <w:abstractNum w:abstractNumId="12">
    <w:nsid w:val="3F2DBA31"/>
    <w:multiLevelType w:val="hybridMultilevel"/>
    <w:lvl w:ilvl="0">
      <w:lvlJc w:val="left"/>
      <w:lvlText w:val="%1."/>
      <w:numFmt w:val="decimal"/>
      <w:start w:val="4"/>
    </w:lvl>
    <w:lvl w:ilvl="1">
      <w:lvlJc w:val="left"/>
      <w:lvlText w:val="(%2)"/>
      <w:numFmt w:val="lowerLetter"/>
      <w:start w:val="1"/>
    </w:lvl>
  </w:abstractNum>
  <w:abstractNum w:abstractNumId="13">
    <w:nsid w:val="7C83E458"/>
    <w:multiLevelType w:val="hybridMultilevel"/>
    <w:lvl w:ilvl="0">
      <w:lvlJc w:val="left"/>
      <w:lvlText w:val="%1."/>
      <w:numFmt w:val="decimal"/>
      <w:start w:val="7"/>
    </w:lvl>
    <w:lvl w:ilvl="1">
      <w:lvlJc w:val="left"/>
      <w:lvlText w:val="(%2)"/>
      <w:numFmt w:val="lowerLetter"/>
      <w:start w:val="1"/>
    </w:lvl>
  </w:abstractNum>
  <w:abstractNum w:abstractNumId="14">
    <w:nsid w:val="257130A3"/>
    <w:multiLevelType w:val="hybridMultilevel"/>
    <w:lvl w:ilvl="0">
      <w:lvlJc w:val="left"/>
      <w:lvlText w:val="%1."/>
      <w:numFmt w:val="decimal"/>
      <w:start w:val="11"/>
    </w:lvl>
  </w:abstractNum>
  <w:abstractNum w:abstractNumId="15">
    <w:nsid w:val="62BBD95A"/>
    <w:multiLevelType w:val="hybridMultilevel"/>
    <w:lvl w:ilvl="0">
      <w:lvlJc w:val="left"/>
      <w:lvlText w:val="%1."/>
      <w:numFmt w:val="decimal"/>
      <w:start w:val="18"/>
    </w:lvl>
  </w:abstractNum>
  <w:abstractNum w:abstractNumId="16">
    <w:nsid w:val="436C6125"/>
    <w:multiLevelType w:val="hybridMultilevel"/>
    <w:lvl w:ilvl="0">
      <w:lvlJc w:val="left"/>
      <w:lvlText w:val="%1."/>
      <w:numFmt w:val="decimal"/>
      <w:start w:val="19"/>
    </w:lvl>
    <w:lvl w:ilvl="1">
      <w:lvlJc w:val="left"/>
      <w:lvlText w:val="(%2)"/>
      <w:numFmt w:val="lowerLetter"/>
      <w:start w:val="1"/>
    </w:lvl>
  </w:abstractNum>
  <w:abstractNum w:abstractNumId="17">
    <w:nsid w:val="628C895D"/>
    <w:multiLevelType w:val="hybridMultilevel"/>
    <w:lvl w:ilvl="0">
      <w:lvlJc w:val="left"/>
      <w:lvlText w:val="%1"/>
      <w:numFmt w:val="decimal"/>
      <w:start w:val="1"/>
    </w:lvl>
    <w:lvl w:ilvl="1">
      <w:lvlJc w:val="left"/>
      <w:lvlText w:val="(%2)"/>
      <w:numFmt w:val="lowerLetter"/>
      <w:start w:val="3"/>
    </w:lvl>
  </w:abstractNum>
  <w:abstractNum w:abstractNumId="18">
    <w:nsid w:val="333AB105"/>
    <w:multiLevelType w:val="hybridMultilevel"/>
    <w:lvl w:ilvl="0">
      <w:lvlJc w:val="left"/>
      <w:lvlText w:val="%1."/>
      <w:numFmt w:val="decimal"/>
      <w:start w:val="21"/>
    </w:lvl>
    <w:lvl w:ilvl="1">
      <w:lvlJc w:val="left"/>
      <w:lvlText w:val="%2"/>
      <w:numFmt w:val="lowerLetter"/>
      <w:start w:val="1"/>
    </w:lvl>
  </w:abstractNum>
  <w:abstractNum w:abstractNumId="19">
    <w:nsid w:val="721DA317"/>
    <w:multiLevelType w:val="hybridMultilevel"/>
    <w:lvl w:ilvl="0">
      <w:lvlJc w:val="left"/>
      <w:lvlText w:val="%1."/>
      <w:numFmt w:val="decimal"/>
      <w:start w:val="22"/>
    </w:lvl>
    <w:lvl w:ilvl="1">
      <w:lvlJc w:val="left"/>
      <w:lvlText w:val="(%2)"/>
      <w:numFmt w:val="lowerLetter"/>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9" Type="http://schemas.openxmlformats.org/officeDocument/2006/relationships/image" Target="media/image238.png"/><Relationship Id="rId250" Type="http://schemas.openxmlformats.org/officeDocument/2006/relationships/image" Target="media/image239.png"/><Relationship Id="rId251" Type="http://schemas.openxmlformats.org/officeDocument/2006/relationships/image" Target="media/image240.png"/><Relationship Id="rId252" Type="http://schemas.openxmlformats.org/officeDocument/2006/relationships/image" Target="media/image241.png"/><Relationship Id="rId253" Type="http://schemas.openxmlformats.org/officeDocument/2006/relationships/image" Target="media/image242.png"/><Relationship Id="rId254" Type="http://schemas.openxmlformats.org/officeDocument/2006/relationships/image" Target="media/image243.png"/><Relationship Id="rId255" Type="http://schemas.openxmlformats.org/officeDocument/2006/relationships/image" Target="media/image244.png"/><Relationship Id="rId256" Type="http://schemas.openxmlformats.org/officeDocument/2006/relationships/image" Target="media/image245.png"/><Relationship Id="rId257" Type="http://schemas.openxmlformats.org/officeDocument/2006/relationships/image" Target="media/image246.png"/><Relationship Id="rId258" Type="http://schemas.openxmlformats.org/officeDocument/2006/relationships/image" Target="media/image247.png"/><Relationship Id="rId259" Type="http://schemas.openxmlformats.org/officeDocument/2006/relationships/image" Target="media/image248.png"/><Relationship Id="rId260" Type="http://schemas.openxmlformats.org/officeDocument/2006/relationships/image" Target="media/image249.png"/><Relationship Id="rId261" Type="http://schemas.openxmlformats.org/officeDocument/2006/relationships/image" Target="media/image250.png"/><Relationship Id="rId262" Type="http://schemas.openxmlformats.org/officeDocument/2006/relationships/image" Target="media/image251.png"/><Relationship Id="rId263" Type="http://schemas.openxmlformats.org/officeDocument/2006/relationships/image" Target="media/image252.png"/><Relationship Id="rId264" Type="http://schemas.openxmlformats.org/officeDocument/2006/relationships/image" Target="media/image253.png"/><Relationship Id="rId265" Type="http://schemas.openxmlformats.org/officeDocument/2006/relationships/image" Target="media/image254.png"/><Relationship Id="rId266" Type="http://schemas.openxmlformats.org/officeDocument/2006/relationships/image" Target="media/image255.png"/><Relationship Id="rId267" Type="http://schemas.openxmlformats.org/officeDocument/2006/relationships/image" Target="media/image256.png"/><Relationship Id="rId268" Type="http://schemas.openxmlformats.org/officeDocument/2006/relationships/image" Target="media/image257.png"/><Relationship Id="rId269" Type="http://schemas.openxmlformats.org/officeDocument/2006/relationships/image" Target="media/image258.png"/><Relationship Id="rId270" Type="http://schemas.openxmlformats.org/officeDocument/2006/relationships/image" Target="media/image259.png"/><Relationship Id="rId271" Type="http://schemas.openxmlformats.org/officeDocument/2006/relationships/image" Target="media/image260.png"/><Relationship Id="rId272" Type="http://schemas.openxmlformats.org/officeDocument/2006/relationships/image" Target="media/image261.png"/><Relationship Id="rId273" Type="http://schemas.openxmlformats.org/officeDocument/2006/relationships/image" Target="media/image262.png"/><Relationship Id="rId274" Type="http://schemas.openxmlformats.org/officeDocument/2006/relationships/image" Target="media/image263.png"/><Relationship Id="rId275" Type="http://schemas.openxmlformats.org/officeDocument/2006/relationships/image" Target="media/image264.png"/><Relationship Id="rId276" Type="http://schemas.openxmlformats.org/officeDocument/2006/relationships/image" Target="media/image265.png"/><Relationship Id="rId245" Type="http://schemas.openxmlformats.org/officeDocument/2006/relationships/hyperlink" Target="https://www.sec.gov/Archives/edgar/data/1826470/000119312524138218/d839959dex101.htm" TargetMode="External"/><Relationship Id="rId246" Type="http://schemas.openxmlformats.org/officeDocument/2006/relationships/hyperlink" Target="https://www.sec.gov/Archives/edgar/data/1826470/000119312524138218/d839959dex102.htm" TargetMode="External"/><Relationship Id="rId247" Type="http://schemas.openxmlformats.org/officeDocument/2006/relationships/hyperlink" Target="https://www.sec.gov/Archives/edgar/data/1826470/000119312524180399/d845993dex101.htm" TargetMode="External"/><Relationship Id="rId248" Type="http://schemas.openxmlformats.org/officeDocument/2006/relationships/hyperlink" Target="https://www.sec.gov/Archives/edgar/data/1826470/000119312524192842/d87330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2024-09-10T16:10:12Z</dcterms:created>
  <dcterms:modified xsi:type="dcterms:W3CDTF">2024-09-10T16:10:12Z</dcterms:modified>
</cp:coreProperties>
</file>