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oof-20260902.htm"/>
      <w:bookmarkStart w:id="1" w:name="kswoof20260902"/>
      <w:bookmarkEnd w:id="0"/>
      <w:bookmarkEnd w:id="1"/>
      <w:r>
        <w:rPr/>
        <w:t> </w:t>
      </w:r>
    </w:p>
    <w:p>
      <w:pPr>
        <w:pStyle w:val="TextBody"/>
        <w:bidi w:val="0"/>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Heading2"/>
        <w:bidi w:val="0"/>
        <w:spacing w:before="12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02, 2026</w:t>
            </w:r>
          </w:p>
        </w:tc>
      </w:tr>
    </w:tbl>
    <w:p>
      <w:pPr>
        <w:pStyle w:val="TextBody"/>
        <w:bidi w:val="0"/>
        <w:jc w:val="center"/>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Petco Health and Wellness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001-39878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81-1005932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10850 Via Frontera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453-7845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before="12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250" w:type="dxa"/>
        <w:jc w:val="left"/>
        <w:tblInd w:w="0" w:type="dxa"/>
        <w:tblLayout w:type="fixed"/>
        <w:tblCellMar>
          <w:top w:w="28" w:type="dxa"/>
          <w:left w:w="28" w:type="dxa"/>
          <w:bottom w:w="28" w:type="dxa"/>
          <w:right w:w="28" w:type="dxa"/>
        </w:tblCellMar>
      </w:tblPr>
      <w:tblGrid>
        <w:gridCol w:w="4186"/>
        <w:gridCol w:w="146"/>
        <w:gridCol w:w="946"/>
        <w:gridCol w:w="146"/>
        <w:gridCol w:w="382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1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WOOF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 2026, Petco Health and Wellness Company, Inc. (the “Company”) issued a press release disclosing its financial results for the quarter ended August 1, 2026. The full text of the press release is attached to this Current Report on Form 8-K as Exhibit 99.1.</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scheduled a webcast call at 4:15 p.m. Eastern Time on September 2, 2026 to discuss the Company’s financial results for the quarter ended August 1, 2026. In addition to the press release, an earnings presentation will be made available on the Company’s investor relations page at ir.petco.com. A replay of the webcast call will also be made available on the Company’s investor relations page approximately two hours after the webcast call.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being furnished pursuant to Item 2.02, including Exhibit 99.1, and Item 7.01 of this Current Report on Form 8-K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(d) Exhibits</w:t>
      </w:r>
    </w:p>
    <w:p>
      <w:pPr>
        <w:pStyle w:val="Heading2"/>
        <w:bidi w:val="0"/>
        <w:jc w:val="left"/>
        <w:rPr/>
      </w:pPr>
      <w:r>
        <w:rPr/>
        <w:t> </w:t>
      </w:r>
    </w:p>
    <w:tbl>
      <w:tblPr>
        <w:tblW w:w="7412" w:type="dxa"/>
        <w:jc w:val="left"/>
        <w:tblInd w:w="0" w:type="dxa"/>
        <w:tblLayout w:type="fixed"/>
        <w:tblCellMar>
          <w:top w:w="28" w:type="dxa"/>
          <w:left w:w="28" w:type="dxa"/>
          <w:bottom w:w="28" w:type="dxa"/>
          <w:right w:w="28" w:type="dxa"/>
        </w:tblCellMar>
      </w:tblPr>
      <w:tblGrid>
        <w:gridCol w:w="811"/>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woof-ex99_1.htm">
              <w:r>
                <w:rPr>
                  <w:rStyle w:val="InternetLink"/>
                  <w:rFonts w:ascii="Times New Roman" w:hAnsi="Times New Roman"/>
                  <w:color w:val="0000FF"/>
                  <w:sz w:val="20"/>
                  <w:u w:val="single"/>
                </w:rPr>
                <w:t>Press Release, dated September 2, 2026</w:t>
              </w:r>
            </w:hyperlink>
            <w:hyperlink w:anchor="woof-ex99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469" w:type="dxa"/>
        <w:jc w:val="left"/>
        <w:tblInd w:w="0" w:type="dxa"/>
        <w:tblLayout w:type="fixed"/>
        <w:tblCellMar>
          <w:top w:w="28" w:type="dxa"/>
          <w:left w:w="28" w:type="dxa"/>
          <w:bottom w:w="28" w:type="dxa"/>
          <w:right w:w="28" w:type="dxa"/>
        </w:tblCellMar>
      </w:tblPr>
      <w:tblGrid>
        <w:gridCol w:w="556"/>
        <w:gridCol w:w="1621"/>
        <w:gridCol w:w="631"/>
        <w:gridCol w:w="366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Petco Health and Wellness Company,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66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Giovanni Insana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Giovanni Insana</w:t>
              <w:br/>
              <w:t>Chief Legal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sans-serif" w:hAnsi="sans-serif"/>
          <w:b/>
          <w:color w:val="000000"/>
          <w:sz w:val="22"/>
        </w:rPr>
      </w:pPr>
      <w:bookmarkStart w:id="2" w:name="woof-ex99_1.htm"/>
      <w:bookmarkStart w:id="3" w:name="kswoofex99_1"/>
      <w:bookmarkEnd w:id="2"/>
      <w:bookmarkEnd w:id="3"/>
      <w:r>
        <w:rPr>
          <w:rFonts w:ascii="sans-serif" w:hAnsi="sans-serif"/>
          <w:b/>
          <w:color w:val="000000"/>
          <w:sz w:val="22"/>
        </w:rPr>
        <w:t>Exhibit 99.1</w:t>
      </w:r>
      <w:r>
        <w:br w:type="page"/>
      </w:r>
    </w:p>
    <w:p>
      <w:pPr>
        <w:pStyle w:val="TextBody"/>
        <w:bidi w:val="0"/>
        <w:spacing w:before="200" w:after="200"/>
        <w:jc w:val="right"/>
        <w:rPr/>
      </w:pPr>
      <w:r>
        <w:rPr/>
        <w:t> </w:t>
      </w:r>
    </w:p>
    <w:p>
      <w:pPr>
        <w:pStyle w:val="TextBody"/>
        <w:bidi w:val="0"/>
        <w:jc w:val="left"/>
        <w:rPr/>
      </w:pPr>
      <w:r>
        <w:rPr/>
        <w:drawing>
          <wp:inline distT="0" distB="0" distL="0" distR="0">
            <wp:extent cx="22764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628650"/>
                    </a:xfrm>
                    <a:prstGeom prst="rect">
                      <a:avLst/>
                    </a:prstGeom>
                  </pic:spPr>
                </pic:pic>
              </a:graphicData>
            </a:graphic>
          </wp:inline>
        </w:drawing>
      </w:r>
    </w:p>
    <w:p>
      <w:pPr>
        <w:pStyle w:val="TextBody"/>
        <w:bidi w:val="0"/>
        <w:spacing w:before="600" w:after="283"/>
        <w:jc w:val="center"/>
        <w:rPr>
          <w:rFonts w:ascii="sans-serif" w:hAnsi="sans-serif"/>
          <w:b/>
          <w:color w:val="000000"/>
          <w:sz w:val="28"/>
        </w:rPr>
      </w:pPr>
      <w:r>
        <w:rPr>
          <w:rFonts w:ascii="sans-serif" w:hAnsi="sans-serif"/>
          <w:b/>
          <w:color w:val="000000"/>
          <w:sz w:val="28"/>
        </w:rPr>
        <w:t>Petco Reports Second Quarter 2026 Results</w:t>
      </w:r>
    </w:p>
    <w:p>
      <w:pPr>
        <w:pStyle w:val="TextBody"/>
        <w:bidi w:val="0"/>
        <w:spacing w:lineRule="auto" w:line="360" w:before="200" w:after="283"/>
        <w:jc w:val="center"/>
        <w:rPr>
          <w:rFonts w:ascii="sans-serif" w:hAnsi="sans-serif"/>
          <w:sz w:val="15"/>
        </w:rPr>
      </w:pPr>
      <w:r>
        <w:rPr>
          <w:rFonts w:ascii="sans-serif" w:hAnsi="sans-serif"/>
          <w:b/>
          <w:i/>
          <w:color w:val="000000"/>
          <w:sz w:val="22"/>
        </w:rPr>
        <w:t>2</w:t>
      </w:r>
      <w:r>
        <w:rPr>
          <w:rFonts w:ascii="sans-serif" w:hAnsi="sans-serif"/>
          <w:b/>
          <w:i/>
          <w:color w:val="000000"/>
          <w:sz w:val="15"/>
        </w:rPr>
        <w:t>nd</w:t>
      </w:r>
      <w:r>
        <w:rPr>
          <w:rFonts w:ascii="sans-serif" w:hAnsi="sans-serif"/>
          <w:color w:val="000000"/>
          <w:sz w:val="15"/>
        </w:rPr>
        <w:t xml:space="preserve"> </w:t>
      </w:r>
      <w:r>
        <w:rPr>
          <w:rFonts w:ascii="sans-serif" w:hAnsi="sans-serif"/>
          <w:b/>
          <w:i/>
          <w:color w:val="000000"/>
          <w:sz w:val="22"/>
        </w:rPr>
        <w:t>Consecutive Quarter of Positive Comparable Sales Growth</w:t>
      </w:r>
    </w:p>
    <w:p>
      <w:pPr>
        <w:pStyle w:val="TextBody"/>
        <w:bidi w:val="0"/>
        <w:spacing w:before="22" w:after="283"/>
        <w:jc w:val="center"/>
        <w:rPr>
          <w:rFonts w:ascii="sans-serif" w:hAnsi="sans-serif"/>
          <w:b/>
          <w:i/>
          <w:color w:val="000000"/>
          <w:sz w:val="22"/>
        </w:rPr>
      </w:pPr>
      <w:r>
        <w:rPr>
          <w:rFonts w:ascii="sans-serif" w:hAnsi="sans-serif"/>
          <w:b/>
          <w:i/>
          <w:color w:val="000000"/>
          <w:sz w:val="22"/>
        </w:rPr>
        <w:t>Delivered Q2 Profitability Ahead of Outlook</w:t>
      </w:r>
    </w:p>
    <w:p>
      <w:pPr>
        <w:pStyle w:val="TextBody"/>
        <w:bidi w:val="0"/>
        <w:spacing w:lineRule="auto" w:line="360" w:before="22" w:after="283"/>
        <w:jc w:val="center"/>
        <w:rPr>
          <w:rFonts w:ascii="sans-serif" w:hAnsi="sans-serif"/>
          <w:sz w:val="15"/>
        </w:rPr>
      </w:pPr>
      <w:r>
        <w:rPr>
          <w:rFonts w:ascii="sans-serif" w:hAnsi="sans-serif"/>
          <w:b/>
          <w:i/>
          <w:color w:val="000000"/>
          <w:sz w:val="22"/>
        </w:rPr>
        <w:t>Announces $75 Million Debt Prepayment, Progressing Toward 2x Leverage</w:t>
      </w:r>
      <w:r>
        <w:rPr>
          <w:rFonts w:ascii="sans-serif" w:hAnsi="sans-serif"/>
          <w:b/>
          <w:i/>
          <w:color w:val="000000"/>
          <w:sz w:val="15"/>
        </w:rPr>
        <w:t>1</w:t>
      </w:r>
      <w:r>
        <w:rPr>
          <w:rFonts w:ascii="sans-serif" w:hAnsi="sans-serif"/>
          <w:color w:val="000000"/>
          <w:sz w:val="15"/>
        </w:rPr>
        <w:t xml:space="preserve"> </w:t>
      </w:r>
      <w:r>
        <w:rPr>
          <w:rFonts w:ascii="sans-serif" w:hAnsi="sans-serif"/>
          <w:b/>
          <w:i/>
          <w:color w:val="000000"/>
          <w:sz w:val="22"/>
        </w:rPr>
        <w:t>Target</w:t>
      </w:r>
      <w:r>
        <w:rPr>
          <w:rFonts w:ascii="sans-serif" w:hAnsi="sans-serif"/>
          <w:color w:val="000000"/>
          <w:sz w:val="15"/>
        </w:rPr>
        <w:t xml:space="preserve"> </w:t>
      </w:r>
    </w:p>
    <w:p>
      <w:pPr>
        <w:pStyle w:val="TextBody"/>
        <w:bidi w:val="0"/>
        <w:spacing w:before="22" w:after="283"/>
        <w:jc w:val="center"/>
        <w:rPr>
          <w:rFonts w:ascii="sans-serif" w:hAnsi="sans-serif"/>
          <w:b/>
          <w:i/>
          <w:color w:val="000000"/>
          <w:sz w:val="22"/>
        </w:rPr>
      </w:pPr>
      <w:r>
        <w:rPr>
          <w:rFonts w:ascii="sans-serif" w:hAnsi="sans-serif"/>
          <w:b/>
          <w:i/>
          <w:color w:val="000000"/>
          <w:sz w:val="22"/>
        </w:rPr>
        <w:t>Reaffirms Fiscal 2026 Outlook</w:t>
      </w:r>
    </w:p>
    <w:p>
      <w:pPr>
        <w:pStyle w:val="TextBody"/>
        <w:bidi w:val="0"/>
        <w:spacing w:before="400" w:after="283"/>
        <w:jc w:val="both"/>
        <w:rPr>
          <w:rFonts w:ascii="sans-serif" w:hAnsi="sans-serif"/>
          <w:sz w:val="22"/>
        </w:rPr>
      </w:pPr>
      <w:r>
        <w:rPr>
          <w:rFonts w:ascii="sans-serif" w:hAnsi="sans-serif"/>
          <w:b/>
          <w:color w:val="000000"/>
          <w:sz w:val="22"/>
        </w:rPr>
        <w:t>San Diego, September 2, 2026</w:t>
      </w:r>
      <w:r>
        <w:rPr>
          <w:rFonts w:ascii="sans-serif" w:hAnsi="sans-serif"/>
          <w:color w:val="000000"/>
          <w:sz w:val="22"/>
        </w:rPr>
        <w:t xml:space="preserve"> – Petco (Nasdaq: WOOF), the retailer “where the pets go” to find everything they need to live their best lives, today reported its second quarter 2026 financial results.</w:t>
      </w:r>
    </w:p>
    <w:p>
      <w:pPr>
        <w:pStyle w:val="TextBody"/>
        <w:bidi w:val="0"/>
        <w:spacing w:before="200" w:after="283"/>
        <w:jc w:val="both"/>
        <w:rPr>
          <w:rFonts w:ascii="sans-serif" w:hAnsi="sans-serif"/>
          <w:color w:val="000000"/>
          <w:sz w:val="22"/>
        </w:rPr>
      </w:pPr>
      <w:r>
        <w:rPr>
          <w:rFonts w:ascii="sans-serif" w:hAnsi="sans-serif"/>
          <w:color w:val="000000"/>
          <w:sz w:val="22"/>
        </w:rPr>
        <w:t xml:space="preserve">Joel Anderson, Chief Executive Officer of Petco, stated, “We delivered stronger than expected profitability in the quarter while achieving our second consecutive quarter of positive comps. We were pleased to see growth in consumables, which highlights that our 'Reach for the Sky' strategy is gaining traction. Looking ahead to the second half, we are positioned to benefit from several growth drivers and are pleased to reaffirm our full-year sales and profitability outlook. We remain confident in our ability to generate sustainable, long-term growth.” </w:t>
      </w:r>
    </w:p>
    <w:p>
      <w:pPr>
        <w:pStyle w:val="Heading1"/>
        <w:bidi w:val="0"/>
        <w:spacing w:before="200" w:after="283"/>
        <w:jc w:val="left"/>
        <w:rPr>
          <w:rFonts w:ascii="sans-serif" w:hAnsi="sans-serif"/>
          <w:color w:val="000000"/>
          <w:sz w:val="22"/>
        </w:rPr>
      </w:pPr>
      <w:r>
        <w:rPr>
          <w:rFonts w:ascii="sans-serif" w:hAnsi="sans-serif"/>
          <w:color w:val="000000"/>
          <w:sz w:val="22"/>
        </w:rPr>
        <w:t>Q2 2026 Overview</w:t>
      </w:r>
    </w:p>
    <w:p>
      <w:pPr>
        <w:pStyle w:val="Heading1"/>
        <w:bidi w:val="0"/>
        <w:spacing w:before="200" w:after="283"/>
        <w:jc w:val="left"/>
        <w:rPr>
          <w:rFonts w:ascii="sans-serif" w:hAnsi="sans-serif"/>
          <w:b w:val="false"/>
          <w:color w:val="000000"/>
          <w:sz w:val="22"/>
        </w:rPr>
      </w:pPr>
      <w:r>
        <w:rPr>
          <w:rFonts w:ascii="sans-serif" w:hAnsi="sans-serif"/>
          <w:b w:val="false"/>
          <w:color w:val="000000"/>
          <w:sz w:val="22"/>
        </w:rPr>
        <w:t>In the second quarter of 2026, the Company received substantially all IEEPA tariff refunds related to tariffs paid under IEEPA in 2025 and 2026. All results below include a net benefit of $6.8 million related to such refunds, representing the proceeds net of investments to propel the repositioning of new assortments for future growth, and to a lesser degree, offset incremental fuel and tariff expense in Q2.</w:t>
      </w:r>
    </w:p>
    <w:p>
      <w:pPr>
        <w:pStyle w:val="Heading1"/>
        <w:bidi w:val="0"/>
        <w:spacing w:before="200" w:after="283"/>
        <w:jc w:val="left"/>
        <w:rPr>
          <w:rFonts w:ascii="sans-serif" w:hAnsi="sans-serif"/>
          <w:b w:val="false"/>
          <w:color w:val="000000"/>
          <w:sz w:val="22"/>
        </w:rPr>
      </w:pPr>
      <w:r>
        <w:rPr>
          <w:rFonts w:ascii="sans-serif" w:hAnsi="sans-serif"/>
          <w:b w:val="false"/>
          <w:color w:val="000000"/>
          <w:sz w:val="22"/>
        </w:rPr>
        <w:t>For the second quarter of 2026 compared to the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sales of $1.5 billion increased 0.05%; comparable sales increased 0.6%. These results reflect a sales disruption from the initial stronger-than-expected points redemption from our membership program relaunch. Prior to the relaunch, sales were trending ahead of our Q2 outlook.</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Gross profit increased to $591.1 million; gross margin rate increased 37 basis points to 39.7% of net sales, compared to $585.3 million or 39.3% of net sales last year. Without the net benefit from the tariff refund, normalized gross margin was about flat with the prior year.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Operating income increased 11.1% to $47.8 million compared to $43.0 million last year; operating margin increased 32 basis points to 3.2% compared to 2.9% of net sales last year.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income increased to $38.7 million versus $14.0 million.</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sans-serif" w:hAnsi="sans-serif"/>
          <w:sz w:val="15"/>
        </w:rPr>
      </w:pPr>
      <w:r>
        <w:rPr>
          <w:rFonts w:ascii="sans-serif" w:hAnsi="sans-serif"/>
          <w:color w:val="000000"/>
          <w:sz w:val="22"/>
        </w:rPr>
        <w:t>Adjusted EBITDA</w:t>
      </w:r>
      <w:r>
        <w:rPr>
          <w:rFonts w:ascii="sans-serif" w:hAnsi="sans-serif"/>
          <w:color w:val="000000"/>
          <w:sz w:val="15"/>
        </w:rPr>
        <w:t xml:space="preserve">2 </w:t>
      </w:r>
      <w:r>
        <w:rPr>
          <w:rFonts w:ascii="sans-serif" w:hAnsi="sans-serif"/>
          <w:color w:val="000000"/>
          <w:sz w:val="22"/>
        </w:rPr>
        <w:t>was $122.2 million versus $113.9 million. Without the net benefit from the tariff refund, normalized adjusted EBITDA was $115.4 million.</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The Company closed 1 net store, ending the quarter with 1,377 stores.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Heading1"/>
        <w:bidi w:val="0"/>
        <w:spacing w:before="200" w:after="283"/>
        <w:jc w:val="both"/>
        <w:rPr>
          <w:rFonts w:ascii="sans-serif" w:hAnsi="sans-serif"/>
          <w:b w:val="false"/>
          <w:color w:val="000000"/>
          <w:sz w:val="22"/>
        </w:rPr>
      </w:pPr>
      <w:r>
        <w:rPr>
          <w:rFonts w:ascii="sans-serif" w:hAnsi="sans-serif"/>
          <w:b w:val="false"/>
          <w:color w:val="000000"/>
          <w:sz w:val="22"/>
        </w:rPr>
        <w:t>Sabrina Simmons, Chief Financial Officer of Petco, added, “We are pleased to deliver another quarter of positive comps and deliver on our bottom-line commitments as we execute on our economic model. Subsequent to the second quarter, we voluntarily prepaid an additional $75 million in debt, bringing our total prepayments to $170 million in the past nine months. Looking ahead, we are pleased to reaffirm our full-year sales and Adjusted EBITDA outlook, reflecting confidence in our second half strategic initiatives while remaining thoughtful about balancing the dynamic backdrop while investing behind our growth priorities.”</w:t>
      </w:r>
    </w:p>
    <w:p>
      <w:pPr>
        <w:pStyle w:val="TextBody"/>
        <w:bidi w:val="0"/>
        <w:spacing w:before="200" w:after="283"/>
        <w:jc w:val="left"/>
        <w:rPr>
          <w:rFonts w:ascii="sans-serif" w:hAnsi="sans-serif"/>
          <w:sz w:val="22"/>
        </w:rPr>
      </w:pPr>
      <w:r>
        <w:rPr>
          <w:rFonts w:ascii="sans-serif" w:hAnsi="sans-serif"/>
          <w:b/>
          <w:color w:val="000000"/>
          <w:sz w:val="22"/>
        </w:rPr>
        <w:t>Q2 2026 Balance Sheet and Cash Flow</w:t>
      </w:r>
      <w:r>
        <w:rPr>
          <w:rFonts w:ascii="sans-serif" w:hAnsi="sans-serif"/>
          <w:color w:val="000000"/>
          <w:sz w:val="22"/>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Ending cash balance grew by $104.8 million to $293.5 million versus $188.7 million last year.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Inventory decreased 1.1% year-over-year versus the 0.05% increase in net sales.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Cash provided by operating activities year-to-date was $130.6 million compared to $70.4 million last year. </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sans-serif" w:hAnsi="sans-serif"/>
          <w:sz w:val="15"/>
        </w:rPr>
      </w:pPr>
      <w:r>
        <w:rPr>
          <w:rFonts w:ascii="sans-serif" w:hAnsi="sans-serif"/>
          <w:color w:val="000000"/>
          <w:sz w:val="22"/>
        </w:rPr>
        <w:t>Free cash flow</w:t>
      </w:r>
      <w:r>
        <w:rPr>
          <w:rFonts w:ascii="sans-serif" w:hAnsi="sans-serif"/>
          <w:color w:val="000000"/>
          <w:sz w:val="15"/>
        </w:rPr>
        <w:t xml:space="preserve">2 </w:t>
      </w:r>
      <w:r>
        <w:rPr>
          <w:rFonts w:ascii="sans-serif" w:hAnsi="sans-serif"/>
          <w:color w:val="000000"/>
          <w:sz w:val="22"/>
        </w:rPr>
        <w:t>was $60.8 million year-to-date versus $9.9 million last year.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Total debt was $1.48 billion, down from $1.59 billion last year.</w:t>
      </w:r>
    </w:p>
    <w:p>
      <w:pPr>
        <w:pStyle w:val="TextBody"/>
        <w:bidi w:val="0"/>
        <w:spacing w:before="0" w:after="0"/>
        <w:jc w:val="left"/>
        <w:rPr>
          <w:color w:val="000000"/>
        </w:rPr>
      </w:pPr>
      <w:r>
        <w:rPr>
          <w:color w:val="000000"/>
        </w:rPr>
        <w:t>•</w:t>
      </w:r>
    </w:p>
    <w:p>
      <w:pPr>
        <w:pStyle w:val="TextBody"/>
        <w:bidi w:val="0"/>
        <w:spacing w:lineRule="auto" w:line="360"/>
        <w:jc w:val="left"/>
        <w:rPr>
          <w:rFonts w:ascii="sans-serif" w:hAnsi="sans-serif"/>
          <w:sz w:val="15"/>
        </w:rPr>
      </w:pPr>
      <w:r>
        <w:rPr>
          <w:rFonts w:ascii="sans-serif" w:hAnsi="sans-serif"/>
          <w:color w:val="000000"/>
          <w:sz w:val="22"/>
        </w:rPr>
        <w:t>Subsequent to the second quarter, the Company prepaid $75.0 million in debt, underscoring its commitment to lowering its leverage ratio</w:t>
      </w:r>
      <w:r>
        <w:rPr>
          <w:rFonts w:ascii="sans-serif" w:hAnsi="sans-serif"/>
          <w:color w:val="000000"/>
          <w:sz w:val="15"/>
        </w:rPr>
        <w:t xml:space="preserve">1 </w:t>
      </w:r>
      <w:r>
        <w:rPr>
          <w:rFonts w:ascii="sans-serif" w:hAnsi="sans-serif"/>
          <w:color w:val="000000"/>
          <w:sz w:val="22"/>
        </w:rPr>
        <w:t xml:space="preserve">to 2x. </w:t>
      </w:r>
    </w:p>
    <w:p>
      <w:pPr>
        <w:pStyle w:val="Heading1"/>
        <w:bidi w:val="0"/>
        <w:spacing w:before="200" w:after="283"/>
        <w:jc w:val="left"/>
        <w:rPr>
          <w:rFonts w:ascii="sans-serif" w:hAnsi="sans-serif"/>
          <w:color w:val="000000"/>
          <w:sz w:val="22"/>
        </w:rPr>
      </w:pPr>
      <w:r>
        <w:rPr>
          <w:rFonts w:ascii="sans-serif" w:hAnsi="sans-serif"/>
          <w:color w:val="000000"/>
          <w:sz w:val="22"/>
        </w:rPr>
        <w:t>2026 Outlook</w:t>
      </w:r>
    </w:p>
    <w:p>
      <w:pPr>
        <w:pStyle w:val="TextBody"/>
        <w:bidi w:val="0"/>
        <w:spacing w:lineRule="auto" w:line="360" w:before="200" w:after="283"/>
        <w:jc w:val="both"/>
        <w:rPr>
          <w:rFonts w:ascii="sans-serif" w:hAnsi="sans-serif"/>
          <w:sz w:val="15"/>
        </w:rPr>
      </w:pPr>
      <w:r>
        <w:rPr>
          <w:rFonts w:ascii="sans-serif" w:hAnsi="sans-serif"/>
          <w:color w:val="000000"/>
          <w:sz w:val="22"/>
        </w:rPr>
        <w:t>The Company reaffirmed its full year 2026 net sales and Adjusted EBITDA</w:t>
      </w:r>
      <w:r>
        <w:rPr>
          <w:rFonts w:ascii="sans-serif" w:hAnsi="sans-serif"/>
          <w:color w:val="000000"/>
          <w:sz w:val="15"/>
        </w:rPr>
        <w:t xml:space="preserve">2 </w:t>
      </w:r>
      <w:r>
        <w:rPr>
          <w:rFonts w:ascii="sans-serif" w:hAnsi="sans-serif"/>
          <w:color w:val="000000"/>
          <w:sz w:val="22"/>
        </w:rPr>
        <w:t>outlook, which includes net IEEPA tariff refunds of $6.8 million, and provided its outlook for the third quarter of 2026. Given the Company's solid profit performance in the first half of the year, the outlook provides the Company the flexibility to continue investing behind its growth initiatives in the second half, while also absorbing ongoing supply chain headwinds.</w:t>
      </w:r>
    </w:p>
    <w:p>
      <w:pPr>
        <w:pStyle w:val="TextBody"/>
        <w:bidi w:val="0"/>
        <w:spacing w:before="200" w:after="283"/>
        <w:jc w:val="both"/>
        <w:rPr>
          <w:rFonts w:ascii="sans-serif" w:hAnsi="sans-serif"/>
          <w:color w:val="000000"/>
          <w:sz w:val="22"/>
        </w:rPr>
      </w:pPr>
      <w:r>
        <w:rPr>
          <w:rFonts w:ascii="sans-serif" w:hAnsi="sans-serif"/>
          <w:color w:val="000000"/>
          <w:sz w:val="22"/>
        </w:rPr>
        <w:t>Assumptions in the outlook include that economic conditions, currency rates and the tax and regulatory landscape remain generally consistent, and that current or planned tariffs on imports into the U.S. from China and other countries as of September 2, 2026, will remain at current levels. Additionally, the outlook assumes no additional IEEPA tariff refunds are received for the balance of the year.</w:t>
      </w:r>
    </w:p>
    <w:p>
      <w:pPr>
        <w:pStyle w:val="TextBody"/>
        <w:bidi w:val="0"/>
        <w:spacing w:before="200" w:after="283"/>
        <w:jc w:val="left"/>
        <w:rPr>
          <w:rFonts w:ascii="sans-serif" w:hAnsi="sans-serif"/>
          <w:b/>
          <w:color w:val="000000"/>
          <w:sz w:val="22"/>
        </w:rPr>
      </w:pPr>
      <w:r>
        <w:rPr>
          <w:rFonts w:ascii="sans-serif" w:hAnsi="sans-serif"/>
          <w:b/>
          <w:color w:val="000000"/>
          <w:sz w:val="22"/>
        </w:rPr>
        <w:t>Full Year 2026 Outlook</w:t>
      </w:r>
    </w:p>
    <w:p>
      <w:pPr>
        <w:pStyle w:val="TextBody"/>
        <w:bidi w:val="0"/>
        <w:jc w:val="left"/>
        <w:rPr/>
      </w:pPr>
      <w:r>
        <w:rPr/>
        <w:t> </w:t>
      </w:r>
    </w:p>
    <w:tbl>
      <w:tblPr>
        <w:tblW w:w="6275" w:type="dxa"/>
        <w:jc w:val="left"/>
        <w:tblInd w:w="0" w:type="dxa"/>
        <w:tblLayout w:type="fixed"/>
        <w:tblCellMar>
          <w:top w:w="28" w:type="dxa"/>
          <w:left w:w="28" w:type="dxa"/>
          <w:bottom w:w="28" w:type="dxa"/>
          <w:right w:w="28" w:type="dxa"/>
        </w:tblCellMar>
      </w:tblPr>
      <w:tblGrid>
        <w:gridCol w:w="3040"/>
        <w:gridCol w:w="3235"/>
      </w:tblGrid>
      <w:tr>
        <w:trPr/>
        <w:tc>
          <w:tcPr>
            <w:tcW w:w="3040" w:type="dxa"/>
            <w:tcBorders/>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ind w:left="0" w:right="0" w:firstLine="886"/>
              <w:jc w:val="left"/>
              <w:rPr>
                <w:sz w:val="4"/>
                <w:szCs w:val="4"/>
              </w:rPr>
            </w:pPr>
            <w:r>
              <w:rPr>
                <w:sz w:val="4"/>
                <w:szCs w:val="4"/>
              </w:rPr>
            </w:r>
          </w:p>
        </w:tc>
      </w:tr>
      <w:tr>
        <w:trPr/>
        <w:tc>
          <w:tcPr>
            <w:tcW w:w="3040" w:type="dxa"/>
            <w:tcBorders>
              <w:top w:val="single" w:sz="4" w:space="0" w:color="000000"/>
              <w:left w:val="single" w:sz="4" w:space="0" w:color="000000"/>
              <w:bottom w:val="single" w:sz="4" w:space="0" w:color="000000"/>
              <w:right w:val="single" w:sz="4" w:space="0" w:color="000000"/>
            </w:tcBorders>
            <w:shd w:fill="001F60" w:val="clear"/>
            <w:vAlign w:val="center"/>
          </w:tcPr>
          <w:p>
            <w:pPr>
              <w:pStyle w:val="TableContents"/>
              <w:bidi w:val="0"/>
              <w:spacing w:before="0" w:after="283"/>
              <w:ind w:left="0" w:right="0" w:firstLine="886"/>
              <w:jc w:val="center"/>
              <w:rPr/>
            </w:pPr>
            <w:r>
              <w:rPr/>
              <w:t> </w:t>
            </w:r>
          </w:p>
        </w:tc>
        <w:tc>
          <w:tcPr>
            <w:tcW w:w="3235" w:type="dxa"/>
            <w:tcBorders>
              <w:top w:val="single" w:sz="4" w:space="0" w:color="000000"/>
              <w:bottom w:val="single" w:sz="4" w:space="0" w:color="000000"/>
              <w:right w:val="single" w:sz="4" w:space="0" w:color="000000"/>
            </w:tcBorders>
            <w:shd w:fill="001F60" w:val="clear"/>
            <w:tcMar>
              <w:left w:w="0" w:type="dxa"/>
            </w:tcMar>
            <w:vAlign w:val="center"/>
          </w:tcPr>
          <w:p>
            <w:pPr>
              <w:pStyle w:val="TableContents"/>
              <w:bidi w:val="0"/>
              <w:spacing w:before="0" w:after="283"/>
              <w:ind w:left="0" w:right="0" w:firstLine="144"/>
              <w:jc w:val="center"/>
              <w:rPr>
                <w:rFonts w:ascii="sans-serif" w:hAnsi="sans-serif"/>
                <w:b/>
                <w:color w:val="FFFFFF"/>
                <w:sz w:val="20"/>
              </w:rPr>
            </w:pPr>
            <w:r>
              <w:rPr>
                <w:rFonts w:ascii="sans-serif" w:hAnsi="sans-serif"/>
                <w:b/>
                <w:color w:val="FFFFFF"/>
                <w:sz w:val="20"/>
              </w:rPr>
              <w:t>FY 2026 Outlook*</w:t>
            </w:r>
          </w:p>
        </w:tc>
      </w:tr>
      <w:tr>
        <w:trPr/>
        <w:tc>
          <w:tcPr>
            <w:tcW w:w="30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44"/>
              <w:jc w:val="left"/>
              <w:rPr>
                <w:rFonts w:ascii="sans-serif" w:hAnsi="sans-serif"/>
                <w:color w:val="000000"/>
                <w:sz w:val="20"/>
              </w:rPr>
            </w:pPr>
            <w:r>
              <w:rPr>
                <w:rFonts w:ascii="sans-serif" w:hAnsi="sans-serif"/>
                <w:color w:val="000000"/>
                <w:sz w:val="20"/>
              </w:rPr>
              <w:t>Net Sales</w:t>
            </w:r>
          </w:p>
        </w:tc>
        <w:tc>
          <w:tcPr>
            <w:tcW w:w="32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44"/>
              <w:jc w:val="center"/>
              <w:rPr>
                <w:rFonts w:ascii="sans-serif" w:hAnsi="sans-serif"/>
                <w:color w:val="000000"/>
                <w:sz w:val="20"/>
              </w:rPr>
            </w:pPr>
            <w:r>
              <w:rPr>
                <w:rFonts w:ascii="sans-serif" w:hAnsi="sans-serif"/>
                <w:color w:val="000000"/>
                <w:sz w:val="20"/>
              </w:rPr>
              <w:t>Flat to up 1.5% year over year</w:t>
            </w:r>
          </w:p>
        </w:tc>
      </w:tr>
      <w:tr>
        <w:trPr/>
        <w:tc>
          <w:tcPr>
            <w:tcW w:w="3040" w:type="dxa"/>
            <w:tcBorders>
              <w:left w:val="single" w:sz="4" w:space="0" w:color="000000"/>
              <w:bottom w:val="single" w:sz="4" w:space="0" w:color="000000"/>
              <w:right w:val="single" w:sz="4" w:space="0" w:color="000000"/>
            </w:tcBorders>
            <w:tcMar>
              <w:top w:w="0" w:type="dxa"/>
            </w:tcMar>
            <w:vAlign w:val="center"/>
          </w:tcPr>
          <w:p>
            <w:pPr>
              <w:pStyle w:val="TableContents"/>
              <w:bidi w:val="0"/>
              <w:spacing w:lineRule="auto" w:line="360" w:before="0" w:after="283"/>
              <w:ind w:left="0" w:right="0" w:firstLine="144"/>
              <w:jc w:val="left"/>
              <w:rPr>
                <w:rFonts w:ascii="sans-serif" w:hAnsi="sans-serif"/>
                <w:sz w:val="20"/>
              </w:rPr>
            </w:pPr>
            <w:r>
              <w:rPr>
                <w:rFonts w:ascii="sans-serif" w:hAnsi="sans-serif"/>
                <w:color w:val="000000"/>
                <w:sz w:val="20"/>
              </w:rPr>
              <w:t>Adjusted EBITDA</w:t>
            </w:r>
            <w:r>
              <w:rPr>
                <w:rFonts w:ascii="sans-serif" w:hAnsi="sans-serif"/>
                <w:color w:val="000000"/>
                <w:sz w:val="13"/>
              </w:rPr>
              <w:t>2</w:t>
            </w:r>
          </w:p>
        </w:tc>
        <w:tc>
          <w:tcPr>
            <w:tcW w:w="32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44"/>
              <w:jc w:val="center"/>
              <w:rPr>
                <w:rFonts w:ascii="sans-serif" w:hAnsi="sans-serif"/>
                <w:color w:val="000000"/>
                <w:sz w:val="20"/>
              </w:rPr>
            </w:pPr>
            <w:r>
              <w:rPr>
                <w:rFonts w:ascii="sans-serif" w:hAnsi="sans-serif"/>
                <w:color w:val="000000"/>
                <w:sz w:val="20"/>
              </w:rPr>
              <w:t>$415 million to $430 million</w:t>
            </w:r>
          </w:p>
        </w:tc>
      </w:tr>
      <w:tr>
        <w:trPr/>
        <w:tc>
          <w:tcPr>
            <w:tcW w:w="30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44"/>
              <w:jc w:val="left"/>
              <w:rPr>
                <w:rFonts w:ascii="sans-serif" w:hAnsi="sans-serif"/>
                <w:color w:val="000000"/>
                <w:sz w:val="20"/>
              </w:rPr>
            </w:pPr>
            <w:r>
              <w:rPr>
                <w:rFonts w:ascii="sans-serif" w:hAnsi="sans-serif"/>
                <w:color w:val="000000"/>
                <w:sz w:val="20"/>
              </w:rPr>
              <w:t>Net Interest Expense</w:t>
            </w:r>
          </w:p>
        </w:tc>
        <w:tc>
          <w:tcPr>
            <w:tcW w:w="32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44"/>
              <w:jc w:val="center"/>
              <w:rPr>
                <w:rFonts w:ascii="sans-serif" w:hAnsi="sans-serif"/>
                <w:color w:val="000000"/>
                <w:sz w:val="20"/>
              </w:rPr>
            </w:pPr>
            <w:r>
              <w:rPr>
                <w:rFonts w:ascii="sans-serif" w:hAnsi="sans-serif"/>
                <w:color w:val="000000"/>
                <w:sz w:val="20"/>
              </w:rPr>
              <w:t>~$122 million</w:t>
            </w:r>
          </w:p>
        </w:tc>
      </w:tr>
      <w:tr>
        <w:trPr/>
        <w:tc>
          <w:tcPr>
            <w:tcW w:w="30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44"/>
              <w:jc w:val="left"/>
              <w:rPr>
                <w:rFonts w:ascii="sans-serif" w:hAnsi="sans-serif"/>
                <w:color w:val="000000"/>
                <w:sz w:val="20"/>
              </w:rPr>
            </w:pPr>
            <w:r>
              <w:rPr>
                <w:rFonts w:ascii="sans-serif" w:hAnsi="sans-serif"/>
                <w:color w:val="000000"/>
                <w:sz w:val="20"/>
              </w:rPr>
              <w:t>Capital Expenditures</w:t>
            </w:r>
          </w:p>
        </w:tc>
        <w:tc>
          <w:tcPr>
            <w:tcW w:w="32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44"/>
              <w:jc w:val="center"/>
              <w:rPr>
                <w:rFonts w:ascii="sans-serif" w:hAnsi="sans-serif"/>
                <w:color w:val="000000"/>
                <w:sz w:val="20"/>
              </w:rPr>
            </w:pPr>
            <w:r>
              <w:rPr>
                <w:rFonts w:ascii="sans-serif" w:hAnsi="sans-serif"/>
                <w:color w:val="000000"/>
                <w:sz w:val="20"/>
              </w:rPr>
              <w:t>~$140 million</w:t>
            </w:r>
          </w:p>
        </w:tc>
      </w:tr>
      <w:tr>
        <w:trPr/>
        <w:tc>
          <w:tcPr>
            <w:tcW w:w="30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44"/>
              <w:jc w:val="left"/>
              <w:rPr>
                <w:rFonts w:ascii="sans-serif" w:hAnsi="sans-serif"/>
                <w:color w:val="000000"/>
                <w:sz w:val="20"/>
              </w:rPr>
            </w:pPr>
            <w:r>
              <w:rPr>
                <w:rFonts w:ascii="sans-serif" w:hAnsi="sans-serif"/>
                <w:color w:val="000000"/>
                <w:sz w:val="20"/>
              </w:rPr>
              <w:t>Depreciation &amp; Amortization</w:t>
            </w:r>
          </w:p>
        </w:tc>
        <w:tc>
          <w:tcPr>
            <w:tcW w:w="32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44"/>
              <w:jc w:val="center"/>
              <w:rPr>
                <w:rFonts w:ascii="sans-serif" w:hAnsi="sans-serif"/>
                <w:color w:val="000000"/>
                <w:sz w:val="20"/>
              </w:rPr>
            </w:pPr>
            <w:r>
              <w:rPr>
                <w:rFonts w:ascii="sans-serif" w:hAnsi="sans-serif"/>
                <w:color w:val="000000"/>
                <w:sz w:val="20"/>
              </w:rPr>
              <w:t>~$200 million</w:t>
            </w:r>
          </w:p>
        </w:tc>
      </w:tr>
      <w:tr>
        <w:trPr/>
        <w:tc>
          <w:tcPr>
            <w:tcW w:w="30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44"/>
              <w:jc w:val="left"/>
              <w:rPr>
                <w:rFonts w:ascii="sans-serif" w:hAnsi="sans-serif"/>
                <w:color w:val="000000"/>
                <w:sz w:val="20"/>
              </w:rPr>
            </w:pPr>
            <w:r>
              <w:rPr>
                <w:rFonts w:ascii="sans-serif" w:hAnsi="sans-serif"/>
                <w:color w:val="000000"/>
                <w:sz w:val="20"/>
              </w:rPr>
              <w:t>Net Store Closures</w:t>
            </w:r>
          </w:p>
        </w:tc>
        <w:tc>
          <w:tcPr>
            <w:tcW w:w="32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~15-20</w:t>
            </w:r>
          </w:p>
        </w:tc>
      </w:tr>
    </w:tbl>
    <w:p>
      <w:pPr>
        <w:pStyle w:val="TextBody"/>
        <w:bidi w:val="0"/>
        <w:spacing w:before="1" w:after="283"/>
        <w:jc w:val="left"/>
        <w:rPr/>
      </w:pPr>
      <w:r>
        <w:rPr/>
        <w:t> </w:t>
      </w:r>
    </w:p>
    <w:p>
      <w:pPr>
        <w:pStyle w:val="TextBody"/>
        <w:bidi w:val="0"/>
        <w:spacing w:before="200" w:after="283"/>
        <w:jc w:val="center"/>
        <w:rPr>
          <w:rFonts w:ascii="sans-serif" w:hAnsi="sans-serif"/>
          <w:caps/>
          <w:color w:val="000000"/>
          <w:sz w:val="22"/>
        </w:rPr>
      </w:pPr>
      <w:r>
        <w:rPr>
          <w:rFonts w:ascii="sans-serif" w:hAnsi="sans-serif"/>
          <w:caps/>
          <w:color w:val="000000"/>
          <w:sz w:val="22"/>
        </w:rPr>
        <w:t>2</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TextBody"/>
        <w:bidi w:val="0"/>
        <w:jc w:val="left"/>
        <w:rPr>
          <w:rFonts w:ascii="sans-serif" w:hAnsi="sans-serif"/>
          <w:b/>
          <w:color w:val="000000"/>
          <w:sz w:val="22"/>
        </w:rPr>
      </w:pPr>
      <w:r>
        <w:rPr>
          <w:rFonts w:ascii="sans-serif" w:hAnsi="sans-serif"/>
          <w:b/>
          <w:color w:val="000000"/>
          <w:sz w:val="22"/>
        </w:rPr>
        <w:t>Third Quarter 2026 Outlook</w:t>
      </w:r>
    </w:p>
    <w:p>
      <w:pPr>
        <w:pStyle w:val="TextBody"/>
        <w:bidi w:val="0"/>
        <w:jc w:val="left"/>
        <w:rPr/>
      </w:pPr>
      <w:r>
        <w:rPr/>
        <w:t> </w:t>
      </w:r>
    </w:p>
    <w:tbl>
      <w:tblPr>
        <w:tblW w:w="4946" w:type="dxa"/>
        <w:jc w:val="left"/>
        <w:tblInd w:w="0" w:type="dxa"/>
        <w:tblLayout w:type="fixed"/>
        <w:tblCellMar>
          <w:top w:w="28" w:type="dxa"/>
          <w:left w:w="28" w:type="dxa"/>
          <w:bottom w:w="28" w:type="dxa"/>
          <w:right w:w="28" w:type="dxa"/>
        </w:tblCellMar>
      </w:tblPr>
      <w:tblGrid>
        <w:gridCol w:w="2050"/>
        <w:gridCol w:w="2896"/>
      </w:tblGrid>
      <w:tr>
        <w:trPr/>
        <w:tc>
          <w:tcPr>
            <w:tcW w:w="2050"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ind w:left="0" w:right="0" w:firstLine="886"/>
              <w:jc w:val="left"/>
              <w:rPr>
                <w:sz w:val="4"/>
                <w:szCs w:val="4"/>
              </w:rPr>
            </w:pPr>
            <w:r>
              <w:rPr>
                <w:sz w:val="4"/>
                <w:szCs w:val="4"/>
              </w:rPr>
            </w:r>
          </w:p>
        </w:tc>
      </w:tr>
      <w:tr>
        <w:trPr/>
        <w:tc>
          <w:tcPr>
            <w:tcW w:w="2050" w:type="dxa"/>
            <w:tcBorders>
              <w:top w:val="single" w:sz="4" w:space="0" w:color="000000"/>
              <w:left w:val="single" w:sz="4" w:space="0" w:color="000000"/>
              <w:bottom w:val="single" w:sz="4" w:space="0" w:color="000000"/>
              <w:right w:val="single" w:sz="4" w:space="0" w:color="000000"/>
            </w:tcBorders>
            <w:shd w:fill="002060" w:val="clear"/>
            <w:vAlign w:val="center"/>
          </w:tcPr>
          <w:p>
            <w:pPr>
              <w:pStyle w:val="TableContents"/>
              <w:bidi w:val="0"/>
              <w:spacing w:before="0" w:after="283"/>
              <w:ind w:left="0" w:right="0" w:firstLine="886"/>
              <w:jc w:val="left"/>
              <w:rPr/>
            </w:pPr>
            <w:r>
              <w:rPr/>
              <w:t> </w:t>
            </w:r>
          </w:p>
        </w:tc>
        <w:tc>
          <w:tcPr>
            <w:tcW w:w="2896" w:type="dxa"/>
            <w:tcBorders>
              <w:top w:val="single" w:sz="4" w:space="0" w:color="000000"/>
              <w:bottom w:val="single" w:sz="4" w:space="0" w:color="000000"/>
              <w:right w:val="single" w:sz="4" w:space="0" w:color="000000"/>
            </w:tcBorders>
            <w:shd w:fill="002060" w:val="clear"/>
            <w:tcMar>
              <w:left w:w="0" w:type="dxa"/>
            </w:tcMar>
            <w:vAlign w:val="center"/>
          </w:tcPr>
          <w:p>
            <w:pPr>
              <w:pStyle w:val="TableContents"/>
              <w:bidi w:val="0"/>
              <w:spacing w:before="0" w:after="283"/>
              <w:ind w:left="0" w:right="0" w:firstLine="144"/>
              <w:jc w:val="center"/>
              <w:rPr>
                <w:rFonts w:ascii="sans-serif" w:hAnsi="sans-serif"/>
                <w:b/>
                <w:color w:val="FFFFFF"/>
                <w:sz w:val="20"/>
              </w:rPr>
            </w:pPr>
            <w:r>
              <w:rPr>
                <w:rFonts w:ascii="sans-serif" w:hAnsi="sans-serif"/>
                <w:b/>
                <w:color w:val="FFFFFF"/>
                <w:sz w:val="20"/>
              </w:rPr>
              <w:t>Q3 2026 Outlook*</w:t>
            </w:r>
          </w:p>
        </w:tc>
      </w:tr>
      <w:tr>
        <w:trPr/>
        <w:tc>
          <w:tcPr>
            <w:tcW w:w="2050" w:type="dxa"/>
            <w:tcBorders>
              <w:left w:val="single" w:sz="4" w:space="0" w:color="000000"/>
              <w:bottom w:val="single" w:sz="4" w:space="0" w:color="000000"/>
              <w:right w:val="single" w:sz="4" w:space="0" w:color="000000"/>
            </w:tcBorders>
            <w:tcMar>
              <w:top w:w="0" w:type="dxa"/>
            </w:tcMar>
            <w:vAlign w:val="center"/>
          </w:tcPr>
          <w:p>
            <w:pPr>
              <w:pStyle w:val="TableContents"/>
              <w:bidi w:val="0"/>
              <w:spacing w:lineRule="auto" w:line="360" w:before="0" w:after="283"/>
              <w:ind w:left="0" w:right="0" w:firstLine="144"/>
              <w:jc w:val="left"/>
              <w:rPr>
                <w:rFonts w:ascii="sans-serif" w:hAnsi="sans-serif"/>
                <w:color w:val="000000"/>
                <w:sz w:val="20"/>
              </w:rPr>
            </w:pPr>
            <w:r>
              <w:rPr>
                <w:rFonts w:ascii="sans-serif" w:hAnsi="sans-serif"/>
                <w:color w:val="000000"/>
                <w:sz w:val="20"/>
              </w:rPr>
              <w:t xml:space="preserve">Net Sales </w:t>
            </w:r>
          </w:p>
        </w:tc>
        <w:tc>
          <w:tcPr>
            <w:tcW w:w="28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4"/>
              <w:jc w:val="center"/>
              <w:rPr>
                <w:rFonts w:ascii="sans-serif" w:hAnsi="sans-serif"/>
                <w:color w:val="000000"/>
                <w:sz w:val="20"/>
              </w:rPr>
            </w:pPr>
            <w:r>
              <w:rPr>
                <w:rFonts w:ascii="sans-serif" w:hAnsi="sans-serif"/>
                <w:color w:val="000000"/>
                <w:sz w:val="20"/>
              </w:rPr>
              <w:t xml:space="preserve">0.4% to 1.0% growth </w:t>
            </w:r>
          </w:p>
        </w:tc>
      </w:tr>
      <w:tr>
        <w:trPr/>
        <w:tc>
          <w:tcPr>
            <w:tcW w:w="205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lineRule="auto" w:line="360" w:before="0" w:after="283"/>
              <w:ind w:left="0" w:right="0" w:firstLine="144"/>
              <w:jc w:val="left"/>
              <w:rPr>
                <w:rFonts w:ascii="sans-serif" w:hAnsi="sans-serif"/>
                <w:sz w:val="20"/>
              </w:rPr>
            </w:pPr>
            <w:r>
              <w:rPr>
                <w:rFonts w:ascii="sans-serif" w:hAnsi="sans-serif"/>
                <w:color w:val="000000"/>
                <w:sz w:val="20"/>
              </w:rPr>
              <w:t xml:space="preserve">Adjusted EBITDA </w:t>
            </w:r>
            <w:r>
              <w:rPr>
                <w:rFonts w:ascii="sans-serif" w:hAnsi="sans-serif"/>
                <w:color w:val="000000"/>
                <w:sz w:val="13"/>
              </w:rPr>
              <w:t>2</w:t>
            </w:r>
          </w:p>
        </w:tc>
        <w:tc>
          <w:tcPr>
            <w:tcW w:w="28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 million to $103 million</w:t>
            </w:r>
          </w:p>
        </w:tc>
      </w:tr>
    </w:tbl>
    <w:p>
      <w:pPr>
        <w:pStyle w:val="TextBody"/>
        <w:bidi w:val="0"/>
        <w:jc w:val="left"/>
        <w:rPr/>
      </w:pPr>
      <w:r>
        <w:rPr/>
        <w:t> </w:t>
      </w:r>
    </w:p>
    <w:p>
      <w:pPr>
        <w:pStyle w:val="TextBody"/>
        <w:bidi w:val="0"/>
        <w:spacing w:before="0" w:after="0"/>
        <w:jc w:val="both"/>
        <w:rPr>
          <w:rFonts w:ascii="sans-serif" w:hAnsi="sans-serif"/>
          <w:color w:val="000000"/>
          <w:sz w:val="16"/>
        </w:rPr>
      </w:pPr>
      <w:r>
        <w:rPr>
          <w:rFonts w:ascii="sans-serif" w:hAnsi="sans-serif"/>
          <w:color w:val="000000"/>
          <w:sz w:val="16"/>
        </w:rPr>
        <w:t>(1)</w:t>
      </w:r>
    </w:p>
    <w:p>
      <w:pPr>
        <w:pStyle w:val="TextBody"/>
        <w:bidi w:val="0"/>
        <w:spacing w:lineRule="auto" w:line="360" w:before="0" w:after="0"/>
        <w:jc w:val="both"/>
        <w:rPr>
          <w:rFonts w:ascii="sans-serif" w:hAnsi="sans-serif"/>
          <w:sz w:val="11"/>
        </w:rPr>
      </w:pPr>
      <w:r>
        <w:rPr>
          <w:rFonts w:ascii="sans-serif" w:hAnsi="sans-serif"/>
          <w:color w:val="000000"/>
          <w:sz w:val="16"/>
        </w:rPr>
        <w:t>Leverage ratio is defined as net debt divided by Adjusted EBITDA</w:t>
      </w:r>
      <w:r>
        <w:rPr>
          <w:rFonts w:ascii="sans-serif" w:hAnsi="sans-serif"/>
          <w:color w:val="000000"/>
          <w:sz w:val="11"/>
        </w:rPr>
        <w:t>2</w:t>
      </w:r>
    </w:p>
    <w:p>
      <w:pPr>
        <w:pStyle w:val="TextBody"/>
        <w:bidi w:val="0"/>
        <w:spacing w:before="200" w:after="283"/>
        <w:jc w:val="both"/>
        <w:rPr>
          <w:rFonts w:ascii="sans-serif" w:hAnsi="sans-serif"/>
          <w:color w:val="000000"/>
          <w:sz w:val="16"/>
        </w:rPr>
      </w:pPr>
      <w:r>
        <w:rPr>
          <w:rFonts w:ascii="sans-serif" w:hAnsi="sans-serif"/>
          <w:color w:val="000000"/>
          <w:sz w:val="16"/>
        </w:rPr>
        <w:t>(2)</w:t>
      </w:r>
    </w:p>
    <w:p>
      <w:pPr>
        <w:pStyle w:val="TextBody"/>
        <w:bidi w:val="0"/>
        <w:spacing w:before="200" w:after="283"/>
        <w:jc w:val="both"/>
        <w:rPr>
          <w:rFonts w:ascii="sans-serif" w:hAnsi="sans-serif"/>
          <w:color w:val="000000"/>
          <w:sz w:val="16"/>
        </w:rPr>
      </w:pPr>
      <w:r>
        <w:rPr>
          <w:rFonts w:ascii="sans-serif" w:hAnsi="sans-serif"/>
          <w:color w:val="000000"/>
          <w:sz w:val="16"/>
        </w:rPr>
        <w:t>Adjusted EBITDA and Free Cash Flow are non-GAAP financial measures. See “Non-GAAP Financial Measures” for additional information on non-GAAP financial measures and a reconciliation to the most comparable GAAP measures.</w:t>
      </w:r>
    </w:p>
    <w:p>
      <w:pPr>
        <w:pStyle w:val="TextBody"/>
        <w:bidi w:val="0"/>
        <w:spacing w:before="183" w:after="283"/>
        <w:jc w:val="both"/>
        <w:rPr>
          <w:rFonts w:ascii="sans-serif" w:hAnsi="sans-serif"/>
          <w:color w:val="000000"/>
          <w:sz w:val="16"/>
        </w:rPr>
      </w:pPr>
      <w:r>
        <w:rPr>
          <w:rFonts w:ascii="sans-serif" w:hAnsi="sans-serif"/>
          <w:color w:val="000000"/>
          <w:sz w:val="16"/>
        </w:rPr>
        <w:t xml:space="preserve">* Adjusted EBITDA is a non-GAAP financial measure and has not been reconciled to the most comparable GAAP outlook because it is not possible to do so without unreasonable efforts due to the uncertainty and potential variability of reconciling items, which are dependent on future events and often outside of management’s control and which could be significant. Because such items cannot be reasonably predicted with the level of precision required, we are unable to provide outlook for the comparable GAAP measures. Forward-looking estimates of Adjusted EBITDA are made in a manner consistent with the relevant definitions and assumptions noted herein and in our filings with the Securities and Exchange Commission. </w:t>
      </w:r>
    </w:p>
    <w:p>
      <w:pPr>
        <w:pStyle w:val="Heading1"/>
        <w:bidi w:val="0"/>
        <w:spacing w:before="200" w:after="283"/>
        <w:jc w:val="left"/>
        <w:rPr>
          <w:rFonts w:ascii="sans-serif" w:hAnsi="sans-serif"/>
          <w:color w:val="000000"/>
          <w:sz w:val="22"/>
        </w:rPr>
      </w:pPr>
      <w:r>
        <w:rPr>
          <w:rFonts w:ascii="sans-serif" w:hAnsi="sans-serif"/>
          <w:color w:val="000000"/>
          <w:sz w:val="22"/>
        </w:rPr>
        <w:t>Earnings Conference Call Webcast Information:</w:t>
      </w:r>
    </w:p>
    <w:p>
      <w:pPr>
        <w:pStyle w:val="Heading1"/>
        <w:bidi w:val="0"/>
        <w:spacing w:before="200" w:after="283"/>
        <w:jc w:val="both"/>
        <w:rPr>
          <w:rFonts w:ascii="sans-serif" w:hAnsi="sans-serif"/>
          <w:sz w:val="22"/>
        </w:rPr>
      </w:pPr>
      <w:r>
        <w:rPr>
          <w:rFonts w:ascii="sans-serif" w:hAnsi="sans-serif"/>
          <w:b w:val="false"/>
          <w:color w:val="000000"/>
          <w:sz w:val="22"/>
        </w:rPr>
        <w:t xml:space="preserve">Management will host an earnings conference call on September 2, 2026 at approximately 4:15 PM Eastern Time to discuss the Company’s financial results. A live webcast of the conference call will be available on the Company's Investor Relations page at </w:t>
      </w:r>
      <w:r>
        <w:rPr>
          <w:rFonts w:ascii="sans-serif" w:hAnsi="sans-serif"/>
          <w:sz w:val="22"/>
        </w:rPr>
        <w:t>https://ir.petco.com/news-and-events/events-and-presentations.</w:t>
      </w:r>
      <w:r>
        <w:rPr>
          <w:rFonts w:ascii="sans-serif" w:hAnsi="sans-serif"/>
          <w:color w:val="000000"/>
          <w:sz w:val="22"/>
        </w:rPr>
        <w:t xml:space="preserve"> </w:t>
      </w:r>
      <w:r>
        <w:rPr>
          <w:rFonts w:ascii="sans-serif" w:hAnsi="sans-serif"/>
          <w:b w:val="false"/>
          <w:color w:val="000000"/>
          <w:sz w:val="22"/>
        </w:rPr>
        <w:t>A replay of the webcast will be available through the same link approximately two hours after the conference call.</w:t>
      </w:r>
      <w:r>
        <w:rPr>
          <w:rFonts w:ascii="sans-serif" w:hAnsi="sans-serif"/>
          <w:color w:val="000000"/>
          <w:sz w:val="22"/>
        </w:rPr>
        <w:t xml:space="preserve"> </w:t>
      </w:r>
    </w:p>
    <w:p>
      <w:pPr>
        <w:pStyle w:val="Heading1"/>
        <w:bidi w:val="0"/>
        <w:spacing w:before="200" w:after="283"/>
        <w:jc w:val="left"/>
        <w:rPr>
          <w:rFonts w:ascii="sans-serif" w:hAnsi="sans-serif"/>
          <w:color w:val="000000"/>
          <w:sz w:val="22"/>
        </w:rPr>
      </w:pPr>
      <w:r>
        <w:rPr>
          <w:rFonts w:ascii="sans-serif" w:hAnsi="sans-serif"/>
          <w:color w:val="000000"/>
          <w:sz w:val="22"/>
        </w:rPr>
        <w:t xml:space="preserve">About Petco: </w:t>
      </w:r>
    </w:p>
    <w:p>
      <w:pPr>
        <w:pStyle w:val="Heading1"/>
        <w:bidi w:val="0"/>
        <w:spacing w:before="200" w:after="283"/>
        <w:jc w:val="left"/>
        <w:rPr>
          <w:rFonts w:ascii="sans-serif" w:hAnsi="sans-serif"/>
          <w:sz w:val="22"/>
        </w:rPr>
      </w:pPr>
      <w:r>
        <w:rPr>
          <w:rFonts w:ascii="sans-serif" w:hAnsi="sans-serif"/>
          <w:b w:val="false"/>
          <w:color w:val="000000"/>
          <w:sz w:val="22"/>
        </w:rPr>
        <w:t xml:space="preserve">We're proud to be "where the pets go" to find everything they need to live their best lives for more than 60 years — from their favorite meals and toys, to trusted supplies and expert support from people who get it, because we live it. We believe in the universal truths of pet parenthood — the boundless boops, missing slippers, late night zoomies and everything in between. And we're here for it. Every tail wag, every vet visit, every step of the way. We nurture the pet-human bond in the aisles of more than 1,500 Petco stores across the U.S., Mexico and Chile. Customers experience our exclusive selection of pet care products, services, expertise and membership offerings in stores and online at </w:t>
      </w:r>
      <w:r>
        <w:rPr>
          <w:rFonts w:ascii="sans-serif" w:hAnsi="sans-serif"/>
          <w:b/>
          <w:sz w:val="22"/>
        </w:rPr>
        <w:t>petco.com</w:t>
      </w:r>
      <w:r>
        <w:rPr>
          <w:rFonts w:ascii="sans-serif" w:hAnsi="sans-serif"/>
          <w:b w:val="false"/>
          <w:color w:val="000000"/>
          <w:sz w:val="22"/>
        </w:rPr>
        <w:t xml:space="preserve">, and on the </w:t>
      </w:r>
      <w:r>
        <w:rPr>
          <w:rFonts w:ascii="sans-serif" w:hAnsi="sans-serif"/>
          <w:b/>
          <w:sz w:val="22"/>
        </w:rPr>
        <w:t>Petco app</w:t>
      </w:r>
      <w:r>
        <w:rPr>
          <w:rFonts w:ascii="sans-serif" w:hAnsi="sans-serif"/>
          <w:b w:val="false"/>
          <w:color w:val="000000"/>
          <w:sz w:val="22"/>
        </w:rPr>
        <w:t xml:space="preserve">. In 1999, we founded </w:t>
      </w:r>
      <w:r>
        <w:rPr>
          <w:rFonts w:ascii="sans-serif" w:hAnsi="sans-serif"/>
          <w:b/>
          <w:sz w:val="22"/>
        </w:rPr>
        <w:t>Petco Love</w:t>
      </w:r>
      <w:r>
        <w:rPr>
          <w:rFonts w:ascii="sans-serif" w:hAnsi="sans-serif"/>
          <w:b w:val="false"/>
          <w:color w:val="000000"/>
          <w:sz w:val="22"/>
        </w:rPr>
        <w:t>. Together, we support thousands of local animal welfare groups nationwide and have helped find homes for over 7 million animals through in-store adoption events.</w:t>
      </w:r>
    </w:p>
    <w:p>
      <w:pPr>
        <w:pStyle w:val="TextBody"/>
        <w:bidi w:val="0"/>
        <w:spacing w:before="200" w:after="283"/>
        <w:jc w:val="left"/>
        <w:rPr>
          <w:rFonts w:ascii="sans-serif" w:hAnsi="sans-serif"/>
          <w:sz w:val="22"/>
        </w:rPr>
      </w:pPr>
      <w:r>
        <w:rPr>
          <w:rFonts w:ascii="sans-serif" w:hAnsi="sans-serif"/>
          <w:b/>
          <w:color w:val="000000"/>
          <w:sz w:val="22"/>
          <w:u w:val="single"/>
        </w:rPr>
        <w:t>Forward-Looking</w:t>
      </w:r>
      <w:r>
        <w:rPr>
          <w:rFonts w:ascii="sans-serif" w:hAnsi="sans-serif"/>
          <w:color w:val="000000"/>
          <w:sz w:val="22"/>
          <w:u w:val="single"/>
        </w:rPr>
        <w:t xml:space="preserve"> </w:t>
      </w:r>
      <w:r>
        <w:rPr>
          <w:rFonts w:ascii="sans-serif" w:hAnsi="sans-serif"/>
          <w:b/>
          <w:color w:val="000000"/>
          <w:sz w:val="22"/>
          <w:u w:val="single"/>
        </w:rPr>
        <w:t>Statements:</w:t>
      </w:r>
    </w:p>
    <w:p>
      <w:pPr>
        <w:pStyle w:val="TextBody"/>
        <w:bidi w:val="0"/>
        <w:spacing w:before="200" w:after="283"/>
        <w:jc w:val="both"/>
        <w:rPr>
          <w:rFonts w:ascii="sans-serif" w:hAnsi="sans-serif"/>
          <w:color w:val="000000"/>
          <w:sz w:val="22"/>
        </w:rPr>
      </w:pPr>
      <w:r>
        <w:rPr>
          <w:rFonts w:ascii="sans-serif" w:hAnsi="sans-serif"/>
          <w:color w:val="000000"/>
          <w:sz w:val="22"/>
        </w:rPr>
        <w:t xml:space="preserve">This earnings release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Q3 and full year 2026 outlook, operational reset of our business, our competitive positioning, profitability, cash generation through our economic model, expense leverage, operating margin expansion, cost action plans and associated cost-savings, our path to sustainable, profitable growth and our expectations regarding tariffs, IEEPA tariff refunds and associated impacts. Such forward-looking statements can generally be identified by the use of forward-looking terms such as “believes,” “expects,” “may,” “intends,” “will,” “shall,” “should,” “anticipates,” “opportunity,” “illustrative,” “estimates,” “projects”, “forecasts” or the negative thereof or other variations thereon or comparable terminology. These statements are only predictions based on our current expectations and projections about future events and reflect our beliefs regarding such future events </w:t>
      </w:r>
    </w:p>
    <w:p>
      <w:pPr>
        <w:pStyle w:val="TextBody"/>
        <w:bidi w:val="0"/>
        <w:spacing w:before="200" w:after="283"/>
        <w:jc w:val="center"/>
        <w:rPr>
          <w:rFonts w:ascii="sans-serif" w:hAnsi="sans-serif"/>
          <w:caps/>
          <w:color w:val="000000"/>
          <w:sz w:val="22"/>
        </w:rPr>
      </w:pPr>
      <w:r>
        <w:rPr>
          <w:rFonts w:ascii="sans-serif" w:hAnsi="sans-serif"/>
          <w:caps/>
          <w:color w:val="000000"/>
          <w:sz w:val="22"/>
        </w:rPr>
        <w:t>3</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TextBody"/>
        <w:bidi w:val="0"/>
        <w:spacing w:before="200" w:after="283"/>
        <w:jc w:val="both"/>
        <w:rPr>
          <w:rFonts w:ascii="sans-serif" w:hAnsi="sans-serif"/>
          <w:color w:val="000000"/>
          <w:sz w:val="22"/>
        </w:rPr>
      </w:pPr>
      <w:r>
        <w:rPr>
          <w:rFonts w:ascii="sans-serif" w:hAnsi="sans-serif"/>
          <w:color w:val="000000"/>
          <w:sz w:val="22"/>
        </w:rPr>
        <w:t>and do not represent historical facts or statements of current condition. Although Petco believes that the expectations and assumptions reflected in these statements are reasonable, there can be no assurance that these expectations will prove to be correct or that any forward-looking results will occur or be realized. Nothing contained in this earnings release is, or should be relied upon as, a promise or representation or warranty as to any future matter, including any matter in respect of the operations or business or financial condition of Petco. All forward-looking statements are based on current expectations and assumptions about future events that may or may not be correct or necessarily take place and that are by their nature subject to significant uncertainties and contingencies, many of which are outside the control of Petco. Forward-looking statements are subject to a number of risks, uncertainties and other factors that could cause actual results or events to differ materially from the potential results or events discussed in the forward-looking statements, including, without limitation, those identified in this earnings release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and tariff refunds;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government shutdowns,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(xxii) our ability to deliver sustainable, profitable growth and (xxiii) the other risks, uncertainties and other factors identified under “Risk Factors” in our most recent Annual Report on Form 10-K and elsewhere in Petco’s Securities and Exchange Commission filings. The occurrence of any such factors could significantly alter the results set forth in these statements.</w:t>
      </w:r>
    </w:p>
    <w:p>
      <w:pPr>
        <w:pStyle w:val="TextBody"/>
        <w:bidi w:val="0"/>
        <w:spacing w:before="200" w:after="283"/>
        <w:jc w:val="both"/>
        <w:rPr>
          <w:rFonts w:ascii="sans-serif" w:hAnsi="sans-serif"/>
          <w:color w:val="000000"/>
          <w:sz w:val="22"/>
        </w:rPr>
      </w:pPr>
      <w:r>
        <w:rPr>
          <w:rFonts w:ascii="sans-serif" w:hAnsi="sans-serif"/>
          <w:color w:val="000000"/>
          <w:sz w:val="22"/>
        </w:rPr>
        <w:t>Petco cautions that the foregoing list of risks, uncertainties and other factors is not complete, and forward-looking statements speak only as of the date they are made. Petco undertakes no duty to update publicly any such forward-looking statement, whether as a result of new information, future events or otherwise, except as may be required by applicable law, regulation or other competent legal authority</w:t>
      </w:r>
    </w:p>
    <w:p>
      <w:pPr>
        <w:pStyle w:val="TextBody"/>
        <w:bidi w:val="0"/>
        <w:spacing w:before="200" w:after="283"/>
        <w:jc w:val="center"/>
        <w:rPr>
          <w:rFonts w:ascii="sans-serif" w:hAnsi="sans-serif"/>
          <w:caps/>
          <w:color w:val="000000"/>
          <w:sz w:val="22"/>
        </w:rPr>
      </w:pPr>
      <w:r>
        <w:rPr>
          <w:rFonts w:ascii="sans-serif" w:hAnsi="sans-serif"/>
          <w:caps/>
          <w:color w:val="000000"/>
          <w:sz w:val="22"/>
        </w:rPr>
        <w:t>4</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Heading1"/>
        <w:bidi w:val="0"/>
        <w:jc w:val="left"/>
        <w:rPr>
          <w:rFonts w:ascii="sans-serif" w:hAnsi="sans-serif"/>
          <w:color w:val="000000"/>
          <w:sz w:val="22"/>
        </w:rPr>
      </w:pPr>
      <w:r>
        <w:rPr>
          <w:rFonts w:ascii="sans-serif" w:hAnsi="sans-serif"/>
          <w:color w:val="000000"/>
          <w:sz w:val="22"/>
        </w:rPr>
        <w:t>Investor Contact:</w:t>
      </w:r>
    </w:p>
    <w:p>
      <w:pPr>
        <w:pStyle w:val="Heading1"/>
        <w:bidi w:val="0"/>
        <w:spacing w:before="200" w:after="283"/>
        <w:jc w:val="left"/>
        <w:rPr>
          <w:rFonts w:ascii="sans-serif" w:hAnsi="sans-serif"/>
          <w:b w:val="false"/>
          <w:color w:val="000000"/>
          <w:sz w:val="22"/>
        </w:rPr>
      </w:pPr>
      <w:r>
        <w:rPr>
          <w:rFonts w:ascii="sans-serif" w:hAnsi="sans-serif"/>
          <w:b w:val="false"/>
          <w:color w:val="000000"/>
          <w:sz w:val="22"/>
        </w:rPr>
        <w:t>Roxanne Meyer, InvestorRelations@petco.com</w:t>
      </w:r>
    </w:p>
    <w:p>
      <w:pPr>
        <w:pStyle w:val="Heading1"/>
        <w:bidi w:val="0"/>
        <w:spacing w:before="200" w:after="283"/>
        <w:jc w:val="left"/>
        <w:rPr>
          <w:rFonts w:ascii="sans-serif" w:hAnsi="sans-serif"/>
          <w:color w:val="000000"/>
          <w:sz w:val="22"/>
        </w:rPr>
      </w:pPr>
      <w:r>
        <w:rPr>
          <w:rFonts w:ascii="sans-serif" w:hAnsi="sans-serif"/>
          <w:color w:val="000000"/>
          <w:sz w:val="22"/>
        </w:rPr>
        <w:t>Media Contact:</w:t>
      </w:r>
    </w:p>
    <w:p>
      <w:pPr>
        <w:pStyle w:val="Heading1"/>
        <w:bidi w:val="0"/>
        <w:spacing w:before="200" w:after="283"/>
        <w:jc w:val="left"/>
        <w:rPr>
          <w:rFonts w:ascii="sans-serif" w:hAnsi="sans-serif"/>
          <w:b w:val="false"/>
          <w:color w:val="000000"/>
          <w:sz w:val="22"/>
        </w:rPr>
      </w:pPr>
      <w:r>
        <w:rPr>
          <w:rFonts w:ascii="sans-serif" w:hAnsi="sans-serif"/>
          <w:b w:val="false"/>
          <w:color w:val="000000"/>
          <w:sz w:val="22"/>
        </w:rPr>
        <w:t>Ventura Olvera, pressinquiries@petco.com</w:t>
      </w:r>
    </w:p>
    <w:p>
      <w:pPr>
        <w:pStyle w:val="TextBody"/>
        <w:bidi w:val="0"/>
        <w:spacing w:before="200" w:after="283"/>
        <w:jc w:val="center"/>
        <w:rPr>
          <w:rFonts w:ascii="sans-serif" w:hAnsi="sans-serif"/>
          <w:caps/>
          <w:color w:val="000000"/>
          <w:sz w:val="22"/>
        </w:rPr>
      </w:pPr>
      <w:r>
        <w:rPr>
          <w:rFonts w:ascii="sans-serif" w:hAnsi="sans-serif"/>
          <w:caps/>
          <w:color w:val="000000"/>
          <w:sz w:val="22"/>
        </w:rPr>
        <w:t>5</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Heading1"/>
        <w:bidi w:val="0"/>
        <w:jc w:val="center"/>
        <w:rPr>
          <w:rFonts w:ascii="sans-serif" w:hAnsi="sans-serif"/>
          <w:color w:val="000000"/>
          <w:sz w:val="22"/>
        </w:rPr>
      </w:pPr>
      <w:r>
        <w:rPr>
          <w:rFonts w:ascii="sans-serif" w:hAnsi="sans-serif"/>
          <w:color w:val="000000"/>
          <w:sz w:val="22"/>
        </w:rPr>
        <w:t>PETCO HEALTH AND WELLNESS COMPANY, INC.</w:t>
      </w:r>
    </w:p>
    <w:p>
      <w:pPr>
        <w:pStyle w:val="Heading1"/>
        <w:bidi w:val="0"/>
        <w:jc w:val="center"/>
        <w:rPr>
          <w:rFonts w:ascii="sans-serif" w:hAnsi="sans-serif"/>
          <w:color w:val="000000"/>
          <w:sz w:val="22"/>
        </w:rPr>
      </w:pPr>
      <w:r>
        <w:rPr>
          <w:rFonts w:ascii="sans-serif" w:hAnsi="sans-serif"/>
          <w:color w:val="000000"/>
          <w:sz w:val="22"/>
        </w:rPr>
        <w:t>CONDENSED CONSOLIDATED STATEMENTS OF OPERATIONS</w:t>
      </w:r>
    </w:p>
    <w:p>
      <w:pPr>
        <w:pStyle w:val="Heading1"/>
        <w:bidi w:val="0"/>
        <w:jc w:val="center"/>
        <w:rPr>
          <w:rFonts w:ascii="sans-serif" w:hAnsi="sans-serif"/>
          <w:b w:val="false"/>
          <w:color w:val="000000"/>
          <w:sz w:val="22"/>
        </w:rPr>
      </w:pPr>
      <w:r>
        <w:rPr>
          <w:rFonts w:ascii="sans-serif" w:hAnsi="sans-serif"/>
          <w:b w:val="false"/>
          <w:color w:val="000000"/>
          <w:sz w:val="22"/>
        </w:rPr>
        <w:t>(In thousands, except per share amounts)</w:t>
      </w:r>
    </w:p>
    <w:p>
      <w:pPr>
        <w:pStyle w:val="Heading1"/>
        <w:bidi w:val="0"/>
        <w:jc w:val="center"/>
        <w:rPr>
          <w:rFonts w:ascii="sans-serif" w:hAnsi="sans-serif"/>
          <w:b w:val="false"/>
          <w:color w:val="000000"/>
          <w:sz w:val="22"/>
        </w:rPr>
      </w:pPr>
      <w:r>
        <w:rPr>
          <w:rFonts w:ascii="sans-serif" w:hAnsi="sans-serif"/>
          <w:b w:val="false"/>
          <w:color w:val="000000"/>
          <w:sz w:val="22"/>
        </w:rPr>
        <w:t>(Unaudited and subject to reclassification)</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4"/>
        <w:gridCol w:w="146"/>
        <w:gridCol w:w="226"/>
        <w:gridCol w:w="1096"/>
        <w:gridCol w:w="181"/>
        <w:gridCol w:w="146"/>
        <w:gridCol w:w="226"/>
        <w:gridCol w:w="1096"/>
        <w:gridCol w:w="181"/>
        <w:gridCol w:w="146"/>
        <w:gridCol w:w="226"/>
        <w:gridCol w:w="1096"/>
        <w:gridCol w:w="181"/>
        <w:gridCol w:w="146"/>
        <w:gridCol w:w="226"/>
        <w:gridCol w:w="1096"/>
        <w:gridCol w:w="826"/>
      </w:tblGrid>
      <w:tr>
        <w:trPr/>
        <w:tc>
          <w:tcPr>
            <w:tcW w:w="2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13 Weeks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26 Weeks Ended</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2,</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2,</w:t>
              <w:br/>
              <w:t>2025</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sales: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1,216,857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1,225,605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2,444,944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2,467,496</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Services and other</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272,363</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262,924</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541,008</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514,432</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1,489,220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1,488,529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2,985,952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2,981,928</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sales: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733,898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747,143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1,491,676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1,513,428</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Services and other</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164,175</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156,067</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328,704</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313,213</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898,073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903,210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1,820,380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1,826,641</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b/>
                <w:color w:val="000000"/>
                <w:sz w:val="18"/>
              </w:rPr>
            </w:pPr>
            <w:r>
              <w:rPr>
                <w:rFonts w:ascii="sans-serif" w:hAnsi="sans-serif"/>
                <w:b/>
                <w:color w:val="000000"/>
                <w:sz w:val="18"/>
              </w:rPr>
              <w:t>Gross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591,147</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585,319</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1,165,572</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1,155,287</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543,335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542,297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1,093,134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1,095,906</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b/>
                <w:color w:val="000000"/>
                <w:sz w:val="18"/>
              </w:rPr>
            </w:pPr>
            <w:r>
              <w:rPr>
                <w:rFonts w:ascii="sans-serif" w:hAnsi="sans-serif"/>
                <w:b/>
                <w:color w:val="000000"/>
                <w:sz w:val="18"/>
              </w:rPr>
              <w:t>Operating income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47,812</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43,022</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72,438</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59,381</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(2,268</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32,556</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33,297</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65,340</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66,791</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b/>
                <w:color w:val="000000"/>
                <w:sz w:val="18"/>
              </w:rPr>
            </w:pPr>
            <w:r>
              <w:rPr>
                <w:rFonts w:ascii="sans-serif" w:hAnsi="sans-serif"/>
                <w:b/>
                <w:color w:val="000000"/>
                <w:sz w:val="18"/>
              </w:rPr>
              <w:t>Income (loss) before income taxes and income from</w:t>
              <w:br/>
              <w:t>   equity method investees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17,749</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10,634</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(753</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(5,142</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1,241</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from equity method investees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(5,201</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(4,084</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(10,756</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(8,694</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b/>
                <w:color w:val="000000"/>
                <w:sz w:val="18"/>
              </w:rPr>
            </w:pPr>
            <w:r>
              <w:rPr>
                <w:rFonts w:ascii="sans-serif" w:hAnsi="sans-serif"/>
                <w:b/>
                <w:color w:val="000000"/>
                <w:sz w:val="18"/>
              </w:rPr>
              <w:t xml:space="preserve">Net income attributable to Class A and B-1 common </w:t>
              <w:br/>
              <w:t>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38,660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13,972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23,514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2,311</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Net income per Class A and B-1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Basic</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0.14</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0.05</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0.08</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0.01</w:t>
            </w:r>
          </w:p>
        </w:tc>
        <w:tc>
          <w:tcPr>
            <w:tcW w:w="82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0.01</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Weighted average shares used in computing net income per</w:t>
              <w:br/>
              <w:t>   Class A and B-1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2964"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Basic</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285,629</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279,058</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284,657</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278,303</w:t>
            </w:r>
          </w:p>
        </w:tc>
        <w:tc>
          <w:tcPr>
            <w:tcW w:w="82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290,497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285,741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289,691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284,350</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TextBody"/>
        <w:bidi w:val="0"/>
        <w:spacing w:before="200" w:after="283"/>
        <w:jc w:val="center"/>
        <w:rPr>
          <w:rFonts w:ascii="sans-serif" w:hAnsi="sans-serif"/>
          <w:caps/>
          <w:color w:val="000000"/>
          <w:sz w:val="22"/>
        </w:rPr>
      </w:pPr>
      <w:r>
        <w:rPr>
          <w:rFonts w:ascii="sans-serif" w:hAnsi="sans-serif"/>
          <w:caps/>
          <w:color w:val="000000"/>
          <w:sz w:val="22"/>
        </w:rPr>
        <w:t>6</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Heading1"/>
        <w:bidi w:val="0"/>
        <w:jc w:val="center"/>
        <w:rPr>
          <w:rFonts w:ascii="sans-serif" w:hAnsi="sans-serif"/>
          <w:color w:val="000000"/>
          <w:sz w:val="22"/>
        </w:rPr>
      </w:pPr>
      <w:r>
        <w:rPr>
          <w:rFonts w:ascii="sans-serif" w:hAnsi="sans-serif"/>
          <w:color w:val="000000"/>
          <w:sz w:val="22"/>
        </w:rPr>
        <w:t>PETCO HEALTH AND WELLNESS COMPANY, INC.</w:t>
      </w:r>
    </w:p>
    <w:p>
      <w:pPr>
        <w:pStyle w:val="Heading1"/>
        <w:bidi w:val="0"/>
        <w:jc w:val="center"/>
        <w:rPr>
          <w:rFonts w:ascii="sans-serif" w:hAnsi="sans-serif"/>
          <w:color w:val="000000"/>
          <w:sz w:val="22"/>
        </w:rPr>
      </w:pPr>
      <w:r>
        <w:rPr>
          <w:rFonts w:ascii="sans-serif" w:hAnsi="sans-serif"/>
          <w:color w:val="000000"/>
          <w:sz w:val="22"/>
        </w:rPr>
        <w:t>CONSOLIDATED BALANCE SHEETS</w:t>
      </w:r>
    </w:p>
    <w:p>
      <w:pPr>
        <w:pStyle w:val="Heading1"/>
        <w:bidi w:val="0"/>
        <w:jc w:val="center"/>
        <w:rPr>
          <w:rFonts w:ascii="sans-serif" w:hAnsi="sans-serif"/>
          <w:b w:val="false"/>
          <w:color w:val="000000"/>
          <w:sz w:val="22"/>
        </w:rPr>
      </w:pPr>
      <w:r>
        <w:rPr>
          <w:rFonts w:ascii="sans-serif" w:hAnsi="sans-serif"/>
          <w:b w:val="false"/>
          <w:color w:val="000000"/>
          <w:sz w:val="22"/>
        </w:rPr>
        <w:t>(In thousands, except per share amounts)</w:t>
      </w:r>
    </w:p>
    <w:p>
      <w:pPr>
        <w:pStyle w:val="Heading1"/>
        <w:bidi w:val="0"/>
        <w:jc w:val="center"/>
        <w:rPr>
          <w:rFonts w:ascii="sans-serif" w:hAnsi="sans-serif"/>
          <w:b w:val="false"/>
          <w:color w:val="000000"/>
          <w:sz w:val="22"/>
        </w:rPr>
      </w:pPr>
      <w:r>
        <w:rPr>
          <w:rFonts w:ascii="sans-serif" w:hAnsi="sans-serif"/>
          <w:b w:val="false"/>
          <w:color w:val="000000"/>
          <w:sz w:val="22"/>
        </w:rPr>
        <w:t>(Unaudited and subject to reclassification)</w:t>
      </w:r>
    </w:p>
    <w:p>
      <w:pPr>
        <w:pStyle w:val="Heading1"/>
        <w:bidi w:val="0"/>
        <w:jc w:val="left"/>
        <w:rPr/>
      </w:pPr>
      <w:r>
        <w:rPr/>
        <w:t> </w:t>
      </w:r>
    </w:p>
    <w:tbl>
      <w:tblPr>
        <w:tblW w:w="8599" w:type="dxa"/>
        <w:jc w:val="left"/>
        <w:tblInd w:w="0" w:type="dxa"/>
        <w:tblLayout w:type="fixed"/>
        <w:tblCellMar>
          <w:top w:w="28" w:type="dxa"/>
          <w:left w:w="28" w:type="dxa"/>
          <w:bottom w:w="28" w:type="dxa"/>
          <w:right w:w="28" w:type="dxa"/>
        </w:tblCellMar>
      </w:tblPr>
      <w:tblGrid>
        <w:gridCol w:w="5206"/>
        <w:gridCol w:w="146"/>
        <w:gridCol w:w="211"/>
        <w:gridCol w:w="991"/>
        <w:gridCol w:w="166"/>
        <w:gridCol w:w="146"/>
        <w:gridCol w:w="211"/>
        <w:gridCol w:w="991"/>
        <w:gridCol w:w="53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January 31,</w:t>
              <w:br/>
              <w:t>2026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Cash and cash equivalents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293,498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256,736</w:t>
            </w:r>
          </w:p>
        </w:tc>
        <w:tc>
          <w:tcPr>
            <w:tcW w:w="531"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60"/>
              <w:jc w:val="left"/>
              <w:rPr>
                <w:rFonts w:ascii="sans-serif" w:hAnsi="sans-serif"/>
                <w:sz w:val="16"/>
              </w:rPr>
            </w:pPr>
            <w:r>
              <w:rPr>
                <w:rFonts w:ascii="sans-serif" w:hAnsi="sans-serif"/>
                <w:color w:val="000000"/>
                <w:sz w:val="16"/>
              </w:rPr>
              <w:t>Receivables, less allowance for credit losses</w:t>
            </w:r>
            <w:r>
              <w:rPr>
                <w:rFonts w:ascii="sans-serif" w:hAnsi="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45,812</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Merchandise inventories,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601,591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590,210</w:t>
            </w:r>
          </w:p>
        </w:tc>
        <w:tc>
          <w:tcPr>
            <w:tcW w:w="531"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51,747</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Other current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65,190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75,281</w:t>
            </w:r>
          </w:p>
        </w:tc>
        <w:tc>
          <w:tcPr>
            <w:tcW w:w="53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1,053,098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1,019,786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Fixed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2,433,782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2,378,208</w:t>
            </w:r>
          </w:p>
        </w:tc>
        <w:tc>
          <w:tcPr>
            <w:tcW w:w="53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(1,803,480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(1,722,060</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Fixed assets,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630,302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656,148</w:t>
            </w:r>
          </w:p>
        </w:tc>
        <w:tc>
          <w:tcPr>
            <w:tcW w:w="53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1,268,518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1,288,593</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Goodwill</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980,064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980,064</w:t>
            </w:r>
          </w:p>
        </w:tc>
        <w:tc>
          <w:tcPr>
            <w:tcW w:w="53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1,025,000</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long-term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209,668</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203,834</w:t>
            </w:r>
          </w:p>
        </w:tc>
        <w:tc>
          <w:tcPr>
            <w:tcW w:w="53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5,166,650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5,173,425</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LIABILITIES AND EQUITY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Accounts payable and book overdrafts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455,314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450,552</w:t>
            </w:r>
          </w:p>
        </w:tc>
        <w:tc>
          <w:tcPr>
            <w:tcW w:w="531"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Accrued salaries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154,148</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Accrued expenses and other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225,908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204,751</w:t>
            </w:r>
          </w:p>
        </w:tc>
        <w:tc>
          <w:tcPr>
            <w:tcW w:w="531"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340,643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320,082</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Current portion of long-term debt and other lease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12,061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4,608</w:t>
            </w:r>
          </w:p>
        </w:tc>
        <w:tc>
          <w:tcPr>
            <w:tcW w:w="53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1,166,444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1,134,141</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Senior secured credit facilities, net, excluding current portion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872,798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1,488,527</w:t>
            </w:r>
          </w:p>
        </w:tc>
        <w:tc>
          <w:tcPr>
            <w:tcW w:w="53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590,567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Operating lease liabilities, excluding current portion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1,005,146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1,047,185</w:t>
            </w:r>
          </w:p>
        </w:tc>
        <w:tc>
          <w:tcPr>
            <w:tcW w:w="53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Deferred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234,911</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Other long-term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77,907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104,407</w:t>
            </w:r>
          </w:p>
        </w:tc>
        <w:tc>
          <w:tcPr>
            <w:tcW w:w="53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3,959,723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4,009,171</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Commitments and contingencies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lineRule="auto" w:line="360" w:before="0" w:after="283"/>
              <w:ind w:left="0" w:right="0" w:firstLine="160"/>
              <w:jc w:val="left"/>
              <w:rPr>
                <w:rFonts w:ascii="sans-serif" w:hAnsi="sans-serif"/>
                <w:sz w:val="16"/>
              </w:rPr>
            </w:pPr>
            <w:r>
              <w:rPr>
                <w:rFonts w:ascii="sans-serif" w:hAnsi="sans-serif"/>
                <w:color w:val="000000"/>
                <w:sz w:val="16"/>
              </w:rPr>
              <w:t>Class A common stock</w:t>
            </w:r>
            <w:r>
              <w:rPr>
                <w:rFonts w:ascii="sans-serif" w:hAnsi="sans-serif"/>
                <w:color w:val="000000"/>
                <w:sz w:val="11"/>
              </w:rPr>
              <w:t>2</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244</w:t>
            </w:r>
          </w:p>
        </w:tc>
        <w:tc>
          <w:tcPr>
            <w:tcW w:w="531"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60"/>
              <w:jc w:val="left"/>
              <w:rPr>
                <w:rFonts w:ascii="sans-serif" w:hAnsi="sans-serif"/>
                <w:sz w:val="16"/>
              </w:rPr>
            </w:pPr>
            <w:r>
              <w:rPr>
                <w:rFonts w:ascii="sans-serif" w:hAnsi="sans-serif"/>
                <w:color w:val="000000"/>
                <w:sz w:val="16"/>
              </w:rPr>
              <w:t>Class B-1 common stock</w:t>
            </w:r>
            <w:r>
              <w:rPr>
                <w:rFonts w:ascii="sans-serif" w:hAnsi="sans-serif"/>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lineRule="auto" w:line="360" w:before="0" w:after="283"/>
              <w:ind w:left="0" w:right="0" w:firstLine="160"/>
              <w:jc w:val="left"/>
              <w:rPr>
                <w:rFonts w:ascii="sans-serif" w:hAnsi="sans-serif"/>
                <w:sz w:val="16"/>
              </w:rPr>
            </w:pPr>
            <w:r>
              <w:rPr>
                <w:rFonts w:ascii="sans-serif" w:hAnsi="sans-serif"/>
                <w:color w:val="000000"/>
                <w:sz w:val="16"/>
              </w:rPr>
              <w:t>Class B-2 common stock</w:t>
            </w:r>
            <w:r>
              <w:rPr>
                <w:rFonts w:ascii="sans-serif" w:hAnsi="sans-serif"/>
                <w:color w:val="000000"/>
                <w:sz w:val="11"/>
              </w:rPr>
              <w:t>4</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31"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60"/>
              <w:jc w:val="left"/>
              <w:rPr>
                <w:rFonts w:ascii="sans-serif" w:hAnsi="sans-serif"/>
                <w:sz w:val="16"/>
              </w:rPr>
            </w:pPr>
            <w:r>
              <w:rPr>
                <w:rFonts w:ascii="sans-serif" w:hAnsi="sans-serif"/>
                <w:color w:val="000000"/>
                <w:sz w:val="16"/>
              </w:rPr>
              <w:t>Preferred stock</w:t>
            </w:r>
            <w:r>
              <w:rPr>
                <w:rFonts w:ascii="sans-serif" w:hAnsi="sans-serif"/>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Additional paid-in-capital</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2,328,170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2,312,354</w:t>
            </w:r>
          </w:p>
        </w:tc>
        <w:tc>
          <w:tcPr>
            <w:tcW w:w="531"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(1,116,479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(1,139,993</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Accumulated other comprehensive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(5,050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(8,389</w:t>
            </w:r>
          </w:p>
        </w:tc>
        <w:tc>
          <w:tcPr>
            <w:tcW w:w="53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1,206,927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1,164,254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206" w:type="dxa"/>
            <w:tcBorders/>
            <w:shd w:fill="DEEBF7"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liabilities and stockholders’ equity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5,166,650</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5,173,425</w:t>
            </w:r>
          </w:p>
        </w:tc>
        <w:tc>
          <w:tcPr>
            <w:tcW w:w="53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TextBody"/>
        <w:bidi w:val="0"/>
        <w:spacing w:lineRule="auto" w:line="360" w:before="0" w:after="0"/>
        <w:jc w:val="left"/>
        <w:rPr>
          <w:rFonts w:ascii="sans-serif" w:hAnsi="sans-serif"/>
          <w:color w:val="000000"/>
          <w:sz w:val="16"/>
        </w:rPr>
      </w:pPr>
      <w:r>
        <w:rPr>
          <w:rFonts w:ascii="sans-serif" w:hAnsi="sans-serif"/>
          <w:color w:val="000000"/>
          <w:sz w:val="16"/>
        </w:rPr>
        <w:t>1.</w:t>
      </w:r>
    </w:p>
    <w:p>
      <w:pPr>
        <w:pStyle w:val="TextBody"/>
        <w:bidi w:val="0"/>
        <w:spacing w:before="0" w:after="0"/>
        <w:jc w:val="left"/>
        <w:rPr>
          <w:rFonts w:ascii="sans-serif" w:hAnsi="sans-serif"/>
          <w:color w:val="000000"/>
          <w:sz w:val="16"/>
        </w:rPr>
      </w:pPr>
      <w:r>
        <w:rPr>
          <w:rFonts w:ascii="sans-serif" w:hAnsi="sans-serif"/>
          <w:color w:val="000000"/>
          <w:sz w:val="16"/>
        </w:rPr>
        <w:t>Allowances for credit losses are $801 and $779, respectively</w:t>
      </w:r>
    </w:p>
    <w:p>
      <w:pPr>
        <w:pStyle w:val="TextBody"/>
        <w:bidi w:val="0"/>
        <w:spacing w:lineRule="auto" w:line="360" w:before="120" w:after="283"/>
        <w:jc w:val="left"/>
        <w:rPr>
          <w:rFonts w:ascii="sans-serif" w:hAnsi="sans-serif"/>
          <w:color w:val="000000"/>
          <w:sz w:val="16"/>
        </w:rPr>
      </w:pPr>
      <w:r>
        <w:rPr>
          <w:rFonts w:ascii="sans-serif" w:hAnsi="sans-serif"/>
          <w:color w:val="000000"/>
          <w:sz w:val="16"/>
        </w:rPr>
        <w:t>2.</w:t>
      </w:r>
    </w:p>
    <w:p>
      <w:pPr>
        <w:pStyle w:val="TextBody"/>
        <w:bidi w:val="0"/>
        <w:spacing w:before="120" w:after="283"/>
        <w:jc w:val="left"/>
        <w:rPr>
          <w:rFonts w:ascii="sans-serif" w:hAnsi="sans-serif"/>
          <w:color w:val="000000"/>
          <w:sz w:val="16"/>
        </w:rPr>
      </w:pPr>
      <w:r>
        <w:rPr>
          <w:rFonts w:ascii="sans-serif" w:hAnsi="sans-serif"/>
          <w:color w:val="000000"/>
          <w:sz w:val="16"/>
        </w:rPr>
        <w:t>Class A common stock, $0.001 par value: Authorized - 1.0 billion shares; Issued and outstanding - 248.2 million and 243.7 million shares, respectively</w:t>
      </w:r>
    </w:p>
    <w:p>
      <w:pPr>
        <w:pStyle w:val="TextBody"/>
        <w:bidi w:val="0"/>
        <w:spacing w:lineRule="auto" w:line="360" w:before="120" w:after="283"/>
        <w:jc w:val="left"/>
        <w:rPr>
          <w:rFonts w:ascii="sans-serif" w:hAnsi="sans-serif"/>
          <w:color w:val="000000"/>
          <w:sz w:val="16"/>
        </w:rPr>
      </w:pPr>
      <w:r>
        <w:rPr>
          <w:rFonts w:ascii="sans-serif" w:hAnsi="sans-serif"/>
          <w:color w:val="000000"/>
          <w:sz w:val="16"/>
        </w:rPr>
        <w:t>3.</w:t>
      </w:r>
    </w:p>
    <w:p>
      <w:pPr>
        <w:pStyle w:val="TextBody"/>
        <w:bidi w:val="0"/>
        <w:spacing w:before="120" w:after="283"/>
        <w:jc w:val="left"/>
        <w:rPr>
          <w:rFonts w:ascii="sans-serif" w:hAnsi="sans-serif"/>
          <w:color w:val="000000"/>
          <w:sz w:val="16"/>
        </w:rPr>
      </w:pPr>
      <w:r>
        <w:rPr>
          <w:rFonts w:ascii="sans-serif" w:hAnsi="sans-serif"/>
          <w:color w:val="000000"/>
          <w:sz w:val="16"/>
        </w:rPr>
        <w:t>Class B-1 common stock, $0.001 par value: Authorized - 75.0 million shares; Issued and outstanding - 37.8 million shares</w:t>
      </w:r>
    </w:p>
    <w:p>
      <w:pPr>
        <w:pStyle w:val="TextBody"/>
        <w:bidi w:val="0"/>
        <w:spacing w:lineRule="auto" w:line="360" w:before="120" w:after="283"/>
        <w:jc w:val="left"/>
        <w:rPr>
          <w:rFonts w:ascii="sans-serif" w:hAnsi="sans-serif"/>
          <w:color w:val="000000"/>
          <w:sz w:val="16"/>
        </w:rPr>
      </w:pPr>
      <w:r>
        <w:rPr>
          <w:rFonts w:ascii="sans-serif" w:hAnsi="sans-serif"/>
          <w:color w:val="000000"/>
          <w:sz w:val="16"/>
        </w:rPr>
        <w:t>4.</w:t>
      </w:r>
    </w:p>
    <w:p>
      <w:pPr>
        <w:pStyle w:val="TextBody"/>
        <w:bidi w:val="0"/>
        <w:spacing w:before="120" w:after="283"/>
        <w:jc w:val="left"/>
        <w:rPr>
          <w:rFonts w:ascii="sans-serif" w:hAnsi="sans-serif"/>
          <w:color w:val="000000"/>
          <w:sz w:val="16"/>
        </w:rPr>
      </w:pPr>
      <w:r>
        <w:rPr>
          <w:rFonts w:ascii="sans-serif" w:hAnsi="sans-serif"/>
          <w:color w:val="000000"/>
          <w:sz w:val="16"/>
        </w:rPr>
        <w:t>Class B-2 common stock, $0.000001 par value: Authorized - 75.0 million shares; Issued and outstanding - 37.8 million shares</w:t>
      </w:r>
    </w:p>
    <w:p>
      <w:pPr>
        <w:pStyle w:val="TextBody"/>
        <w:bidi w:val="0"/>
        <w:spacing w:lineRule="auto" w:line="360" w:before="120" w:after="283"/>
        <w:jc w:val="left"/>
        <w:rPr>
          <w:rFonts w:ascii="sans-serif" w:hAnsi="sans-serif"/>
          <w:color w:val="000000"/>
          <w:sz w:val="16"/>
        </w:rPr>
      </w:pPr>
      <w:r>
        <w:rPr>
          <w:rFonts w:ascii="sans-serif" w:hAnsi="sans-serif"/>
          <w:color w:val="000000"/>
          <w:sz w:val="16"/>
        </w:rPr>
        <w:t>5.</w:t>
      </w:r>
    </w:p>
    <w:p>
      <w:pPr>
        <w:pStyle w:val="TextBody"/>
        <w:bidi w:val="0"/>
        <w:spacing w:before="120" w:after="283"/>
        <w:jc w:val="left"/>
        <w:rPr>
          <w:rFonts w:ascii="sans-serif" w:hAnsi="sans-serif"/>
          <w:color w:val="000000"/>
          <w:sz w:val="16"/>
        </w:rPr>
      </w:pPr>
      <w:r>
        <w:rPr>
          <w:rFonts w:ascii="sans-serif" w:hAnsi="sans-serif"/>
          <w:color w:val="000000"/>
          <w:sz w:val="16"/>
        </w:rPr>
        <w:t>Preferred stock, $0.001 par value: Authorized - 25.0 million shares; Issued and outstanding - none</w:t>
      </w:r>
    </w:p>
    <w:p>
      <w:pPr>
        <w:pStyle w:val="TextBody"/>
        <w:bidi w:val="0"/>
        <w:spacing w:before="200" w:after="283"/>
        <w:jc w:val="center"/>
        <w:rPr>
          <w:rFonts w:ascii="sans-serif" w:hAnsi="sans-serif"/>
          <w:caps/>
          <w:color w:val="000000"/>
          <w:sz w:val="22"/>
        </w:rPr>
      </w:pPr>
      <w:r>
        <w:rPr>
          <w:rFonts w:ascii="sans-serif" w:hAnsi="sans-serif"/>
          <w:caps/>
          <w:color w:val="000000"/>
          <w:sz w:val="22"/>
        </w:rPr>
        <w:t>7</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TextBody"/>
        <w:bidi w:val="0"/>
        <w:jc w:val="center"/>
        <w:rPr>
          <w:rFonts w:ascii="sans-serif" w:hAnsi="sans-serif"/>
          <w:b/>
          <w:color w:val="000000"/>
          <w:sz w:val="22"/>
        </w:rPr>
      </w:pPr>
      <w:r>
        <w:rPr>
          <w:rFonts w:ascii="sans-serif" w:hAnsi="sans-serif"/>
          <w:b/>
          <w:color w:val="000000"/>
          <w:sz w:val="22"/>
        </w:rPr>
        <w:t>PETCO HEALTH AND WELLNESS COMPANY, INC.</w:t>
      </w:r>
    </w:p>
    <w:p>
      <w:pPr>
        <w:pStyle w:val="TextBody"/>
        <w:bidi w:val="0"/>
        <w:jc w:val="center"/>
        <w:rPr>
          <w:rFonts w:ascii="sans-serif" w:hAnsi="sans-serif"/>
          <w:b/>
          <w:color w:val="000000"/>
          <w:sz w:val="22"/>
        </w:rPr>
      </w:pPr>
      <w:r>
        <w:rPr>
          <w:rFonts w:ascii="sans-serif" w:hAnsi="sans-serif"/>
          <w:b/>
          <w:color w:val="000000"/>
          <w:sz w:val="22"/>
        </w:rPr>
        <w:t>CONSOLIDATED STATEMENTS OF CASH FLOWS</w:t>
      </w:r>
    </w:p>
    <w:p>
      <w:pPr>
        <w:pStyle w:val="TextBody"/>
        <w:bidi w:val="0"/>
        <w:jc w:val="center"/>
        <w:rPr>
          <w:rFonts w:ascii="sans-serif" w:hAnsi="sans-serif"/>
          <w:color w:val="000000"/>
          <w:sz w:val="22"/>
        </w:rPr>
      </w:pPr>
      <w:r>
        <w:rPr>
          <w:rFonts w:ascii="sans-serif" w:hAnsi="sans-serif"/>
          <w:color w:val="000000"/>
          <w:sz w:val="22"/>
        </w:rPr>
        <w:t>(In thousands)</w:t>
      </w:r>
    </w:p>
    <w:p>
      <w:pPr>
        <w:pStyle w:val="TextBody"/>
        <w:bidi w:val="0"/>
        <w:jc w:val="center"/>
        <w:rPr>
          <w:rFonts w:ascii="sans-serif" w:hAnsi="sans-serif"/>
          <w:color w:val="000000"/>
          <w:sz w:val="22"/>
        </w:rPr>
      </w:pPr>
      <w:r>
        <w:rPr>
          <w:rFonts w:ascii="sans-serif" w:hAnsi="sans-serif"/>
          <w:color w:val="000000"/>
          <w:sz w:val="22"/>
        </w:rPr>
        <w:t>(Unaudited and subject to reclassification)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2"/>
        <w:gridCol w:w="146"/>
        <w:gridCol w:w="226"/>
        <w:gridCol w:w="1141"/>
        <w:gridCol w:w="181"/>
        <w:gridCol w:w="146"/>
        <w:gridCol w:w="226"/>
        <w:gridCol w:w="961"/>
        <w:gridCol w:w="1026"/>
      </w:tblGrid>
      <w:tr>
        <w:trPr/>
        <w:tc>
          <w:tcPr>
            <w:tcW w:w="6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26 Weeks Ended</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2,</w:t>
              <w:br/>
              <w:t>2025</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2,311</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Adjustments to reconcile net income to net cash provided by</w:t>
              <w:br/>
              <w:t>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99,440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99,171</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Amortization of debt discounts and issuance costs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2,689</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2,499</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Provision for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1,113</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Equity-based compensation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18,051</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18,209</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Loss on extinguishment and modification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Income from equity method investees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(10,756</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(8,694</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Amounts reclassified out of 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(413</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Non-cash operating lease costs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206,243</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205,005</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Receivables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7,427</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5,783</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Merchandise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44,823</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Prepaid expenses and other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3,696</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(9,487</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payable and book overdrafts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(69,691</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Accrued salaries and employee benefits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(21,628</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(26,729</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14,508</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Operating lease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(209,279</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(206,414</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(1,556</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provided by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130,584</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70,438</w:t>
            </w:r>
          </w:p>
        </w:tc>
        <w:tc>
          <w:tcPr>
            <w:tcW w:w="10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paid for fixed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(69,788</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(60,516</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Insurance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2,425</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received from partial surrender of officers'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(69,292</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(58,091</w:t>
            </w:r>
          </w:p>
        </w:tc>
        <w:tc>
          <w:tcPr>
            <w:tcW w:w="10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Borrowings under long-term debt agreements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1,500,000</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(1,502,250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Debt refinancing costs and original issue discount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(28,442</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Payments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(3,252</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employee stock purchase plan and stock option exercises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1,923</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1,998</w:t>
            </w:r>
          </w:p>
        </w:tc>
        <w:tc>
          <w:tcPr>
            <w:tcW w:w="10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withholdings on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(3,026</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(36,202</w:t>
            </w:r>
          </w:p>
        </w:tc>
        <w:tc>
          <w:tcPr>
            <w:tcW w:w="1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(4,280</w:t>
            </w:r>
          </w:p>
        </w:tc>
        <w:tc>
          <w:tcPr>
            <w:tcW w:w="1026"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in cash, cash equivalents and restricted cash</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25,090</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8,067</w:t>
            </w:r>
          </w:p>
        </w:tc>
        <w:tc>
          <w:tcPr>
            <w:tcW w:w="10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269,412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181,665</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2"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at end of period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294,502</w:t>
            </w:r>
          </w:p>
        </w:tc>
        <w:tc>
          <w:tcPr>
            <w:tcW w:w="1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189,732</w:t>
            </w:r>
          </w:p>
        </w:tc>
        <w:tc>
          <w:tcPr>
            <w:tcW w:w="10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sans-serif" w:hAnsi="sans-serif"/>
          <w:caps/>
          <w:color w:val="000000"/>
          <w:sz w:val="22"/>
        </w:rPr>
      </w:pPr>
      <w:r>
        <w:rPr>
          <w:rFonts w:ascii="sans-serif" w:hAnsi="sans-serif"/>
          <w:caps/>
          <w:color w:val="000000"/>
          <w:sz w:val="22"/>
        </w:rPr>
        <w:t>8</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TextBody"/>
        <w:bidi w:val="0"/>
        <w:spacing w:before="200" w:after="283"/>
        <w:jc w:val="left"/>
        <w:rPr>
          <w:rFonts w:ascii="sans-serif" w:hAnsi="sans-serif"/>
          <w:sz w:val="22"/>
        </w:rPr>
      </w:pPr>
      <w:r>
        <w:rPr>
          <w:rFonts w:ascii="sans-serif" w:hAnsi="sans-serif"/>
          <w:b/>
          <w:color w:val="000000"/>
          <w:sz w:val="22"/>
          <w:u w:val="single"/>
        </w:rPr>
        <w:t>NON-GAAP</w:t>
      </w:r>
      <w:r>
        <w:rPr>
          <w:rFonts w:ascii="sans-serif" w:hAnsi="sans-serif"/>
          <w:color w:val="000000"/>
          <w:sz w:val="22"/>
          <w:u w:val="single"/>
        </w:rPr>
        <w:t xml:space="preserve"> </w:t>
      </w:r>
      <w:r>
        <w:rPr>
          <w:rFonts w:ascii="sans-serif" w:hAnsi="sans-serif"/>
          <w:b/>
          <w:color w:val="000000"/>
          <w:sz w:val="22"/>
          <w:u w:val="single"/>
        </w:rPr>
        <w:t>FINANCIAL</w:t>
      </w:r>
      <w:r>
        <w:rPr>
          <w:rFonts w:ascii="sans-serif" w:hAnsi="sans-serif"/>
          <w:color w:val="000000"/>
          <w:sz w:val="22"/>
          <w:u w:val="single"/>
        </w:rPr>
        <w:t xml:space="preserve"> </w:t>
      </w:r>
      <w:r>
        <w:rPr>
          <w:rFonts w:ascii="sans-serif" w:hAnsi="sans-serif"/>
          <w:b/>
          <w:color w:val="000000"/>
          <w:sz w:val="22"/>
          <w:u w:val="single"/>
        </w:rPr>
        <w:t>MEASURES</w:t>
      </w:r>
    </w:p>
    <w:p>
      <w:pPr>
        <w:pStyle w:val="TextBody"/>
        <w:bidi w:val="0"/>
        <w:spacing w:before="200" w:after="283"/>
        <w:jc w:val="both"/>
        <w:rPr>
          <w:rFonts w:ascii="sans-serif" w:hAnsi="sans-serif"/>
          <w:color w:val="000000"/>
          <w:sz w:val="22"/>
        </w:rPr>
      </w:pPr>
      <w:r>
        <w:rPr>
          <w:rFonts w:ascii="sans-serif" w:hAnsi="sans-serif"/>
          <w:color w:val="000000"/>
          <w:sz w:val="22"/>
        </w:rPr>
        <w:t>The following information provides definitions and reconciliations of the non-GAAP financial measures presented in this earnings release to the most directly comparable financial measures calculated and presented in accordance with generally accepted accounting principles (GAAP). The Company has provided this non-GAAP financial information, which is not calculated or presented in accordance with GAAP, as information supplemental and in addition to the financial measures presented in this earnings release that are calculated and presented in accordance with GAAP. Such non-GAAP financial measures should not be considered superior to, as a substitute for or alternative to, and should be considered in conjunction with, the GAAP financial measures presented in this earnings release. The non-GAAP financial measures in this earnings release may differ from similarly titled measures used by other companies.</w:t>
      </w:r>
    </w:p>
    <w:p>
      <w:pPr>
        <w:pStyle w:val="TextBody"/>
        <w:bidi w:val="0"/>
        <w:spacing w:before="200" w:after="283"/>
        <w:jc w:val="left"/>
        <w:rPr>
          <w:rFonts w:ascii="sans-serif" w:hAnsi="sans-serif"/>
          <w:sz w:val="22"/>
        </w:rPr>
      </w:pPr>
      <w:r>
        <w:rPr>
          <w:rFonts w:ascii="sans-serif" w:hAnsi="sans-serif"/>
          <w:b/>
          <w:color w:val="000000"/>
          <w:sz w:val="22"/>
        </w:rPr>
        <w:t>Adjusted EBITDA</w:t>
      </w:r>
      <w:r>
        <w:rPr>
          <w:rFonts w:ascii="sans-serif" w:hAnsi="sans-serif"/>
          <w:color w:val="000000"/>
          <w:sz w:val="22"/>
        </w:rPr>
        <w:t xml:space="preserve"> </w:t>
      </w:r>
    </w:p>
    <w:p>
      <w:pPr>
        <w:pStyle w:val="TextBody"/>
        <w:bidi w:val="0"/>
        <w:spacing w:before="200" w:after="283"/>
        <w:jc w:val="both"/>
        <w:rPr>
          <w:rFonts w:ascii="sans-serif" w:hAnsi="sans-serif"/>
          <w:color w:val="000000"/>
          <w:sz w:val="22"/>
        </w:rPr>
      </w:pPr>
      <w:r>
        <w:rPr>
          <w:rFonts w:ascii="sans-serif" w:hAnsi="sans-serif"/>
          <w:color w:val="000000"/>
          <w:sz w:val="22"/>
        </w:rPr>
        <w:t>Adjusted EBITDA is considered a non-GAAP financial measure under the Securities and Exchange Commission’s (SEC) rules because it excludes certain amounts included in net income calculated in accordance with GAAP. Management believes that Adjusted EBITDA is a meaningful measure to share with investors because it facilitates comparison of the current period performance with that of the comparable prior period. In addition, Adjusted EBITDA affords investors a view of what management considers to be Petco’s core operating performance as well as the ability to make a more informed assessment of such operating performance as compared with that of the prior period. Please see the Company’s Annual Report on Form 10-K for the fiscal year ended January 31, 2026 filed with the SEC on March 13, 2026 for additional information on Adjusted EBITDA.</w:t>
      </w:r>
    </w:p>
    <w:p>
      <w:pPr>
        <w:pStyle w:val="TextBody"/>
        <w:bidi w:val="0"/>
        <w:spacing w:before="200" w:after="283"/>
        <w:jc w:val="both"/>
        <w:rPr>
          <w:rFonts w:ascii="sans-serif" w:hAnsi="sans-serif"/>
          <w:color w:val="000000"/>
          <w:sz w:val="22"/>
        </w:rPr>
      </w:pPr>
      <w:r>
        <w:rPr>
          <w:rFonts w:ascii="sans-serif" w:hAnsi="sans-serif"/>
          <w:color w:val="000000"/>
          <w:sz w:val="22"/>
        </w:rPr>
        <w:t xml:space="preserve">The table below reflects the calculation of Adjusted EBITDA for the thirteen and twenty-six weeks ended August 1, 2026 compared to the thirteen and twenty-six weeks ended August 2,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4"/>
        <w:gridCol w:w="146"/>
        <w:gridCol w:w="226"/>
        <w:gridCol w:w="1066"/>
        <w:gridCol w:w="271"/>
        <w:gridCol w:w="146"/>
        <w:gridCol w:w="226"/>
        <w:gridCol w:w="1066"/>
        <w:gridCol w:w="271"/>
        <w:gridCol w:w="146"/>
        <w:gridCol w:w="226"/>
        <w:gridCol w:w="1066"/>
        <w:gridCol w:w="271"/>
        <w:gridCol w:w="146"/>
        <w:gridCol w:w="226"/>
        <w:gridCol w:w="1066"/>
        <w:gridCol w:w="426"/>
      </w:tblGrid>
      <w:tr>
        <w:trPr/>
        <w:tc>
          <w:tcPr>
            <w:tcW w:w="3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13 Weeks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26 Weeks Ended</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Reconciliation of Net Income Attributable to Class A and B-1 Common Stockholders to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2,</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2,</w:t>
              <w:b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4"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Net income attributable to Class A and B-1 common</w:t>
              <w:br/>
              <w:t>   stockholders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38,660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13,972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23,514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2,311</w:t>
            </w:r>
          </w:p>
        </w:tc>
        <w:tc>
          <w:tcPr>
            <w:tcW w:w="4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4"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 expense,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30,063</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32,388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61,351</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64,523</w:t>
            </w:r>
          </w:p>
        </w:tc>
        <w:tc>
          <w:tcPr>
            <w:tcW w:w="4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Depreciation and amortization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50,399</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49,360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99,440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99,171</w:t>
            </w:r>
          </w:p>
        </w:tc>
        <w:tc>
          <w:tcPr>
            <w:tcW w:w="4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Income from equity 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(8,694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214"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Loss on extinguishment and modification of debt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11,840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18,209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Mexico joint venture EBITDA (1)</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13,139</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10,360</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26,055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20,558</w:t>
            </w:r>
          </w:p>
        </w:tc>
        <w:tc>
          <w:tcPr>
            <w:tcW w:w="4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costs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5,990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Adjusted EBITDA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122,219</w:t>
            </w:r>
          </w:p>
        </w:tc>
        <w:tc>
          <w:tcPr>
            <w:tcW w:w="27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113,860</w:t>
            </w:r>
          </w:p>
        </w:tc>
        <w:tc>
          <w:tcPr>
            <w:tcW w:w="27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219,550</w:t>
            </w:r>
          </w:p>
        </w:tc>
        <w:tc>
          <w:tcPr>
            <w:tcW w:w="27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203,309</w:t>
            </w:r>
          </w:p>
        </w:tc>
        <w:tc>
          <w:tcPr>
            <w:tcW w:w="4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1,489,220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1,488,529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2,985,952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2,981,928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4"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margin (3)</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42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spacing w:before="0" w:after="0"/>
        <w:jc w:val="both"/>
        <w:rPr>
          <w:rFonts w:ascii="sans-serif" w:hAnsi="sans-serif"/>
          <w:color w:val="000000"/>
          <w:sz w:val="16"/>
        </w:rPr>
      </w:pPr>
      <w:r>
        <w:rPr>
          <w:rFonts w:ascii="sans-serif" w:hAnsi="sans-serif"/>
          <w:color w:val="000000"/>
          <w:sz w:val="16"/>
        </w:rPr>
        <w:t>(1)</w:t>
      </w:r>
    </w:p>
    <w:p>
      <w:pPr>
        <w:pStyle w:val="TextBody"/>
        <w:bidi w:val="0"/>
        <w:jc w:val="both"/>
        <w:rPr>
          <w:rFonts w:ascii="sans-serif" w:hAnsi="sans-serif"/>
          <w:color w:val="000000"/>
          <w:sz w:val="16"/>
        </w:rPr>
      </w:pPr>
      <w:r>
        <w:rPr>
          <w:rFonts w:ascii="sans-serif" w:hAnsi="sans-serif"/>
          <w:color w:val="000000"/>
          <w:sz w:val="16"/>
        </w:rPr>
        <w:t>Mexico joint venture EBITDA represents 50 percent of the entity’s operating results for all periods, as adjusted to reflect the results on a basis comparable to Adjusted EBITDA. In the financial statements, this joint venture is accounted for as an equity method investment and reported net of depreciation and income taxes because such a presentation would not reflect the adjustments made in the calculation of Adjusted EBITDA, we include the 50 percent interest in the Company’s Mexico joint venture on an Adjusted EBITDA basis to ensure consistency. The table below presents a reconciliation of Mexico joint venture net income to Mexico joint venture EBITDA.</w:t>
      </w:r>
    </w:p>
    <w:p>
      <w:pPr>
        <w:pStyle w:val="TextBody"/>
        <w:bidi w:val="0"/>
        <w:spacing w:before="200" w:after="283"/>
        <w:jc w:val="center"/>
        <w:rPr>
          <w:rFonts w:ascii="sans-serif" w:hAnsi="sans-serif"/>
          <w:caps/>
          <w:color w:val="000000"/>
          <w:sz w:val="22"/>
        </w:rPr>
      </w:pPr>
      <w:r>
        <w:rPr>
          <w:rFonts w:ascii="sans-serif" w:hAnsi="sans-serif"/>
          <w:caps/>
          <w:color w:val="000000"/>
          <w:sz w:val="22"/>
        </w:rPr>
        <w:t>9</w:t>
      </w:r>
    </w:p>
    <w:p>
      <w:pPr>
        <w:pStyle w:val="HorizontalLine"/>
        <w:pBdr>
          <w:bottom w:val="double" w:sz="2" w:space="0" w:color="808080"/>
        </w:pBdr>
        <w:bidi w:val="0"/>
        <w:spacing w:before="0" w:after="283"/>
        <w:jc w:val="left"/>
        <w:rPr/>
      </w:pPr>
      <w:r>
        <w:rPr/>
      </w:r>
    </w:p>
    <w:p>
      <w:pPr>
        <w:pStyle w:val="TextBody"/>
        <w:bidi w:val="0"/>
        <w:spacing w:before="200" w:after="200"/>
        <w:jc w:val="right"/>
        <w:rPr/>
      </w:pPr>
      <w:r>
        <w:rPr/>
        <w:t> </w:t>
      </w:r>
    </w:p>
    <w:p>
      <w:pPr>
        <w:pStyle w:val="TextBody"/>
        <w:bidi w:val="0"/>
        <w:jc w:val="both"/>
        <w:rPr/>
      </w:pPr>
      <w:r>
        <w:rPr/>
        <w:t> </w:t>
      </w:r>
    </w:p>
    <w:tbl>
      <w:tblPr>
        <w:tblW w:w="8424" w:type="dxa"/>
        <w:jc w:val="left"/>
        <w:tblInd w:w="0" w:type="dxa"/>
        <w:tblLayout w:type="fixed"/>
        <w:tblCellMar>
          <w:top w:w="28" w:type="dxa"/>
          <w:left w:w="28" w:type="dxa"/>
          <w:bottom w:w="28" w:type="dxa"/>
          <w:right w:w="28" w:type="dxa"/>
        </w:tblCellMar>
      </w:tblPr>
      <w:tblGrid>
        <w:gridCol w:w="2391"/>
        <w:gridCol w:w="146"/>
        <w:gridCol w:w="253"/>
        <w:gridCol w:w="902"/>
        <w:gridCol w:w="146"/>
        <w:gridCol w:w="146"/>
        <w:gridCol w:w="253"/>
        <w:gridCol w:w="902"/>
        <w:gridCol w:w="146"/>
        <w:gridCol w:w="146"/>
        <w:gridCol w:w="253"/>
        <w:gridCol w:w="902"/>
        <w:gridCol w:w="146"/>
        <w:gridCol w:w="146"/>
        <w:gridCol w:w="253"/>
        <w:gridCol w:w="902"/>
        <w:gridCol w:w="391"/>
      </w:tblGrid>
      <w:tr>
        <w:trPr/>
        <w:tc>
          <w:tcPr>
            <w:tcW w:w="2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26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2,</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2,</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10,402</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8,167</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21,506</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17,387</w:t>
            </w:r>
          </w:p>
        </w:tc>
        <w:tc>
          <w:tcPr>
            <w:tcW w:w="3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Income tax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5,216</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3,935</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10,410</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8,101</w:t>
            </w:r>
          </w:p>
        </w:tc>
        <w:tc>
          <w:tcPr>
            <w:tcW w:w="3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Foreign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expense,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1,496</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1,129</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2,579</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1,833</w:t>
            </w:r>
          </w:p>
        </w:tc>
        <w:tc>
          <w:tcPr>
            <w:tcW w:w="39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50% of EBITDA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02"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13,139</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02"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10,360</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02"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26,055</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02"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20,558</w:t>
            </w:r>
          </w:p>
        </w:tc>
        <w:tc>
          <w:tcPr>
            <w:tcW w:w="3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sans-serif" w:hAnsi="sans-serif"/>
          <w:color w:val="000000"/>
          <w:sz w:val="16"/>
        </w:rPr>
      </w:pPr>
      <w:r>
        <w:rPr>
          <w:rFonts w:ascii="sans-serif" w:hAnsi="sans-serif"/>
          <w:color w:val="000000"/>
          <w:sz w:val="16"/>
        </w:rPr>
        <w:t>(2)</w:t>
      </w:r>
    </w:p>
    <w:p>
      <w:pPr>
        <w:pStyle w:val="TextBody"/>
        <w:bidi w:val="0"/>
        <w:spacing w:before="0" w:after="0"/>
        <w:jc w:val="both"/>
        <w:rPr>
          <w:rFonts w:ascii="sans-serif" w:hAnsi="sans-serif"/>
          <w:color w:val="000000"/>
          <w:sz w:val="16"/>
        </w:rPr>
      </w:pPr>
      <w:r>
        <w:rPr>
          <w:rFonts w:ascii="sans-serif" w:hAnsi="sans-serif"/>
          <w:color w:val="000000"/>
          <w:sz w:val="16"/>
        </w:rPr>
        <w:t>Other costs include, as incurred: restructuring costs and restructuring-related severance costs; legal reserves associated with significant, non-ordinary course legal or regulatory matters; and costs related to certain significant strategic transactions.</w:t>
      </w:r>
    </w:p>
    <w:p>
      <w:pPr>
        <w:pStyle w:val="TextBody"/>
        <w:bidi w:val="0"/>
        <w:spacing w:before="0" w:after="0"/>
        <w:jc w:val="both"/>
        <w:rPr>
          <w:rFonts w:ascii="sans-serif" w:hAnsi="sans-serif"/>
          <w:color w:val="000000"/>
          <w:sz w:val="16"/>
        </w:rPr>
      </w:pPr>
      <w:r>
        <w:rPr>
          <w:rFonts w:ascii="sans-serif" w:hAnsi="sans-serif"/>
          <w:color w:val="000000"/>
          <w:sz w:val="16"/>
        </w:rPr>
        <w:t>(3)</w:t>
      </w:r>
    </w:p>
    <w:p>
      <w:pPr>
        <w:pStyle w:val="TextBody"/>
        <w:bidi w:val="0"/>
        <w:jc w:val="both"/>
        <w:rPr>
          <w:rFonts w:ascii="sans-serif" w:hAnsi="sans-serif"/>
          <w:color w:val="000000"/>
          <w:sz w:val="16"/>
        </w:rPr>
      </w:pPr>
      <w:r>
        <w:rPr>
          <w:rFonts w:ascii="sans-serif" w:hAnsi="sans-serif"/>
          <w:color w:val="000000"/>
          <w:sz w:val="16"/>
        </w:rPr>
        <w:t>We define net margin as net loss attributable to Class A and B-1 common stockholders divided by net sales and Adjusted EBITDA margin as Adjusted EBITDA divided by net sales.</w:t>
      </w:r>
    </w:p>
    <w:p>
      <w:pPr>
        <w:pStyle w:val="TextBody"/>
        <w:bidi w:val="0"/>
        <w:spacing w:before="200" w:after="283"/>
        <w:jc w:val="left"/>
        <w:rPr>
          <w:rFonts w:ascii="sans-serif" w:hAnsi="sans-serif"/>
          <w:b/>
          <w:color w:val="000000"/>
          <w:sz w:val="22"/>
        </w:rPr>
      </w:pPr>
      <w:r>
        <w:rPr>
          <w:rFonts w:ascii="sans-serif" w:hAnsi="sans-serif"/>
          <w:b/>
          <w:color w:val="000000"/>
          <w:sz w:val="22"/>
        </w:rPr>
        <w:t>Free Cash Flow</w:t>
      </w:r>
    </w:p>
    <w:p>
      <w:pPr>
        <w:pStyle w:val="TextBody"/>
        <w:bidi w:val="0"/>
        <w:spacing w:before="200" w:after="283"/>
        <w:jc w:val="both"/>
        <w:rPr>
          <w:rFonts w:ascii="sans-serif" w:hAnsi="sans-serif"/>
          <w:color w:val="000000"/>
          <w:sz w:val="22"/>
        </w:rPr>
      </w:pPr>
      <w:r>
        <w:rPr>
          <w:rFonts w:ascii="sans-serif" w:hAnsi="sans-serif"/>
          <w:color w:val="000000"/>
          <w:sz w:val="22"/>
        </w:rPr>
        <w:t xml:space="preserve">Free Cash Flow is a non-GAAP financial measure that is calculated as net cash provided by operating activities less cash paid for fixed assets. Management believes that Free Cash Flow, which measures the ability to generate additional cash from business operations, is an important financial measure for use in evaluating the Company’s financial performance. </w:t>
      </w:r>
    </w:p>
    <w:p>
      <w:pPr>
        <w:pStyle w:val="TextBody"/>
        <w:bidi w:val="0"/>
        <w:spacing w:before="200" w:after="283"/>
        <w:jc w:val="both"/>
        <w:rPr>
          <w:rFonts w:ascii="sans-serif" w:hAnsi="sans-serif"/>
          <w:color w:val="000000"/>
          <w:sz w:val="22"/>
        </w:rPr>
      </w:pPr>
      <w:r>
        <w:rPr>
          <w:rFonts w:ascii="sans-serif" w:hAnsi="sans-serif"/>
          <w:color w:val="000000"/>
          <w:sz w:val="22"/>
        </w:rPr>
        <w:t>The table below reflects the calculation of Free Cash Flow for the thirteen and twenty-six weeks ended August 1, 2026 compared to the thirteen and twenty-six weeks ended August 2,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41"/>
        <w:gridCol w:w="991"/>
        <w:gridCol w:w="181"/>
        <w:gridCol w:w="146"/>
        <w:gridCol w:w="252"/>
        <w:gridCol w:w="899"/>
        <w:gridCol w:w="181"/>
        <w:gridCol w:w="146"/>
        <w:gridCol w:w="246"/>
        <w:gridCol w:w="906"/>
        <w:gridCol w:w="181"/>
        <w:gridCol w:w="146"/>
        <w:gridCol w:w="256"/>
        <w:gridCol w:w="894"/>
        <w:gridCol w:w="429"/>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13 Weeks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26 Weeks Ended</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2,</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2,</w:t>
              <w:br/>
              <w:t>2025</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161,553</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85,892</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130,584</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4"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70,438</w:t>
            </w:r>
          </w:p>
        </w:tc>
        <w:tc>
          <w:tcPr>
            <w:tcW w:w="42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paid for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(69,788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(60,516</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964"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20"/>
              </w:rPr>
            </w:pPr>
            <w:r>
              <w:rPr>
                <w:rFonts w:ascii="sans-serif" w:hAnsi="sans-serif"/>
                <w:b/>
                <w:color w:val="000000"/>
                <w:sz w:val="20"/>
              </w:rPr>
              <w:t>Free Cash Flow</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129,918</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53,788</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06"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60,796</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94"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9,922</w:t>
            </w:r>
          </w:p>
        </w:tc>
        <w:tc>
          <w:tcPr>
            <w:tcW w:w="42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sz w:val="22"/>
        </w:rPr>
      </w:pPr>
      <w:r>
        <w:rPr>
          <w:rFonts w:ascii="sans-serif" w:hAnsi="sans-serif"/>
          <w:b/>
          <w:color w:val="000000"/>
          <w:sz w:val="22"/>
        </w:rPr>
        <w:t>Net Debt</w:t>
      </w:r>
      <w:r>
        <w:rPr>
          <w:rFonts w:ascii="sans-serif" w:hAnsi="sans-serif"/>
          <w:color w:val="000000"/>
          <w:sz w:val="22"/>
        </w:rPr>
        <w:t xml:space="preserve"> </w:t>
      </w:r>
    </w:p>
    <w:p>
      <w:pPr>
        <w:pStyle w:val="TextBody"/>
        <w:bidi w:val="0"/>
        <w:spacing w:before="200" w:after="283"/>
        <w:jc w:val="left"/>
        <w:rPr>
          <w:rFonts w:ascii="sans-serif" w:hAnsi="sans-serif"/>
          <w:color w:val="000000"/>
          <w:sz w:val="22"/>
        </w:rPr>
      </w:pPr>
      <w:r>
        <w:rPr>
          <w:rFonts w:ascii="sans-serif" w:hAnsi="sans-serif"/>
          <w:color w:val="000000"/>
          <w:sz w:val="22"/>
        </w:rPr>
        <w:t xml:space="preserve">The table below reflects the calculation for net debt as of August 1, 2026 compared to January 31, 2026 and August 2,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53"/>
        <w:gridCol w:w="146"/>
        <w:gridCol w:w="241"/>
        <w:gridCol w:w="1201"/>
        <w:gridCol w:w="181"/>
        <w:gridCol w:w="146"/>
        <w:gridCol w:w="241"/>
        <w:gridCol w:w="1201"/>
        <w:gridCol w:w="181"/>
        <w:gridCol w:w="146"/>
        <w:gridCol w:w="241"/>
        <w:gridCol w:w="1201"/>
        <w:gridCol w:w="626"/>
      </w:tblGrid>
      <w:tr>
        <w:trPr/>
        <w:tc>
          <w:tcPr>
            <w:tcW w:w="4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January 31,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August 2,</w:t>
              <w:b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3" w:type="dxa"/>
            <w:tcBorders/>
            <w:shd w:fill="DEEBF7"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debt: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Senior secured credit facilities, net, including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881,798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1,488,527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1,580,688</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Senior notes,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590,567</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DE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Finance leases, including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12,012</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53"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debt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1,479,907</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1,498,210</w:t>
            </w:r>
          </w:p>
        </w:tc>
        <w:tc>
          <w:tcPr>
            <w:tcW w:w="18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DEEBF7"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1,592,700</w:t>
            </w:r>
          </w:p>
        </w:tc>
        <w:tc>
          <w:tcPr>
            <w:tcW w:w="62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(293,498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(256,736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(188,748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453"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20"/>
              </w:rPr>
            </w:pPr>
            <w:r>
              <w:rPr>
                <w:rFonts w:ascii="sans-serif" w:hAnsi="sans-serif"/>
                <w:b/>
                <w:color w:val="000000"/>
                <w:sz w:val="20"/>
              </w:rPr>
              <w:t>Net Debt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1,186,409</w:t>
            </w:r>
          </w:p>
        </w:tc>
        <w:tc>
          <w:tcPr>
            <w:tcW w:w="1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1,241,474</w:t>
            </w:r>
          </w:p>
        </w:tc>
        <w:tc>
          <w:tcPr>
            <w:tcW w:w="1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1,403,952</w:t>
            </w:r>
          </w:p>
        </w:tc>
        <w:tc>
          <w:tcPr>
            <w:tcW w:w="6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sans-serif" w:hAnsi="sans-serif"/>
          <w:caps/>
          <w:color w:val="000000"/>
          <w:sz w:val="22"/>
        </w:rPr>
      </w:pPr>
      <w:r>
        <w:rPr>
          <w:rFonts w:ascii="sans-serif" w:hAnsi="sans-serif"/>
          <w:caps/>
          <w:color w:val="000000"/>
          <w:sz w:val="22"/>
        </w:rPr>
        <w:t>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4383</Words>
  <Characters>24454</Characters>
  <CharactersWithSpaces>29243</CharactersWithSpaces>
  <Paragraphs>1966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