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Petco Health and Wellness Company,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001-39878</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81-1005932</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10850 Via Frontera</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San Diego, California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92127</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258445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WOOF</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right="17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60" w:right="760"/>
        <w:spacing w:after="0" w:line="255" w:lineRule="auto"/>
        <w:rPr>
          <w:sz w:val="20"/>
          <w:szCs w:val="20"/>
          <w:color w:val="auto"/>
        </w:rPr>
      </w:pPr>
      <w:r>
        <w:rPr>
          <w:rFonts w:ascii="Times New Roman" w:cs="Times New Roman" w:eastAsia="Times New Roman" w:hAnsi="Times New Roman"/>
          <w:sz w:val="18"/>
          <w:szCs w:val="18"/>
          <w:color w:val="auto"/>
        </w:rPr>
        <w:t>On June 30, 2026, upon recommendation of the Board of Directors (the “Board”) of Petco Health and Wellness Company, Inc. (the “Company”), at the 2026 Annual Meeting of Stockholders of the Company (the “Annual Meeting”), the Company’s stockholders approved the Second Amendment (the “Plan Amendment”) to the Petco Health and Wellness Company, Inc. 2021 Equity Incentive Plan (the “2021 Plan” and, as amended by the Plan Amendment, the “Amended Plan”) to increase the shares of the Company’s Class A common stock, $0.001 par value per share (the “Common Stock”), reserved for issuance under the 2021 Plan by 15,500,000 shares of Common Stock. The Amended Plan is described in more detail in the Company’s definitive proxy statement as filed with the U.S. Securities and Exchange Commission on May 14, 2026 (the “2026 Proxy Statement”).</w:t>
      </w:r>
    </w:p>
    <w:p>
      <w:pPr>
        <w:spacing w:after="0" w:line="189"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This summary of the Plan Amendment does not purport to be complete and is subject to and qualified in its entirety by reference to the text of the Plan Amendment filed as Exhibit 10.1 to this Current Report on Form 8-K, which is incorporated herein by reference.</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left="660" w:right="740"/>
        <w:spacing w:after="0" w:line="254" w:lineRule="auto"/>
        <w:rPr>
          <w:sz w:val="20"/>
          <w:szCs w:val="20"/>
          <w:color w:val="auto"/>
        </w:rPr>
      </w:pPr>
      <w:r>
        <w:rPr>
          <w:rFonts w:ascii="Times New Roman" w:cs="Times New Roman" w:eastAsia="Times New Roman" w:hAnsi="Times New Roman"/>
          <w:sz w:val="18"/>
          <w:szCs w:val="18"/>
          <w:color w:val="auto"/>
        </w:rPr>
        <w:t>On June 30, 2026, Petco Health and Wellness Company, Inc. (the “Company”) held its annual meeting of stockholders (the “Annual Meeting”). The matters voted upon at the Annual Meeting were: (1) the election of Joel Anderson, Gary Briggs, Nishad Chande, and Mary Sullivan (the “Director Nominees”) to the Board of Directors of the Company (the “Board”) as Class III directors, each to serve for a three-year term expiring at the Company’s 2029 annual meeting of stockholders and until his or her successor has been duly elected and qualified, or, if sooner, until his or her earlier death, resignation, removal, retirement, or disqualification (“Proposal 1”);</w:t>
      </w:r>
    </w:p>
    <w:p>
      <w:pPr>
        <w:spacing w:after="0" w:line="3" w:lineRule="exact"/>
        <w:rPr>
          <w:sz w:val="20"/>
          <w:szCs w:val="20"/>
          <w:color w:val="auto"/>
        </w:rPr>
      </w:pPr>
    </w:p>
    <w:p>
      <w:pPr>
        <w:ind w:left="660" w:right="660" w:firstLine="4"/>
        <w:spacing w:after="0" w:line="253" w:lineRule="auto"/>
        <w:tabs>
          <w:tab w:leader="none" w:pos="9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the Company’s named executive officers (“Proposal 2”); (3) the approval of the Plan Amendment to increase the number of shares of Class A Common Stock authorized for issuance under the 2021 Plan (“Proposal 3”); and (4) the ratification of the appointment of Ernst &amp; Young LLP as the Company’s independent registered public accounting firm for the fiscal year ending January 30, 2027 (“Proposal 4”).</w:t>
      </w:r>
    </w:p>
    <w:p>
      <w:pPr>
        <w:spacing w:after="0" w:line="189" w:lineRule="exact"/>
        <w:rPr>
          <w:sz w:val="20"/>
          <w:szCs w:val="20"/>
          <w:color w:val="auto"/>
        </w:rPr>
      </w:pPr>
    </w:p>
    <w:p>
      <w:pPr>
        <w:ind w:left="660" w:right="720"/>
        <w:spacing w:after="0" w:line="261" w:lineRule="auto"/>
        <w:rPr>
          <w:sz w:val="20"/>
          <w:szCs w:val="20"/>
          <w:color w:val="auto"/>
        </w:rPr>
      </w:pPr>
      <w:r>
        <w:rPr>
          <w:rFonts w:ascii="Times New Roman" w:cs="Times New Roman" w:eastAsia="Times New Roman" w:hAnsi="Times New Roman"/>
          <w:sz w:val="18"/>
          <w:szCs w:val="18"/>
          <w:color w:val="auto"/>
        </w:rPr>
        <w:t>Holders of the Company’s Class A common stock were entitled to vote on all matters presented for stockholder vote at the Annual Meeting. Holders of the Company’s Class B-1 common stock were entitled to vote on all matters presented for stockholder vote at the Annual Meeting, except Proposal 1. Holders of the Company’s Class B-2 common stock were entitled to vote only on Proposal 1 at the Annual Meeting.</w:t>
      </w:r>
    </w:p>
    <w:p>
      <w:pPr>
        <w:spacing w:after="0" w:line="180" w:lineRule="exact"/>
        <w:rPr>
          <w:sz w:val="20"/>
          <w:szCs w:val="20"/>
          <w:color w:val="auto"/>
        </w:rPr>
      </w:pPr>
    </w:p>
    <w:p>
      <w:pPr>
        <w:ind w:left="660" w:right="700"/>
        <w:spacing w:after="0" w:line="266" w:lineRule="auto"/>
        <w:rPr>
          <w:sz w:val="20"/>
          <w:szCs w:val="20"/>
          <w:color w:val="auto"/>
        </w:rPr>
      </w:pPr>
      <w:r>
        <w:rPr>
          <w:rFonts w:ascii="Times New Roman" w:cs="Times New Roman" w:eastAsia="Times New Roman" w:hAnsi="Times New Roman"/>
          <w:sz w:val="18"/>
          <w:szCs w:val="18"/>
          <w:color w:val="auto"/>
        </w:rPr>
        <w:t>Based on the votes cast by holders of Class A Common Stock, Class B-1 common stock, and Class B-2 common stock, with Class A and Class B-2 common stock voting together on Proposal 1, and Class A and Class B-1 common stock voting together on Proposals 2, 3, and 4 the final results for each proposal presented to stockholders at the Annual Meeting are set forth below:</w:t>
      </w:r>
    </w:p>
    <w:p>
      <w:pPr>
        <w:spacing w:after="0" w:line="176" w:lineRule="exact"/>
        <w:rPr>
          <w:sz w:val="20"/>
          <w:szCs w:val="20"/>
          <w:color w:val="auto"/>
        </w:rPr>
      </w:pPr>
    </w:p>
    <w:p>
      <w:pPr>
        <w:ind w:left="1020" w:hanging="356"/>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Director Nominees to the Board as Class III directors (Proposal 1):</w:t>
      </w:r>
    </w:p>
    <w:p>
      <w:pPr>
        <w:spacing w:after="0" w:line="220" w:lineRule="exact"/>
        <w:rPr>
          <w:sz w:val="20"/>
          <w:szCs w:val="20"/>
          <w:color w:val="auto"/>
        </w:rPr>
      </w:pPr>
    </w:p>
    <w:tbl>
      <w:tblPr>
        <w:tblLayout w:type="fixed"/>
        <w:tblInd w:w="1390" w:type="dxa"/>
        <w:tblCellMar>
          <w:top w:w="0" w:type="dxa"/>
          <w:left w:w="0" w:type="dxa"/>
          <w:bottom w:w="0" w:type="dxa"/>
          <w:right w:w="0" w:type="dxa"/>
        </w:tblCellMar>
      </w:tblPr>
      <w:tr>
        <w:trPr>
          <w:trHeight w:val="192"/>
        </w:trPr>
        <w:tc>
          <w:tcPr>
            <w:tcW w:w="2080" w:type="dxa"/>
            <w:vAlign w:val="bottom"/>
            <w:tcBorders>
              <w:top w:val="single" w:sz="8" w:color="auto"/>
              <w:left w:val="single" w:sz="8" w:color="auto"/>
              <w:right w:val="single" w:sz="8" w:color="auto"/>
            </w:tcBorders>
            <w:gridSpan w:val="3"/>
          </w:tcPr>
          <w:p>
            <w:pPr>
              <w:ind w:left="320"/>
              <w:spacing w:after="0" w:line="192" w:lineRule="exact"/>
              <w:rPr>
                <w:sz w:val="20"/>
                <w:szCs w:val="20"/>
                <w:color w:val="auto"/>
              </w:rPr>
            </w:pPr>
            <w:r>
              <w:rPr>
                <w:rFonts w:ascii="Times New Roman" w:cs="Times New Roman" w:eastAsia="Times New Roman" w:hAnsi="Times New Roman"/>
                <w:sz w:val="18"/>
                <w:szCs w:val="18"/>
                <w:b w:val="1"/>
                <w:bCs w:val="1"/>
                <w:color w:val="auto"/>
              </w:rPr>
              <w:t>Director Nominees</w:t>
            </w:r>
          </w:p>
        </w:tc>
        <w:tc>
          <w:tcPr>
            <w:tcW w:w="2020" w:type="dxa"/>
            <w:vAlign w:val="bottom"/>
            <w:tcBorders>
              <w:top w:val="single" w:sz="8" w:color="auto"/>
              <w:right w:val="single" w:sz="8" w:color="auto"/>
            </w:tcBorders>
            <w:gridSpan w:val="3"/>
          </w:tcPr>
          <w:p>
            <w:pPr>
              <w:jc w:val="center"/>
              <w:ind w:right="40"/>
              <w:spacing w:after="0" w:line="192" w:lineRule="exact"/>
              <w:rPr>
                <w:sz w:val="20"/>
                <w:szCs w:val="20"/>
                <w:color w:val="auto"/>
              </w:rPr>
            </w:pPr>
            <w:r>
              <w:rPr>
                <w:rFonts w:ascii="Times New Roman" w:cs="Times New Roman" w:eastAsia="Times New Roman" w:hAnsi="Times New Roman"/>
                <w:sz w:val="18"/>
                <w:szCs w:val="18"/>
                <w:b w:val="1"/>
                <w:bCs w:val="1"/>
                <w:color w:val="auto"/>
                <w:w w:val="97"/>
              </w:rPr>
              <w:t>Votes For</w:t>
            </w:r>
          </w:p>
        </w:tc>
        <w:tc>
          <w:tcPr>
            <w:tcW w:w="460" w:type="dxa"/>
            <w:vAlign w:val="bottom"/>
            <w:tcBorders>
              <w:top w:val="single" w:sz="8" w:color="auto"/>
            </w:tcBorders>
          </w:tcPr>
          <w:p>
            <w:pPr>
              <w:spacing w:after="0"/>
              <w:rPr>
                <w:sz w:val="16"/>
                <w:szCs w:val="16"/>
                <w:color w:val="auto"/>
              </w:rPr>
            </w:pPr>
          </w:p>
        </w:tc>
        <w:tc>
          <w:tcPr>
            <w:tcW w:w="1680" w:type="dxa"/>
            <w:vAlign w:val="bottom"/>
            <w:tcBorders>
              <w:top w:val="single" w:sz="8" w:color="auto"/>
              <w:right w:val="single" w:sz="8" w:color="auto"/>
            </w:tcBorders>
            <w:gridSpan w:val="2"/>
          </w:tcPr>
          <w:p>
            <w:pPr>
              <w:jc w:val="center"/>
              <w:ind w:right="480"/>
              <w:spacing w:after="0" w:line="192" w:lineRule="exact"/>
              <w:rPr>
                <w:sz w:val="20"/>
                <w:szCs w:val="20"/>
                <w:color w:val="auto"/>
              </w:rPr>
            </w:pPr>
            <w:r>
              <w:rPr>
                <w:rFonts w:ascii="Times New Roman" w:cs="Times New Roman" w:eastAsia="Times New Roman" w:hAnsi="Times New Roman"/>
                <w:sz w:val="18"/>
                <w:szCs w:val="18"/>
                <w:b w:val="1"/>
                <w:bCs w:val="1"/>
                <w:color w:val="auto"/>
              </w:rPr>
              <w:t>Votes Withheld</w:t>
            </w:r>
          </w:p>
        </w:tc>
        <w:tc>
          <w:tcPr>
            <w:tcW w:w="2040" w:type="dxa"/>
            <w:vAlign w:val="bottom"/>
            <w:tcBorders>
              <w:top w:val="single" w:sz="8" w:color="auto"/>
              <w:right w:val="single" w:sz="8" w:color="auto"/>
            </w:tcBorders>
            <w:gridSpan w:val="3"/>
          </w:tcPr>
          <w:p>
            <w:pPr>
              <w:jc w:val="center"/>
              <w:ind w:right="4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60"/>
        </w:trPr>
        <w:tc>
          <w:tcPr>
            <w:tcW w:w="320" w:type="dxa"/>
            <w:vAlign w:val="bottom"/>
            <w:tcBorders>
              <w:left w:val="single" w:sz="8" w:color="auto"/>
              <w:bottom w:val="single" w:sz="8" w:color="auto"/>
            </w:tcBorders>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40" w:type="dxa"/>
            <w:vAlign w:val="bottom"/>
            <w:tcBorders>
              <w:top w:val="single" w:sz="8" w:color="auto"/>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0" w:type="dxa"/>
            <w:vAlign w:val="bottom"/>
            <w:tcBorders>
              <w:top w:val="single" w:sz="8" w:color="auto"/>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top w:val="single" w:sz="8" w:color="auto"/>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r>
      <w:tr>
        <w:trPr>
          <w:trHeight w:val="170"/>
        </w:trPr>
        <w:tc>
          <w:tcPr>
            <w:tcW w:w="2080" w:type="dxa"/>
            <w:vAlign w:val="bottom"/>
            <w:tcBorders>
              <w:bottom w:val="single" w:sz="8" w:color="auto"/>
              <w:right w:val="single" w:sz="8" w:color="auto"/>
            </w:tcBorders>
            <w:gridSpan w:val="3"/>
          </w:tcPr>
          <w:p>
            <w:pPr>
              <w:ind w:left="20"/>
              <w:spacing w:after="0" w:line="170" w:lineRule="exact"/>
              <w:rPr>
                <w:sz w:val="20"/>
                <w:szCs w:val="20"/>
                <w:color w:val="auto"/>
              </w:rPr>
            </w:pPr>
            <w:r>
              <w:rPr>
                <w:rFonts w:ascii="Times New Roman" w:cs="Times New Roman" w:eastAsia="Times New Roman" w:hAnsi="Times New Roman"/>
                <w:sz w:val="18"/>
                <w:szCs w:val="18"/>
                <w:color w:val="auto"/>
              </w:rPr>
              <w:t>Joel Anderson</w:t>
            </w:r>
          </w:p>
        </w:tc>
        <w:tc>
          <w:tcPr>
            <w:tcW w:w="2020" w:type="dxa"/>
            <w:vAlign w:val="bottom"/>
            <w:tcBorders>
              <w:bottom w:val="single" w:sz="8" w:color="auto"/>
              <w:right w:val="single" w:sz="8" w:color="auto"/>
            </w:tcBorders>
            <w:gridSpan w:val="3"/>
          </w:tcPr>
          <w:p>
            <w:pPr>
              <w:jc w:val="center"/>
              <w:ind w:right="40"/>
              <w:spacing w:after="0" w:line="170" w:lineRule="exact"/>
              <w:rPr>
                <w:sz w:val="20"/>
                <w:szCs w:val="20"/>
                <w:color w:val="auto"/>
              </w:rPr>
            </w:pPr>
            <w:r>
              <w:rPr>
                <w:rFonts w:ascii="Times New Roman" w:cs="Times New Roman" w:eastAsia="Times New Roman" w:hAnsi="Times New Roman"/>
                <w:sz w:val="18"/>
                <w:szCs w:val="18"/>
                <w:color w:val="auto"/>
                <w:w w:val="99"/>
              </w:rPr>
              <w:t>215,034,012</w:t>
            </w:r>
          </w:p>
        </w:tc>
        <w:tc>
          <w:tcPr>
            <w:tcW w:w="1660" w:type="dxa"/>
            <w:vAlign w:val="bottom"/>
            <w:tcBorders>
              <w:bottom w:val="single" w:sz="8" w:color="auto"/>
            </w:tcBorders>
            <w:gridSpan w:val="2"/>
          </w:tcPr>
          <w:p>
            <w:pPr>
              <w:jc w:val="center"/>
              <w:ind w:left="370"/>
              <w:spacing w:after="0" w:line="170" w:lineRule="exact"/>
              <w:rPr>
                <w:sz w:val="20"/>
                <w:szCs w:val="20"/>
                <w:color w:val="auto"/>
              </w:rPr>
            </w:pPr>
            <w:r>
              <w:rPr>
                <w:rFonts w:ascii="Times New Roman" w:cs="Times New Roman" w:eastAsia="Times New Roman" w:hAnsi="Times New Roman"/>
                <w:sz w:val="18"/>
                <w:szCs w:val="18"/>
                <w:color w:val="auto"/>
                <w:w w:val="98"/>
              </w:rPr>
              <w:t>31,312,708</w:t>
            </w:r>
          </w:p>
        </w:tc>
        <w:tc>
          <w:tcPr>
            <w:tcW w:w="4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left="210"/>
              <w:spacing w:after="0" w:line="170" w:lineRule="exact"/>
              <w:rPr>
                <w:sz w:val="20"/>
                <w:szCs w:val="20"/>
                <w:color w:val="auto"/>
              </w:rPr>
            </w:pPr>
            <w:r>
              <w:rPr>
                <w:rFonts w:ascii="Times New Roman" w:cs="Times New Roman" w:eastAsia="Times New Roman" w:hAnsi="Times New Roman"/>
                <w:sz w:val="18"/>
                <w:szCs w:val="18"/>
                <w:color w:val="auto"/>
                <w:w w:val="98"/>
              </w:rPr>
              <w:t>24,092,592</w:t>
            </w:r>
          </w:p>
        </w:tc>
        <w:tc>
          <w:tcPr>
            <w:tcW w:w="340" w:type="dxa"/>
            <w:vAlign w:val="bottom"/>
            <w:tcBorders>
              <w:bottom w:val="single" w:sz="8" w:color="auto"/>
              <w:right w:val="single" w:sz="8" w:color="auto"/>
            </w:tcBorders>
          </w:tcPr>
          <w:p>
            <w:pPr>
              <w:spacing w:after="0"/>
              <w:rPr>
                <w:sz w:val="14"/>
                <w:szCs w:val="14"/>
                <w:color w:val="auto"/>
              </w:rPr>
            </w:pPr>
          </w:p>
        </w:tc>
      </w:tr>
      <w:tr>
        <w:trPr>
          <w:trHeight w:val="209"/>
        </w:trPr>
        <w:tc>
          <w:tcPr>
            <w:tcW w:w="208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Gary Briggs</w:t>
            </w:r>
          </w:p>
        </w:tc>
        <w:tc>
          <w:tcPr>
            <w:tcW w:w="20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204,308,172</w:t>
            </w:r>
          </w:p>
        </w:tc>
        <w:tc>
          <w:tcPr>
            <w:tcW w:w="166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42,038,548</w:t>
            </w:r>
          </w:p>
        </w:tc>
        <w:tc>
          <w:tcPr>
            <w:tcW w:w="4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24,092,592</w:t>
            </w:r>
          </w:p>
        </w:tc>
        <w:tc>
          <w:tcPr>
            <w:tcW w:w="340" w:type="dxa"/>
            <w:vAlign w:val="bottom"/>
            <w:tcBorders>
              <w:bottom w:val="single" w:sz="8" w:color="auto"/>
              <w:right w:val="single" w:sz="8" w:color="auto"/>
            </w:tcBorders>
          </w:tcPr>
          <w:p>
            <w:pPr>
              <w:spacing w:after="0"/>
              <w:rPr>
                <w:sz w:val="18"/>
                <w:szCs w:val="18"/>
                <w:color w:val="auto"/>
              </w:rPr>
            </w:pPr>
          </w:p>
        </w:tc>
      </w:tr>
      <w:tr>
        <w:trPr>
          <w:trHeight w:val="210"/>
        </w:trPr>
        <w:tc>
          <w:tcPr>
            <w:tcW w:w="208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Nishad Chande</w:t>
            </w:r>
          </w:p>
        </w:tc>
        <w:tc>
          <w:tcPr>
            <w:tcW w:w="20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200,931,500</w:t>
            </w:r>
          </w:p>
        </w:tc>
        <w:tc>
          <w:tcPr>
            <w:tcW w:w="166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45,415,220</w:t>
            </w:r>
          </w:p>
        </w:tc>
        <w:tc>
          <w:tcPr>
            <w:tcW w:w="4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24,092,592</w:t>
            </w:r>
          </w:p>
        </w:tc>
        <w:tc>
          <w:tcPr>
            <w:tcW w:w="340" w:type="dxa"/>
            <w:vAlign w:val="bottom"/>
            <w:tcBorders>
              <w:bottom w:val="single" w:sz="8" w:color="auto"/>
              <w:right w:val="single" w:sz="8" w:color="auto"/>
            </w:tcBorders>
          </w:tcPr>
          <w:p>
            <w:pPr>
              <w:spacing w:after="0"/>
              <w:rPr>
                <w:sz w:val="18"/>
                <w:szCs w:val="18"/>
                <w:color w:val="auto"/>
              </w:rPr>
            </w:pPr>
          </w:p>
        </w:tc>
      </w:tr>
      <w:tr>
        <w:trPr>
          <w:trHeight w:val="210"/>
        </w:trPr>
        <w:tc>
          <w:tcPr>
            <w:tcW w:w="208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Mary Sullivan</w:t>
            </w:r>
          </w:p>
        </w:tc>
        <w:tc>
          <w:tcPr>
            <w:tcW w:w="20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202,946,765</w:t>
            </w:r>
          </w:p>
        </w:tc>
        <w:tc>
          <w:tcPr>
            <w:tcW w:w="166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43,399,955</w:t>
            </w:r>
          </w:p>
        </w:tc>
        <w:tc>
          <w:tcPr>
            <w:tcW w:w="4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24,092,592</w:t>
            </w:r>
          </w:p>
        </w:tc>
        <w:tc>
          <w:tcPr>
            <w:tcW w:w="34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1020" w:hanging="356"/>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the Company’s named executive officers (Proposal</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2" w:lineRule="exact"/>
        <w:rPr>
          <w:sz w:val="20"/>
          <w:szCs w:val="20"/>
          <w:color w:val="auto"/>
        </w:rPr>
      </w:pPr>
    </w:p>
    <w:tbl>
      <w:tblPr>
        <w:tblLayout w:type="fixed"/>
        <w:tblInd w:w="1390" w:type="dxa"/>
        <w:tblCellMar>
          <w:top w:w="0" w:type="dxa"/>
          <w:left w:w="0" w:type="dxa"/>
          <w:bottom w:w="0" w:type="dxa"/>
          <w:right w:w="0" w:type="dxa"/>
        </w:tblCellMar>
      </w:tblPr>
      <w:tr>
        <w:trPr>
          <w:trHeight w:val="192"/>
        </w:trPr>
        <w:tc>
          <w:tcPr>
            <w:tcW w:w="660" w:type="dxa"/>
            <w:vAlign w:val="bottom"/>
            <w:tcBorders>
              <w:top w:val="single" w:sz="8" w:color="auto"/>
              <w:left w:val="single" w:sz="8" w:color="auto"/>
            </w:tcBorders>
          </w:tcPr>
          <w:p>
            <w:pPr>
              <w:spacing w:after="0"/>
              <w:rPr>
                <w:sz w:val="16"/>
                <w:szCs w:val="16"/>
                <w:color w:val="auto"/>
              </w:rPr>
            </w:pPr>
          </w:p>
        </w:tc>
        <w:tc>
          <w:tcPr>
            <w:tcW w:w="1400" w:type="dxa"/>
            <w:vAlign w:val="bottom"/>
            <w:tcBorders>
              <w:top w:val="single" w:sz="8" w:color="auto"/>
              <w:right w:val="single" w:sz="8" w:color="auto"/>
            </w:tcBorders>
            <w:gridSpan w:val="2"/>
          </w:tcPr>
          <w:p>
            <w:pPr>
              <w:jc w:val="center"/>
              <w:ind w:right="660"/>
              <w:spacing w:after="0" w:line="192" w:lineRule="exact"/>
              <w:rPr>
                <w:sz w:val="20"/>
                <w:szCs w:val="20"/>
                <w:color w:val="auto"/>
              </w:rPr>
            </w:pPr>
            <w:r>
              <w:rPr>
                <w:rFonts w:ascii="Times New Roman" w:cs="Times New Roman" w:eastAsia="Times New Roman" w:hAnsi="Times New Roman"/>
                <w:sz w:val="18"/>
                <w:szCs w:val="18"/>
                <w:b w:val="1"/>
                <w:bCs w:val="1"/>
                <w:color w:val="auto"/>
                <w:w w:val="97"/>
              </w:rPr>
              <w:t>Votes For</w:t>
            </w:r>
          </w:p>
        </w:tc>
        <w:tc>
          <w:tcPr>
            <w:tcW w:w="480" w:type="dxa"/>
            <w:vAlign w:val="bottom"/>
            <w:tcBorders>
              <w:top w:val="single" w:sz="8" w:color="auto"/>
            </w:tcBorders>
          </w:tcPr>
          <w:p>
            <w:pPr>
              <w:spacing w:after="0"/>
              <w:rPr>
                <w:sz w:val="16"/>
                <w:szCs w:val="16"/>
                <w:color w:val="auto"/>
              </w:rPr>
            </w:pPr>
          </w:p>
        </w:tc>
        <w:tc>
          <w:tcPr>
            <w:tcW w:w="1560" w:type="dxa"/>
            <w:vAlign w:val="bottom"/>
            <w:tcBorders>
              <w:top w:val="single" w:sz="8" w:color="auto"/>
              <w:right w:val="single" w:sz="8" w:color="auto"/>
            </w:tcBorders>
            <w:gridSpan w:val="2"/>
          </w:tcPr>
          <w:p>
            <w:pPr>
              <w:jc w:val="center"/>
              <w:ind w:right="500"/>
              <w:spacing w:after="0" w:line="192" w:lineRule="exact"/>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600" w:type="dxa"/>
            <w:vAlign w:val="bottom"/>
            <w:tcBorders>
              <w:top w:val="single" w:sz="8" w:color="auto"/>
            </w:tcBorders>
          </w:tcPr>
          <w:p>
            <w:pPr>
              <w:spacing w:after="0"/>
              <w:rPr>
                <w:sz w:val="16"/>
                <w:szCs w:val="16"/>
                <w:color w:val="auto"/>
              </w:rPr>
            </w:pPr>
          </w:p>
        </w:tc>
        <w:tc>
          <w:tcPr>
            <w:tcW w:w="1540" w:type="dxa"/>
            <w:vAlign w:val="bottom"/>
            <w:tcBorders>
              <w:top w:val="single" w:sz="8" w:color="auto"/>
              <w:right w:val="single" w:sz="8" w:color="auto"/>
            </w:tcBorders>
            <w:gridSpan w:val="2"/>
          </w:tcPr>
          <w:p>
            <w:pPr>
              <w:jc w:val="center"/>
              <w:ind w:right="620"/>
              <w:spacing w:after="0" w:line="192" w:lineRule="exact"/>
              <w:rPr>
                <w:sz w:val="20"/>
                <w:szCs w:val="20"/>
                <w:color w:val="auto"/>
              </w:rPr>
            </w:pPr>
            <w:r>
              <w:rPr>
                <w:rFonts w:ascii="Times New Roman" w:cs="Times New Roman" w:eastAsia="Times New Roman" w:hAnsi="Times New Roman"/>
                <w:sz w:val="18"/>
                <w:szCs w:val="18"/>
                <w:b w:val="1"/>
                <w:bCs w:val="1"/>
                <w:color w:val="auto"/>
              </w:rPr>
              <w:t>Abstentions</w:t>
            </w:r>
          </w:p>
        </w:tc>
        <w:tc>
          <w:tcPr>
            <w:tcW w:w="2040" w:type="dxa"/>
            <w:vAlign w:val="bottom"/>
            <w:tcBorders>
              <w:top w:val="single" w:sz="8" w:color="auto"/>
              <w:right w:val="single" w:sz="8" w:color="auto"/>
            </w:tcBorders>
            <w:gridSpan w:val="3"/>
          </w:tcPr>
          <w:p>
            <w:pPr>
              <w:jc w:val="center"/>
              <w:ind w:right="4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60"/>
        </w:trPr>
        <w:tc>
          <w:tcPr>
            <w:tcW w:w="660" w:type="dxa"/>
            <w:vAlign w:val="bottom"/>
            <w:tcBorders>
              <w:left w:val="single" w:sz="8" w:color="auto"/>
              <w:bottom w:val="single" w:sz="8" w:color="auto"/>
            </w:tcBorders>
          </w:tcPr>
          <w:p>
            <w:pPr>
              <w:spacing w:after="0"/>
              <w:rPr>
                <w:sz w:val="5"/>
                <w:szCs w:val="5"/>
                <w:color w:val="auto"/>
              </w:rPr>
            </w:pPr>
          </w:p>
        </w:tc>
        <w:tc>
          <w:tcPr>
            <w:tcW w:w="740" w:type="dxa"/>
            <w:vAlign w:val="bottom"/>
            <w:tcBorders>
              <w:top w:val="single" w:sz="8" w:color="auto"/>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60" w:type="dxa"/>
            <w:vAlign w:val="bottom"/>
            <w:tcBorders>
              <w:top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20" w:type="dxa"/>
            <w:vAlign w:val="bottom"/>
            <w:tcBorders>
              <w:top w:val="single" w:sz="8" w:color="auto"/>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top w:val="single" w:sz="8" w:color="auto"/>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r>
      <w:tr>
        <w:trPr>
          <w:trHeight w:val="170"/>
        </w:trPr>
        <w:tc>
          <w:tcPr>
            <w:tcW w:w="2060" w:type="dxa"/>
            <w:vAlign w:val="bottom"/>
            <w:tcBorders>
              <w:bottom w:val="single" w:sz="8" w:color="auto"/>
              <w:right w:val="single" w:sz="8" w:color="auto"/>
            </w:tcBorders>
            <w:gridSpan w:val="3"/>
          </w:tcPr>
          <w:p>
            <w:pPr>
              <w:jc w:val="right"/>
              <w:ind w:right="580"/>
              <w:spacing w:after="0" w:line="170" w:lineRule="exact"/>
              <w:rPr>
                <w:sz w:val="20"/>
                <w:szCs w:val="20"/>
                <w:color w:val="auto"/>
              </w:rPr>
            </w:pPr>
            <w:r>
              <w:rPr>
                <w:rFonts w:ascii="Times New Roman" w:cs="Times New Roman" w:eastAsia="Times New Roman" w:hAnsi="Times New Roman"/>
                <w:sz w:val="18"/>
                <w:szCs w:val="18"/>
                <w:color w:val="auto"/>
              </w:rPr>
              <w:t>201,860,152</w:t>
            </w:r>
          </w:p>
        </w:tc>
        <w:tc>
          <w:tcPr>
            <w:tcW w:w="1540" w:type="dxa"/>
            <w:vAlign w:val="bottom"/>
            <w:tcBorders>
              <w:bottom w:val="single" w:sz="8" w:color="auto"/>
            </w:tcBorders>
            <w:gridSpan w:val="2"/>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42,922,182</w:t>
            </w:r>
          </w:p>
        </w:tc>
        <w:tc>
          <w:tcPr>
            <w:tcW w:w="50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1,564,386</w:t>
            </w:r>
          </w:p>
        </w:tc>
        <w:tc>
          <w:tcPr>
            <w:tcW w:w="62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300"/>
              <w:spacing w:after="0" w:line="170" w:lineRule="exact"/>
              <w:rPr>
                <w:sz w:val="20"/>
                <w:szCs w:val="20"/>
                <w:color w:val="auto"/>
              </w:rPr>
            </w:pPr>
            <w:r>
              <w:rPr>
                <w:rFonts w:ascii="Times New Roman" w:cs="Times New Roman" w:eastAsia="Times New Roman" w:hAnsi="Times New Roman"/>
                <w:sz w:val="18"/>
                <w:szCs w:val="18"/>
                <w:color w:val="auto"/>
              </w:rPr>
              <w:t>24,092,592</w:t>
            </w:r>
          </w:p>
        </w:tc>
        <w:tc>
          <w:tcPr>
            <w:tcW w:w="340" w:type="dxa"/>
            <w:vAlign w:val="bottom"/>
            <w:tcBorders>
              <w:bottom w:val="single" w:sz="8" w:color="auto"/>
              <w:right w:val="single" w:sz="8" w:color="auto"/>
            </w:tcBorders>
          </w:tcPr>
          <w:p>
            <w:pPr>
              <w:spacing w:after="0"/>
              <w:rPr>
                <w:sz w:val="14"/>
                <w:szCs w:val="14"/>
                <w:color w:val="auto"/>
              </w:rPr>
            </w:pPr>
          </w:p>
        </w:tc>
      </w:tr>
    </w:tbl>
    <w:p>
      <w:pPr>
        <w:spacing w:after="0" w:line="198" w:lineRule="exact"/>
        <w:rPr>
          <w:sz w:val="20"/>
          <w:szCs w:val="20"/>
          <w:color w:val="auto"/>
        </w:rPr>
      </w:pPr>
    </w:p>
    <w:p>
      <w:pPr>
        <w:ind w:left="660" w:right="1240" w:firstLine="4"/>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Plan Amendment to increase the number of shares of Class A Common Stock authorized for issuance under the 2021 Plan (Proposal 3):</w:t>
      </w:r>
    </w:p>
    <w:p>
      <w:pPr>
        <w:spacing w:after="0" w:line="157" w:lineRule="exact"/>
        <w:rPr>
          <w:sz w:val="20"/>
          <w:szCs w:val="20"/>
          <w:color w:val="auto"/>
        </w:rPr>
      </w:pPr>
    </w:p>
    <w:tbl>
      <w:tblPr>
        <w:tblLayout w:type="fixed"/>
        <w:tblInd w:w="1310" w:type="dxa"/>
        <w:tblCellMar>
          <w:top w:w="0" w:type="dxa"/>
          <w:left w:w="0" w:type="dxa"/>
          <w:bottom w:w="0" w:type="dxa"/>
          <w:right w:w="0" w:type="dxa"/>
        </w:tblCellMar>
      </w:tblPr>
      <w:tr>
        <w:trPr>
          <w:trHeight w:val="192"/>
        </w:trPr>
        <w:tc>
          <w:tcPr>
            <w:tcW w:w="700" w:type="dxa"/>
            <w:vAlign w:val="bottom"/>
            <w:tcBorders>
              <w:top w:val="single" w:sz="8" w:color="auto"/>
              <w:left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2"/>
          </w:tcPr>
          <w:p>
            <w:pPr>
              <w:jc w:val="center"/>
              <w:ind w:right="700"/>
              <w:spacing w:after="0" w:line="192" w:lineRule="exact"/>
              <w:rPr>
                <w:sz w:val="20"/>
                <w:szCs w:val="20"/>
                <w:color w:val="auto"/>
              </w:rPr>
            </w:pPr>
            <w:r>
              <w:rPr>
                <w:rFonts w:ascii="Times New Roman" w:cs="Times New Roman" w:eastAsia="Times New Roman" w:hAnsi="Times New Roman"/>
                <w:sz w:val="18"/>
                <w:szCs w:val="18"/>
                <w:b w:val="1"/>
                <w:bCs w:val="1"/>
                <w:color w:val="auto"/>
              </w:rPr>
              <w:t>Votes For</w:t>
            </w:r>
          </w:p>
        </w:tc>
        <w:tc>
          <w:tcPr>
            <w:tcW w:w="2040" w:type="dxa"/>
            <w:vAlign w:val="bottom"/>
            <w:tcBorders>
              <w:top w:val="single" w:sz="8" w:color="auto"/>
              <w:right w:val="single" w:sz="8" w:color="auto"/>
            </w:tcBorders>
            <w:gridSpan w:val="3"/>
          </w:tcPr>
          <w:p>
            <w:pPr>
              <w:jc w:val="center"/>
              <w:ind w:right="20"/>
              <w:spacing w:after="0" w:line="192" w:lineRule="exact"/>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140" w:type="dxa"/>
            <w:vAlign w:val="bottom"/>
            <w:tcBorders>
              <w:top w:val="single" w:sz="8" w:color="auto"/>
              <w:right w:val="single" w:sz="8" w:color="auto"/>
            </w:tcBorders>
            <w:gridSpan w:val="3"/>
          </w:tcPr>
          <w:p>
            <w:pPr>
              <w:jc w:val="center"/>
              <w:ind w:right="40"/>
              <w:spacing w:after="0" w:line="192" w:lineRule="exact"/>
              <w:rPr>
                <w:sz w:val="20"/>
                <w:szCs w:val="20"/>
                <w:color w:val="auto"/>
              </w:rPr>
            </w:pPr>
            <w:r>
              <w:rPr>
                <w:rFonts w:ascii="Times New Roman" w:cs="Times New Roman" w:eastAsia="Times New Roman" w:hAnsi="Times New Roman"/>
                <w:sz w:val="18"/>
                <w:szCs w:val="18"/>
                <w:b w:val="1"/>
                <w:bCs w:val="1"/>
                <w:color w:val="auto"/>
                <w:w w:val="98"/>
              </w:rPr>
              <w:t>Abstentions</w:t>
            </w:r>
          </w:p>
        </w:tc>
        <w:tc>
          <w:tcPr>
            <w:tcW w:w="300" w:type="dxa"/>
            <w:vAlign w:val="bottom"/>
            <w:tcBorders>
              <w:top w:val="single" w:sz="8" w:color="auto"/>
            </w:tcBorders>
          </w:tcPr>
          <w:p>
            <w:pPr>
              <w:spacing w:after="0"/>
              <w:rPr>
                <w:sz w:val="16"/>
                <w:szCs w:val="16"/>
                <w:color w:val="auto"/>
              </w:rPr>
            </w:pPr>
          </w:p>
        </w:tc>
        <w:tc>
          <w:tcPr>
            <w:tcW w:w="1740" w:type="dxa"/>
            <w:vAlign w:val="bottom"/>
            <w:tcBorders>
              <w:top w:val="single" w:sz="8" w:color="auto"/>
              <w:right w:val="single" w:sz="8" w:color="auto"/>
            </w:tcBorders>
            <w:gridSpan w:val="2"/>
          </w:tcPr>
          <w:p>
            <w:pPr>
              <w:jc w:val="center"/>
              <w:ind w:right="34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60"/>
        </w:trPr>
        <w:tc>
          <w:tcPr>
            <w:tcW w:w="700" w:type="dxa"/>
            <w:vAlign w:val="bottom"/>
            <w:tcBorders>
              <w:left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60" w:type="dxa"/>
            <w:vAlign w:val="bottom"/>
            <w:tcBorders>
              <w:top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00" w:type="dxa"/>
            <w:vAlign w:val="bottom"/>
            <w:tcBorders>
              <w:top w:val="single" w:sz="8" w:color="auto"/>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top w:val="single" w:sz="8" w:color="auto"/>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r>
      <w:tr>
        <w:trPr>
          <w:trHeight w:val="170"/>
        </w:trPr>
        <w:tc>
          <w:tcPr>
            <w:tcW w:w="2160" w:type="dxa"/>
            <w:vAlign w:val="bottom"/>
            <w:tcBorders>
              <w:bottom w:val="single" w:sz="8" w:color="auto"/>
              <w:right w:val="single" w:sz="8" w:color="auto"/>
            </w:tcBorders>
            <w:gridSpan w:val="3"/>
          </w:tcPr>
          <w:p>
            <w:pPr>
              <w:jc w:val="right"/>
              <w:ind w:right="640"/>
              <w:spacing w:after="0" w:line="170" w:lineRule="exact"/>
              <w:rPr>
                <w:sz w:val="20"/>
                <w:szCs w:val="20"/>
                <w:color w:val="auto"/>
              </w:rPr>
            </w:pPr>
            <w:r>
              <w:rPr>
                <w:rFonts w:ascii="Times New Roman" w:cs="Times New Roman" w:eastAsia="Times New Roman" w:hAnsi="Times New Roman"/>
                <w:sz w:val="18"/>
                <w:szCs w:val="18"/>
                <w:color w:val="auto"/>
              </w:rPr>
              <w:t>208,151,064</w:t>
            </w:r>
          </w:p>
        </w:tc>
        <w:tc>
          <w:tcPr>
            <w:tcW w:w="1540" w:type="dxa"/>
            <w:vAlign w:val="bottom"/>
            <w:tcBorders>
              <w:bottom w:val="single" w:sz="8" w:color="auto"/>
            </w:tcBorders>
            <w:gridSpan w:val="2"/>
          </w:tcPr>
          <w:p>
            <w:pPr>
              <w:jc w:val="right"/>
              <w:ind w:right="140"/>
              <w:spacing w:after="0" w:line="170" w:lineRule="exact"/>
              <w:rPr>
                <w:sz w:val="20"/>
                <w:szCs w:val="20"/>
                <w:color w:val="auto"/>
              </w:rPr>
            </w:pPr>
            <w:r>
              <w:rPr>
                <w:rFonts w:ascii="Times New Roman" w:cs="Times New Roman" w:eastAsia="Times New Roman" w:hAnsi="Times New Roman"/>
                <w:sz w:val="18"/>
                <w:szCs w:val="18"/>
                <w:color w:val="auto"/>
              </w:rPr>
              <w:t>36,674,608</w:t>
            </w:r>
          </w:p>
        </w:tc>
        <w:tc>
          <w:tcPr>
            <w:tcW w:w="50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80"/>
              <w:spacing w:after="0" w:line="170" w:lineRule="exact"/>
              <w:rPr>
                <w:sz w:val="20"/>
                <w:szCs w:val="20"/>
                <w:color w:val="auto"/>
              </w:rPr>
            </w:pPr>
            <w:r>
              <w:rPr>
                <w:rFonts w:ascii="Times New Roman" w:cs="Times New Roman" w:eastAsia="Times New Roman" w:hAnsi="Times New Roman"/>
                <w:sz w:val="18"/>
                <w:szCs w:val="18"/>
                <w:color w:val="auto"/>
              </w:rPr>
              <w:t>1,521,048</w:t>
            </w:r>
          </w:p>
        </w:tc>
        <w:tc>
          <w:tcPr>
            <w:tcW w:w="64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210"/>
              <w:spacing w:after="0" w:line="170" w:lineRule="exact"/>
              <w:rPr>
                <w:sz w:val="20"/>
                <w:szCs w:val="20"/>
                <w:color w:val="auto"/>
              </w:rPr>
            </w:pPr>
            <w:r>
              <w:rPr>
                <w:rFonts w:ascii="Times New Roman" w:cs="Times New Roman" w:eastAsia="Times New Roman" w:hAnsi="Times New Roman"/>
                <w:sz w:val="18"/>
                <w:szCs w:val="18"/>
                <w:color w:val="auto"/>
              </w:rPr>
              <w:t>24,092,592</w:t>
            </w:r>
          </w:p>
        </w:tc>
        <w:tc>
          <w:tcPr>
            <w:tcW w:w="340" w:type="dxa"/>
            <w:vAlign w:val="bottom"/>
            <w:tcBorders>
              <w:bottom w:val="single" w:sz="8" w:color="auto"/>
              <w:right w:val="single" w:sz="8" w:color="auto"/>
            </w:tcBorders>
          </w:tcPr>
          <w:p>
            <w:pPr>
              <w:spacing w:after="0"/>
              <w:rPr>
                <w:sz w:val="14"/>
                <w:szCs w:val="14"/>
                <w:color w:val="auto"/>
              </w:rPr>
            </w:pPr>
          </w:p>
        </w:tc>
      </w:tr>
    </w:tbl>
    <w:p>
      <w:pPr>
        <w:spacing w:after="0" w:line="198" w:lineRule="exact"/>
        <w:rPr>
          <w:sz w:val="20"/>
          <w:szCs w:val="20"/>
          <w:color w:val="auto"/>
        </w:rPr>
      </w:pPr>
    </w:p>
    <w:p>
      <w:pPr>
        <w:ind w:left="660" w:right="1100" w:firstLine="4"/>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the fiscal year ending January 30, 2027 (Proposal 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Borders>
              <w:right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2"/>
          </w:tcPr>
          <w:p>
            <w:pPr>
              <w:jc w:val="center"/>
              <w:ind w:right="700"/>
              <w:spacing w:after="0" w:line="192" w:lineRule="exact"/>
              <w:rPr>
                <w:sz w:val="20"/>
                <w:szCs w:val="20"/>
                <w:color w:val="auto"/>
              </w:rPr>
            </w:pPr>
            <w:r>
              <w:rPr>
                <w:rFonts w:ascii="Times New Roman" w:cs="Times New Roman" w:eastAsia="Times New Roman" w:hAnsi="Times New Roman"/>
                <w:sz w:val="18"/>
                <w:szCs w:val="18"/>
                <w:b w:val="1"/>
                <w:bCs w:val="1"/>
                <w:color w:val="auto"/>
              </w:rPr>
              <w:t>Votes For</w:t>
            </w:r>
          </w:p>
        </w:tc>
        <w:tc>
          <w:tcPr>
            <w:tcW w:w="2040" w:type="dxa"/>
            <w:vAlign w:val="bottom"/>
            <w:tcBorders>
              <w:top w:val="single" w:sz="8" w:color="auto"/>
              <w:right w:val="single" w:sz="8" w:color="auto"/>
            </w:tcBorders>
            <w:gridSpan w:val="3"/>
          </w:tcPr>
          <w:p>
            <w:pPr>
              <w:jc w:val="center"/>
              <w:ind w:right="20"/>
              <w:spacing w:after="0" w:line="192" w:lineRule="exact"/>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140" w:type="dxa"/>
            <w:vAlign w:val="bottom"/>
            <w:tcBorders>
              <w:top w:val="single" w:sz="8" w:color="auto"/>
              <w:right w:val="single" w:sz="8" w:color="auto"/>
            </w:tcBorders>
            <w:gridSpan w:val="3"/>
          </w:tcPr>
          <w:p>
            <w:pPr>
              <w:jc w:val="center"/>
              <w:ind w:right="40"/>
              <w:spacing w:after="0" w:line="192" w:lineRule="exact"/>
              <w:rPr>
                <w:sz w:val="20"/>
                <w:szCs w:val="20"/>
                <w:color w:val="auto"/>
              </w:rPr>
            </w:pPr>
            <w:r>
              <w:rPr>
                <w:rFonts w:ascii="Times New Roman" w:cs="Times New Roman" w:eastAsia="Times New Roman" w:hAnsi="Times New Roman"/>
                <w:sz w:val="18"/>
                <w:szCs w:val="18"/>
                <w:b w:val="1"/>
                <w:bCs w:val="1"/>
                <w:color w:val="auto"/>
                <w:w w:val="98"/>
              </w:rPr>
              <w:t>Abstentions</w:t>
            </w:r>
          </w:p>
        </w:tc>
        <w:tc>
          <w:tcPr>
            <w:tcW w:w="300" w:type="dxa"/>
            <w:vAlign w:val="bottom"/>
            <w:tcBorders>
              <w:top w:val="single" w:sz="8" w:color="auto"/>
            </w:tcBorders>
          </w:tcPr>
          <w:p>
            <w:pPr>
              <w:spacing w:after="0"/>
              <w:rPr>
                <w:sz w:val="16"/>
                <w:szCs w:val="16"/>
                <w:color w:val="auto"/>
              </w:rPr>
            </w:pPr>
          </w:p>
        </w:tc>
        <w:tc>
          <w:tcPr>
            <w:tcW w:w="1740" w:type="dxa"/>
            <w:vAlign w:val="bottom"/>
            <w:tcBorders>
              <w:top w:val="single" w:sz="8" w:color="auto"/>
              <w:right w:val="single" w:sz="8" w:color="auto"/>
            </w:tcBorders>
            <w:gridSpan w:val="2"/>
          </w:tcPr>
          <w:p>
            <w:pPr>
              <w:jc w:val="center"/>
              <w:ind w:right="34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360" w:type="dxa"/>
            <w:vAlign w:val="bottom"/>
          </w:tcPr>
          <w:p>
            <w:pPr>
              <w:spacing w:after="0"/>
              <w:rPr>
                <w:sz w:val="16"/>
                <w:szCs w:val="16"/>
                <w:color w:val="auto"/>
              </w:rPr>
            </w:pPr>
          </w:p>
        </w:tc>
      </w:tr>
      <w:tr>
        <w:trPr>
          <w:trHeight w:val="60"/>
        </w:trPr>
        <w:tc>
          <w:tcPr>
            <w:tcW w:w="1340" w:type="dxa"/>
            <w:vAlign w:val="bottom"/>
            <w:tcBorders>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60" w:type="dxa"/>
            <w:vAlign w:val="bottom"/>
            <w:tcBorders>
              <w:top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00" w:type="dxa"/>
            <w:vAlign w:val="bottom"/>
            <w:tcBorders>
              <w:top w:val="single" w:sz="8" w:color="auto"/>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top w:val="single" w:sz="8" w:color="auto"/>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60" w:type="dxa"/>
            <w:vAlign w:val="bottom"/>
          </w:tcPr>
          <w:p>
            <w:pPr>
              <w:spacing w:after="0"/>
              <w:rPr>
                <w:sz w:val="5"/>
                <w:szCs w:val="5"/>
                <w:color w:val="auto"/>
              </w:rPr>
            </w:pPr>
          </w:p>
        </w:tc>
      </w:tr>
      <w:tr>
        <w:trPr>
          <w:trHeight w:val="170"/>
        </w:trPr>
        <w:tc>
          <w:tcPr>
            <w:tcW w:w="1340" w:type="dxa"/>
            <w:vAlign w:val="bottom"/>
            <w:tcBorders>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gridSpan w:val="3"/>
          </w:tcPr>
          <w:p>
            <w:pPr>
              <w:jc w:val="right"/>
              <w:ind w:right="640"/>
              <w:spacing w:after="0" w:line="170" w:lineRule="exact"/>
              <w:rPr>
                <w:sz w:val="20"/>
                <w:szCs w:val="20"/>
                <w:color w:val="auto"/>
              </w:rPr>
            </w:pPr>
            <w:r>
              <w:rPr>
                <w:rFonts w:ascii="Times New Roman" w:cs="Times New Roman" w:eastAsia="Times New Roman" w:hAnsi="Times New Roman"/>
                <w:sz w:val="18"/>
                <w:szCs w:val="18"/>
                <w:color w:val="auto"/>
              </w:rPr>
              <w:t>269,971,930</w:t>
            </w:r>
          </w:p>
        </w:tc>
        <w:tc>
          <w:tcPr>
            <w:tcW w:w="1540" w:type="dxa"/>
            <w:vAlign w:val="bottom"/>
            <w:tcBorders>
              <w:bottom w:val="single" w:sz="8" w:color="auto"/>
            </w:tcBorders>
            <w:gridSpan w:val="2"/>
          </w:tcPr>
          <w:p>
            <w:pPr>
              <w:jc w:val="right"/>
              <w:ind w:right="240"/>
              <w:spacing w:after="0" w:line="170" w:lineRule="exact"/>
              <w:rPr>
                <w:sz w:val="20"/>
                <w:szCs w:val="20"/>
                <w:color w:val="auto"/>
              </w:rPr>
            </w:pPr>
            <w:r>
              <w:rPr>
                <w:rFonts w:ascii="Times New Roman" w:cs="Times New Roman" w:eastAsia="Times New Roman" w:hAnsi="Times New Roman"/>
                <w:sz w:val="18"/>
                <w:szCs w:val="18"/>
                <w:color w:val="auto"/>
              </w:rPr>
              <w:t>343,606</w:t>
            </w:r>
          </w:p>
        </w:tc>
        <w:tc>
          <w:tcPr>
            <w:tcW w:w="50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160"/>
              <w:spacing w:after="0" w:line="170" w:lineRule="exact"/>
              <w:rPr>
                <w:sz w:val="20"/>
                <w:szCs w:val="20"/>
                <w:color w:val="auto"/>
              </w:rPr>
            </w:pPr>
            <w:r>
              <w:rPr>
                <w:rFonts w:ascii="Times New Roman" w:cs="Times New Roman" w:eastAsia="Times New Roman" w:hAnsi="Times New Roman"/>
                <w:sz w:val="18"/>
                <w:szCs w:val="18"/>
                <w:color w:val="auto"/>
              </w:rPr>
              <w:t>123,776</w:t>
            </w:r>
          </w:p>
        </w:tc>
        <w:tc>
          <w:tcPr>
            <w:tcW w:w="64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590"/>
              <w:spacing w:after="0" w:line="170"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972"/>
        </w:trPr>
        <w:tc>
          <w:tcPr>
            <w:tcW w:w="1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No other matters were considered and voted on by the Company’s stockholders at the Annual Meeting.</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7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20"/>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640" w:type="dxa"/>
            <w:vAlign w:val="bottom"/>
          </w:tcPr>
          <w:p>
            <w:pPr>
              <w:ind w:left="66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Second Amendment to Petco Health and Wellness Company, Inc. 2021 Equity Incentive Plan</w:t>
            </w:r>
          </w:p>
        </w:tc>
      </w:tr>
      <w:tr>
        <w:trPr>
          <w:trHeight w:val="237"/>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660" w:type="dxa"/>
            <w:vAlign w:val="bottom"/>
          </w:tcPr>
          <w:p>
            <w:pPr>
              <w:spacing w:after="0"/>
              <w:rPr>
                <w:sz w:val="20"/>
                <w:szCs w:val="20"/>
                <w:color w:val="auto"/>
              </w:rPr>
            </w:pPr>
          </w:p>
        </w:tc>
      </w:tr>
      <w:tr>
        <w:trPr>
          <w:trHeight w:val="979"/>
        </w:trPr>
        <w:tc>
          <w:tcPr>
            <w:tcW w:w="164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9"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580"/>
        </w:trPr>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July 1, 2026</w:t>
            </w:r>
          </w:p>
        </w:tc>
        <w:tc>
          <w:tcPr>
            <w:tcW w:w="21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Giovanni Insana</w:t>
            </w:r>
          </w:p>
        </w:tc>
      </w:tr>
      <w:tr>
        <w:trPr>
          <w:trHeight w:val="191"/>
        </w:trPr>
        <w:tc>
          <w:tcPr>
            <w:tcW w:w="3740" w:type="dxa"/>
            <w:vAlign w:val="bottom"/>
          </w:tcPr>
          <w:p>
            <w:pPr>
              <w:spacing w:after="0"/>
              <w:rPr>
                <w:sz w:val="16"/>
                <w:szCs w:val="16"/>
                <w:color w:val="auto"/>
              </w:rPr>
            </w:pPr>
          </w:p>
        </w:tc>
        <w:tc>
          <w:tcPr>
            <w:tcW w:w="2180" w:type="dxa"/>
            <w:vAlign w:val="bottom"/>
          </w:tcPr>
          <w:p>
            <w:pPr>
              <w:ind w:left="1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Giovanni Insana</w:t>
            </w:r>
          </w:p>
        </w:tc>
        <w:tc>
          <w:tcPr>
            <w:tcW w:w="660" w:type="dxa"/>
            <w:vAlign w:val="bottom"/>
          </w:tcPr>
          <w:p>
            <w:pPr>
              <w:spacing w:after="0"/>
              <w:rPr>
                <w:sz w:val="16"/>
                <w:szCs w:val="16"/>
                <w:color w:val="auto"/>
              </w:rPr>
            </w:pPr>
          </w:p>
        </w:tc>
      </w:tr>
      <w:tr>
        <w:trPr>
          <w:trHeight w:val="248"/>
        </w:trPr>
        <w:tc>
          <w:tcPr>
            <w:tcW w:w="3740" w:type="dxa"/>
            <w:vAlign w:val="bottom"/>
          </w:tcPr>
          <w:p>
            <w:pPr>
              <w:spacing w:after="0"/>
              <w:rPr>
                <w:sz w:val="21"/>
                <w:szCs w:val="21"/>
                <w:color w:val="auto"/>
              </w:rPr>
            </w:pPr>
          </w:p>
        </w:tc>
        <w:tc>
          <w:tcPr>
            <w:tcW w:w="21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1141"/>
        </w:trPr>
        <w:tc>
          <w:tcPr>
            <w:tcW w:w="37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41" w:lineRule="exact"/>
        <w:rPr>
          <w:sz w:val="20"/>
          <w:szCs w:val="20"/>
          <w:color w:val="auto"/>
        </w:rPr>
      </w:pPr>
    </w:p>
    <w:p>
      <w:pPr>
        <w:jc w:val="center"/>
        <w:ind w:right="80"/>
        <w:spacing w:after="0" w:line="265" w:lineRule="auto"/>
        <w:rPr>
          <w:sz w:val="20"/>
          <w:szCs w:val="20"/>
          <w:color w:val="auto"/>
        </w:rPr>
      </w:pPr>
      <w:r>
        <w:rPr>
          <w:rFonts w:ascii="Arial" w:cs="Arial" w:eastAsia="Arial" w:hAnsi="Arial"/>
          <w:sz w:val="29"/>
          <w:szCs w:val="29"/>
          <w:b w:val="1"/>
          <w:bCs w:val="1"/>
          <w:color w:val="374063"/>
        </w:rPr>
        <w:t>SECOND AMENDMENT TO THE PETCO HEALTH AND WELLNESS COMPANY, INC. 2021 EQUITY INCENTIVE PLAN</w:t>
      </w:r>
    </w:p>
    <w:p>
      <w:pPr>
        <w:spacing w:after="0" w:line="13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231F20"/>
        </w:rPr>
        <w:t>WHEREAS</w:t>
      </w:r>
      <w:r>
        <w:rPr>
          <w:rFonts w:ascii="Arial" w:cs="Arial" w:eastAsia="Arial" w:hAnsi="Arial"/>
          <w:sz w:val="18"/>
          <w:szCs w:val="18"/>
          <w:color w:val="231F20"/>
        </w:rPr>
        <w:t>, Petco Health and Wellness Company, Inc., a Delaware corporation (the “</w:t>
      </w:r>
      <w:r>
        <w:rPr>
          <w:rFonts w:ascii="Arial" w:cs="Arial" w:eastAsia="Arial" w:hAnsi="Arial"/>
          <w:sz w:val="18"/>
          <w:szCs w:val="18"/>
          <w:u w:val="single" w:color="auto"/>
          <w:color w:val="231F20"/>
        </w:rPr>
        <w:t>Company</w:t>
      </w:r>
      <w:r>
        <w:rPr>
          <w:rFonts w:ascii="Arial" w:cs="Arial" w:eastAsia="Arial" w:hAnsi="Arial"/>
          <w:sz w:val="18"/>
          <w:szCs w:val="18"/>
          <w:color w:val="231F20"/>
        </w:rPr>
        <w:t>”) maintains the Petco Health and Wellness</w:t>
      </w:r>
      <w:r>
        <w:rPr>
          <w:rFonts w:ascii="Arial" w:cs="Arial" w:eastAsia="Arial" w:hAnsi="Arial"/>
          <w:sz w:val="18"/>
          <w:szCs w:val="18"/>
          <w:b w:val="1"/>
          <w:bCs w:val="1"/>
          <w:color w:val="231F20"/>
        </w:rPr>
        <w:t xml:space="preserve"> </w:t>
      </w:r>
      <w:r>
        <w:rPr>
          <w:rFonts w:ascii="Arial" w:cs="Arial" w:eastAsia="Arial" w:hAnsi="Arial"/>
          <w:sz w:val="18"/>
          <w:szCs w:val="18"/>
          <w:color w:val="231F20"/>
        </w:rPr>
        <w:t>Company, Inc. 2021 Equity Incentive Plan (the “</w:t>
      </w:r>
      <w:r>
        <w:rPr>
          <w:rFonts w:ascii="Arial" w:cs="Arial" w:eastAsia="Arial" w:hAnsi="Arial"/>
          <w:sz w:val="18"/>
          <w:szCs w:val="18"/>
          <w:u w:val="single" w:color="auto"/>
          <w:color w:val="231F20"/>
        </w:rPr>
        <w:t>Plan</w:t>
      </w:r>
      <w:r>
        <w:rPr>
          <w:rFonts w:ascii="Arial" w:cs="Arial" w:eastAsia="Arial" w:hAnsi="Arial"/>
          <w:sz w:val="18"/>
          <w:szCs w:val="18"/>
          <w:color w:val="231F20"/>
        </w:rPr>
        <w:t>”); and</w:t>
      </w:r>
    </w:p>
    <w:p>
      <w:pPr>
        <w:spacing w:after="0" w:line="4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color w:val="231F20"/>
        </w:rPr>
        <w:t>WHEREAS</w:t>
      </w:r>
      <w:r>
        <w:rPr>
          <w:rFonts w:ascii="Arial" w:cs="Arial" w:eastAsia="Arial" w:hAnsi="Arial"/>
          <w:sz w:val="18"/>
          <w:szCs w:val="18"/>
          <w:color w:val="231F20"/>
        </w:rPr>
        <w:t>, pursuant to Section 20 of the Plan, the Board may amend the Plan to increase the maximum number of shares of Common</w:t>
      </w:r>
      <w:r>
        <w:rPr>
          <w:rFonts w:ascii="Arial" w:cs="Arial" w:eastAsia="Arial" w:hAnsi="Arial"/>
          <w:sz w:val="18"/>
          <w:szCs w:val="18"/>
          <w:b w:val="1"/>
          <w:bCs w:val="1"/>
          <w:color w:val="231F20"/>
        </w:rPr>
        <w:t xml:space="preserve"> </w:t>
      </w:r>
      <w:r>
        <w:rPr>
          <w:rFonts w:ascii="Arial" w:cs="Arial" w:eastAsia="Arial" w:hAnsi="Arial"/>
          <w:sz w:val="18"/>
          <w:szCs w:val="18"/>
          <w:color w:val="231F20"/>
        </w:rPr>
        <w:t>Stock for which awards may be granted under the Plan, subject to the approval of the stockholders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NOW, THEREFORE</w:t>
      </w:r>
      <w:r>
        <w:rPr>
          <w:rFonts w:ascii="Arial" w:cs="Arial" w:eastAsia="Arial" w:hAnsi="Arial"/>
          <w:sz w:val="18"/>
          <w:szCs w:val="18"/>
          <w:color w:val="231F20"/>
        </w:rPr>
        <w:t>, pursuant to its authority under Section 20 of the Plan, the Board hereby amends the Plan as follows, effective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31F20"/>
        </w:rPr>
        <w:t>May 8, 2026 (the “</w:t>
      </w:r>
      <w:r>
        <w:rPr>
          <w:rFonts w:ascii="Arial" w:cs="Arial" w:eastAsia="Arial" w:hAnsi="Arial"/>
          <w:sz w:val="18"/>
          <w:szCs w:val="18"/>
          <w:u w:val="single" w:color="auto"/>
          <w:color w:val="231F20"/>
        </w:rPr>
        <w:t>Amendment Effective Date</w:t>
      </w:r>
      <w:r>
        <w:rPr>
          <w:rFonts w:ascii="Arial" w:cs="Arial" w:eastAsia="Arial" w:hAnsi="Arial"/>
          <w:sz w:val="18"/>
          <w:szCs w:val="18"/>
          <w:color w:val="231F20"/>
        </w:rPr>
        <w:t>”), subject to the approval of the stockholders of the Company:</w:t>
      </w:r>
    </w:p>
    <w:p>
      <w:pPr>
        <w:spacing w:after="0" w:line="86" w:lineRule="exact"/>
        <w:rPr>
          <w:sz w:val="20"/>
          <w:szCs w:val="20"/>
          <w:color w:val="auto"/>
        </w:rPr>
      </w:pPr>
    </w:p>
    <w:p>
      <w:pPr>
        <w:ind w:left="780" w:hanging="398"/>
        <w:spacing w:after="0"/>
        <w:tabs>
          <w:tab w:leader="none" w:pos="7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Section 5(a) of the Plan is hereby amended and restated in its entirety to read as follows:</w:t>
      </w:r>
    </w:p>
    <w:p>
      <w:pPr>
        <w:spacing w:after="0" w:line="104" w:lineRule="exact"/>
        <w:rPr>
          <w:sz w:val="20"/>
          <w:szCs w:val="20"/>
          <w:color w:val="auto"/>
        </w:rPr>
      </w:pPr>
    </w:p>
    <w:p>
      <w:pPr>
        <w:ind w:left="660" w:right="40" w:firstLine="382"/>
        <w:spacing w:after="0" w:line="244" w:lineRule="auto"/>
        <w:rPr>
          <w:sz w:val="20"/>
          <w:szCs w:val="20"/>
          <w:color w:val="auto"/>
        </w:rPr>
      </w:pPr>
      <w:r>
        <w:rPr>
          <w:rFonts w:ascii="Arial" w:cs="Arial" w:eastAsia="Arial" w:hAnsi="Arial"/>
          <w:sz w:val="18"/>
          <w:szCs w:val="18"/>
          <w:color w:val="231F20"/>
        </w:rPr>
        <w:t xml:space="preserve">“(a) </w:t>
      </w:r>
      <w:r>
        <w:rPr>
          <w:rFonts w:ascii="Arial" w:cs="Arial" w:eastAsia="Arial" w:hAnsi="Arial"/>
          <w:sz w:val="18"/>
          <w:szCs w:val="18"/>
          <w:i w:val="1"/>
          <w:iCs w:val="1"/>
          <w:color w:val="231F20"/>
        </w:rPr>
        <w:t>Aggregate Limits</w:t>
      </w:r>
      <w:r>
        <w:rPr>
          <w:rFonts w:ascii="Arial" w:cs="Arial" w:eastAsia="Arial" w:hAnsi="Arial"/>
          <w:sz w:val="18"/>
          <w:szCs w:val="18"/>
          <w:color w:val="231F20"/>
        </w:rPr>
        <w:t xml:space="preserve">. The aggregate number of shares of Common Stock issuable under the Plan shall be equal to 59,271,641. The aggregate number of shares of Common Stock available for grant under this Plan and the number of shares of Common Stock subject to Awards outstanding at the time of any event described in </w:t>
      </w:r>
      <w:r>
        <w:rPr>
          <w:rFonts w:ascii="Arial" w:cs="Arial" w:eastAsia="Arial" w:hAnsi="Arial"/>
          <w:sz w:val="18"/>
          <w:szCs w:val="18"/>
          <w:u w:val="single" w:color="auto"/>
          <w:color w:val="231F20"/>
        </w:rPr>
        <w:t>Section 16</w:t>
      </w:r>
      <w:r>
        <w:rPr>
          <w:rFonts w:ascii="Arial" w:cs="Arial" w:eastAsia="Arial" w:hAnsi="Arial"/>
          <w:sz w:val="18"/>
          <w:szCs w:val="18"/>
          <w:color w:val="231F20"/>
        </w:rPr>
        <w:t xml:space="preserve"> shall be subject to adjustment as provided in </w:t>
      </w:r>
      <w:r>
        <w:rPr>
          <w:rFonts w:ascii="Arial" w:cs="Arial" w:eastAsia="Arial" w:hAnsi="Arial"/>
          <w:sz w:val="18"/>
          <w:szCs w:val="18"/>
          <w:u w:val="single" w:color="auto"/>
          <w:color w:val="231F20"/>
        </w:rPr>
        <w:t>Section</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16</w:t>
      </w:r>
      <w:r>
        <w:rPr>
          <w:rFonts w:ascii="Arial" w:cs="Arial" w:eastAsia="Arial" w:hAnsi="Arial"/>
          <w:sz w:val="18"/>
          <w:szCs w:val="18"/>
          <w:color w:val="231F20"/>
        </w:rPr>
        <w:t>. The shares of Common Stock issued pursuant to Awards granted under this Plan may be shares that are authorized and unissued or shares that were reacquired by the Company, including shares purchased in the open market.”</w:t>
      </w:r>
    </w:p>
    <w:p>
      <w:pPr>
        <w:spacing w:after="0" w:line="68" w:lineRule="exact"/>
        <w:rPr>
          <w:sz w:val="20"/>
          <w:szCs w:val="20"/>
          <w:color w:val="auto"/>
        </w:rPr>
      </w:pPr>
    </w:p>
    <w:p>
      <w:pPr>
        <w:ind w:left="780" w:hanging="398"/>
        <w:spacing w:after="0"/>
        <w:tabs>
          <w:tab w:leader="none" w:pos="7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Section 5(d) of the Plan is hereby amended and restated in its entirety to read as follows:</w:t>
      </w:r>
    </w:p>
    <w:p>
      <w:pPr>
        <w:spacing w:after="0" w:line="104" w:lineRule="exact"/>
        <w:rPr>
          <w:sz w:val="20"/>
          <w:szCs w:val="20"/>
          <w:color w:val="auto"/>
        </w:rPr>
      </w:pPr>
    </w:p>
    <w:p>
      <w:pPr>
        <w:ind w:left="660" w:right="40" w:firstLine="382"/>
        <w:spacing w:after="0" w:line="247" w:lineRule="auto"/>
        <w:rPr>
          <w:sz w:val="20"/>
          <w:szCs w:val="20"/>
          <w:color w:val="auto"/>
        </w:rPr>
      </w:pPr>
      <w:r>
        <w:rPr>
          <w:rFonts w:ascii="Arial" w:cs="Arial" w:eastAsia="Arial" w:hAnsi="Arial"/>
          <w:sz w:val="18"/>
          <w:szCs w:val="18"/>
          <w:color w:val="231F20"/>
        </w:rPr>
        <w:t xml:space="preserve">“(d) </w:t>
      </w:r>
      <w:r>
        <w:rPr>
          <w:rFonts w:ascii="Arial" w:cs="Arial" w:eastAsia="Arial" w:hAnsi="Arial"/>
          <w:sz w:val="18"/>
          <w:szCs w:val="18"/>
          <w:i w:val="1"/>
          <w:iCs w:val="1"/>
          <w:color w:val="231F20"/>
        </w:rPr>
        <w:t>Tax Code Limits.</w:t>
      </w:r>
      <w:r>
        <w:rPr>
          <w:rFonts w:ascii="Arial" w:cs="Arial" w:eastAsia="Arial" w:hAnsi="Arial"/>
          <w:sz w:val="18"/>
          <w:szCs w:val="18"/>
          <w:color w:val="231F20"/>
        </w:rPr>
        <w:t xml:space="preserve"> The aggregate number of shares of Common Stock that may be issued pursuant to the exercise of Incentive Stock Options granted under this Plan shall be equal to 59,271,641, which number shall be calculated and adjusted pursuant to </w:t>
      </w:r>
      <w:r>
        <w:rPr>
          <w:rFonts w:ascii="Arial" w:cs="Arial" w:eastAsia="Arial" w:hAnsi="Arial"/>
          <w:sz w:val="18"/>
          <w:szCs w:val="18"/>
          <w:u w:val="single" w:color="auto"/>
          <w:color w:val="231F20"/>
        </w:rPr>
        <w:t>Section 16</w:t>
      </w:r>
      <w:r>
        <w:rPr>
          <w:rFonts w:ascii="Arial" w:cs="Arial" w:eastAsia="Arial" w:hAnsi="Arial"/>
          <w:sz w:val="18"/>
          <w:szCs w:val="18"/>
          <w:color w:val="231F20"/>
        </w:rPr>
        <w:t xml:space="preserve"> only to the extent that such calculation or adjustment will not affect the status of any option intended to qualify as an Incentive Stock Option under Section 422 of the Code.”</w:t>
      </w:r>
    </w:p>
    <w:p>
      <w:pPr>
        <w:spacing w:after="0" w:line="66" w:lineRule="exact"/>
        <w:rPr>
          <w:sz w:val="20"/>
          <w:szCs w:val="20"/>
          <w:color w:val="auto"/>
        </w:rPr>
      </w:pPr>
    </w:p>
    <w:p>
      <w:pPr>
        <w:ind w:left="640" w:right="220" w:hanging="258"/>
        <w:spacing w:after="0" w:line="271" w:lineRule="auto"/>
        <w:tabs>
          <w:tab w:leader="none" w:pos="786"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This Second Amendment shall be interpreted and construed in accordance with the laws of the State of Delaware and applicable federal law.</w:t>
      </w:r>
    </w:p>
    <w:p>
      <w:pPr>
        <w:spacing w:after="0" w:line="45" w:lineRule="exact"/>
        <w:rPr>
          <w:rFonts w:ascii="Arial" w:cs="Arial" w:eastAsia="Arial" w:hAnsi="Arial"/>
          <w:sz w:val="18"/>
          <w:szCs w:val="18"/>
          <w:color w:val="231F20"/>
        </w:rPr>
      </w:pPr>
    </w:p>
    <w:p>
      <w:pPr>
        <w:ind w:left="640" w:right="700" w:hanging="258"/>
        <w:spacing w:after="0" w:line="271" w:lineRule="auto"/>
        <w:tabs>
          <w:tab w:leader="none" w:pos="786"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All capitalized terms used but not otherwise defined herein shall have the meaning assigned to them in the Plan. Except as expressly amended hereby, the Plan shall remain in full force and effect in accordance with its terms.</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231F20"/>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5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231F20"/>
        </w:rPr>
        <w:t>IN WITNESS WHEREOF</w:t>
      </w:r>
      <w:r>
        <w:rPr>
          <w:rFonts w:ascii="Arial" w:cs="Arial" w:eastAsia="Arial" w:hAnsi="Arial"/>
          <w:sz w:val="18"/>
          <w:szCs w:val="18"/>
          <w:color w:val="231F20"/>
        </w:rPr>
        <w:t>, the undersigned has executed this Second Amendment to the Petco Health and Wellness Company, Inc. 2021</w:t>
      </w:r>
      <w:r>
        <w:rPr>
          <w:rFonts w:ascii="Arial" w:cs="Arial" w:eastAsia="Arial" w:hAnsi="Arial"/>
          <w:sz w:val="18"/>
          <w:szCs w:val="18"/>
          <w:b w:val="1"/>
          <w:bCs w:val="1"/>
          <w:color w:val="231F20"/>
        </w:rPr>
        <w:t xml:space="preserve"> </w:t>
      </w:r>
      <w:r>
        <w:rPr>
          <w:rFonts w:ascii="Arial" w:cs="Arial" w:eastAsia="Arial" w:hAnsi="Arial"/>
          <w:sz w:val="18"/>
          <w:szCs w:val="18"/>
          <w:color w:val="231F20"/>
        </w:rPr>
        <w:t>Equity Incentive Plan, effective as of the Amendment Effective Date, subject to the approval of the stockholders of the Company.</w:t>
      </w:r>
    </w:p>
    <w:p>
      <w:pPr>
        <w:spacing w:after="0" w:line="26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231F20"/>
        </w:rPr>
        <w:t>PETCO HEALTH AND WELLNESS COMPANY, INC.</w:t>
      </w:r>
    </w:p>
    <w:p>
      <w:pPr>
        <w:spacing w:after="0" w:line="212" w:lineRule="exact"/>
        <w:rPr>
          <w:sz w:val="20"/>
          <w:szCs w:val="20"/>
          <w:color w:val="auto"/>
        </w:rPr>
      </w:pPr>
    </w:p>
    <w:tbl>
      <w:tblPr>
        <w:tblLayout w:type="fixed"/>
        <w:tblInd w:w="5820" w:type="dxa"/>
        <w:tblCellMar>
          <w:top w:w="0" w:type="dxa"/>
          <w:left w:w="0" w:type="dxa"/>
          <w:bottom w:w="0" w:type="dxa"/>
          <w:right w:w="0" w:type="dxa"/>
        </w:tblCellMar>
      </w:tblPr>
      <w:tr>
        <w:trPr>
          <w:trHeight w:val="221"/>
        </w:trPr>
        <w:tc>
          <w:tcPr>
            <w:tcW w:w="1120" w:type="dxa"/>
            <w:vAlign w:val="bottom"/>
          </w:tcPr>
          <w:p>
            <w:pPr>
              <w:spacing w:after="0"/>
              <w:rPr>
                <w:sz w:val="20"/>
                <w:szCs w:val="20"/>
                <w:color w:val="auto"/>
              </w:rPr>
            </w:pPr>
            <w:r>
              <w:rPr>
                <w:rFonts w:ascii="Arial" w:cs="Arial" w:eastAsia="Arial" w:hAnsi="Arial"/>
                <w:sz w:val="18"/>
                <w:szCs w:val="18"/>
                <w:color w:val="231F20"/>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231F20"/>
              </w:rPr>
              <w:t>/s/ Giovanni Insana</w:t>
            </w:r>
          </w:p>
        </w:tc>
      </w:tr>
      <w:tr>
        <w:trPr>
          <w:trHeight w:val="177"/>
        </w:trPr>
        <w:tc>
          <w:tcPr>
            <w:tcW w:w="1120" w:type="dxa"/>
            <w:vAlign w:val="bottom"/>
          </w:tcPr>
          <w:p>
            <w:pPr>
              <w:spacing w:after="0" w:line="177" w:lineRule="exact"/>
              <w:rPr>
                <w:sz w:val="20"/>
                <w:szCs w:val="20"/>
                <w:color w:val="auto"/>
              </w:rPr>
            </w:pPr>
            <w:r>
              <w:rPr>
                <w:rFonts w:ascii="Arial" w:cs="Arial" w:eastAsia="Arial" w:hAnsi="Arial"/>
                <w:sz w:val="18"/>
                <w:szCs w:val="18"/>
                <w:color w:val="231F20"/>
              </w:rPr>
              <w:t>Name:</w:t>
            </w:r>
          </w:p>
        </w:tc>
        <w:tc>
          <w:tcPr>
            <w:tcW w:w="3920" w:type="dxa"/>
            <w:vAlign w:val="bottom"/>
          </w:tcPr>
          <w:p>
            <w:pPr>
              <w:spacing w:after="0" w:line="177" w:lineRule="exact"/>
              <w:rPr>
                <w:sz w:val="20"/>
                <w:szCs w:val="20"/>
                <w:color w:val="auto"/>
              </w:rPr>
            </w:pPr>
            <w:r>
              <w:rPr>
                <w:rFonts w:ascii="Arial" w:cs="Arial" w:eastAsia="Arial" w:hAnsi="Arial"/>
                <w:sz w:val="18"/>
                <w:szCs w:val="18"/>
                <w:color w:val="231F20"/>
              </w:rPr>
              <w:t>Giovanni Insana</w:t>
            </w:r>
          </w:p>
        </w:tc>
      </w:tr>
      <w:tr>
        <w:trPr>
          <w:trHeight w:val="239"/>
        </w:trPr>
        <w:tc>
          <w:tcPr>
            <w:tcW w:w="1120" w:type="dxa"/>
            <w:vAlign w:val="bottom"/>
          </w:tcPr>
          <w:p>
            <w:pPr>
              <w:spacing w:after="0"/>
              <w:rPr>
                <w:sz w:val="20"/>
                <w:szCs w:val="20"/>
                <w:color w:val="auto"/>
              </w:rPr>
            </w:pPr>
            <w:r>
              <w:rPr>
                <w:rFonts w:ascii="Arial" w:cs="Arial" w:eastAsia="Arial" w:hAnsi="Arial"/>
                <w:sz w:val="18"/>
                <w:szCs w:val="18"/>
                <w:color w:val="231F20"/>
              </w:rPr>
              <w:t>Title:</w:t>
            </w:r>
          </w:p>
        </w:tc>
        <w:tc>
          <w:tcPr>
            <w:tcW w:w="3920" w:type="dxa"/>
            <w:vAlign w:val="bottom"/>
          </w:tcPr>
          <w:p>
            <w:pPr>
              <w:spacing w:after="0"/>
              <w:rPr>
                <w:sz w:val="20"/>
                <w:szCs w:val="20"/>
                <w:color w:val="auto"/>
              </w:rPr>
            </w:pPr>
            <w:r>
              <w:rPr>
                <w:rFonts w:ascii="Arial" w:cs="Arial" w:eastAsia="Arial" w:hAnsi="Arial"/>
                <w:sz w:val="18"/>
                <w:szCs w:val="18"/>
                <w:color w:val="231F20"/>
              </w:rPr>
              <w:t>Chief Legal Officer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231F20"/>
        </w:rPr>
        <w:t>S</w:t>
      </w:r>
      <w:r>
        <w:rPr>
          <w:rFonts w:ascii="Arial" w:cs="Arial" w:eastAsia="Arial" w:hAnsi="Arial"/>
          <w:sz w:val="13"/>
          <w:szCs w:val="13"/>
          <w:color w:val="231F20"/>
        </w:rPr>
        <w:t>IGNATURE</w:t>
      </w:r>
      <w:r>
        <w:rPr>
          <w:rFonts w:ascii="Arial" w:cs="Arial" w:eastAsia="Arial" w:hAnsi="Arial"/>
          <w:sz w:val="18"/>
          <w:szCs w:val="18"/>
          <w:color w:val="231F20"/>
        </w:rPr>
        <w:t xml:space="preserve"> P</w:t>
      </w:r>
      <w:r>
        <w:rPr>
          <w:rFonts w:ascii="Arial" w:cs="Arial" w:eastAsia="Arial" w:hAnsi="Arial"/>
          <w:sz w:val="13"/>
          <w:szCs w:val="13"/>
          <w:color w:val="231F20"/>
        </w:rPr>
        <w:t>AGE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231F20"/>
        </w:rPr>
        <w:t>Second A</w:t>
      </w:r>
      <w:r>
        <w:rPr>
          <w:rFonts w:ascii="Arial" w:cs="Arial" w:eastAsia="Arial" w:hAnsi="Arial"/>
          <w:sz w:val="13"/>
          <w:szCs w:val="13"/>
          <w:color w:val="231F20"/>
        </w:rPr>
        <w:t>MENDMENT TO THE</w:t>
      </w:r>
    </w:p>
    <w:p>
      <w:pPr>
        <w:jc w:val="center"/>
        <w:ind w:right="40"/>
        <w:spacing w:after="0" w:line="234" w:lineRule="auto"/>
        <w:rPr>
          <w:sz w:val="20"/>
          <w:szCs w:val="20"/>
          <w:color w:val="auto"/>
        </w:rPr>
      </w:pPr>
      <w:r>
        <w:rPr>
          <w:rFonts w:ascii="Arial" w:cs="Arial" w:eastAsia="Arial" w:hAnsi="Arial"/>
          <w:sz w:val="18"/>
          <w:szCs w:val="18"/>
          <w:color w:val="231F20"/>
        </w:rPr>
        <w:t>P</w:t>
      </w:r>
      <w:r>
        <w:rPr>
          <w:rFonts w:ascii="Arial" w:cs="Arial" w:eastAsia="Arial" w:hAnsi="Arial"/>
          <w:sz w:val="13"/>
          <w:szCs w:val="13"/>
          <w:color w:val="231F20"/>
        </w:rPr>
        <w:t>ETCO</w:t>
      </w:r>
      <w:r>
        <w:rPr>
          <w:rFonts w:ascii="Arial" w:cs="Arial" w:eastAsia="Arial" w:hAnsi="Arial"/>
          <w:sz w:val="18"/>
          <w:szCs w:val="18"/>
          <w:color w:val="231F20"/>
        </w:rPr>
        <w:t xml:space="preserve"> H</w:t>
      </w:r>
      <w:r>
        <w:rPr>
          <w:rFonts w:ascii="Arial" w:cs="Arial" w:eastAsia="Arial" w:hAnsi="Arial"/>
          <w:sz w:val="13"/>
          <w:szCs w:val="13"/>
          <w:color w:val="231F20"/>
        </w:rPr>
        <w:t>EALTH AND</w:t>
      </w:r>
      <w:r>
        <w:rPr>
          <w:rFonts w:ascii="Arial" w:cs="Arial" w:eastAsia="Arial" w:hAnsi="Arial"/>
          <w:sz w:val="18"/>
          <w:szCs w:val="18"/>
          <w:color w:val="231F20"/>
        </w:rPr>
        <w:t xml:space="preserve"> W</w:t>
      </w:r>
      <w:r>
        <w:rPr>
          <w:rFonts w:ascii="Arial" w:cs="Arial" w:eastAsia="Arial" w:hAnsi="Arial"/>
          <w:sz w:val="13"/>
          <w:szCs w:val="13"/>
          <w:color w:val="231F20"/>
        </w:rPr>
        <w:t>ELLNESS</w:t>
      </w:r>
      <w:r>
        <w:rPr>
          <w:rFonts w:ascii="Arial" w:cs="Arial" w:eastAsia="Arial" w:hAnsi="Arial"/>
          <w:sz w:val="18"/>
          <w:szCs w:val="18"/>
          <w:color w:val="231F20"/>
        </w:rPr>
        <w:t xml:space="preserve"> C</w:t>
      </w:r>
      <w:r>
        <w:rPr>
          <w:rFonts w:ascii="Arial" w:cs="Arial" w:eastAsia="Arial" w:hAnsi="Arial"/>
          <w:sz w:val="13"/>
          <w:szCs w:val="13"/>
          <w:color w:val="231F20"/>
        </w:rPr>
        <w:t>OMPANY</w:t>
      </w:r>
      <w:r>
        <w:rPr>
          <w:rFonts w:ascii="Arial" w:cs="Arial" w:eastAsia="Arial" w:hAnsi="Arial"/>
          <w:sz w:val="18"/>
          <w:szCs w:val="18"/>
          <w:color w:val="231F20"/>
        </w:rPr>
        <w:t>, I</w:t>
      </w:r>
      <w:r>
        <w:rPr>
          <w:rFonts w:ascii="Arial" w:cs="Arial" w:eastAsia="Arial" w:hAnsi="Arial"/>
          <w:sz w:val="13"/>
          <w:szCs w:val="13"/>
          <w:color w:val="231F20"/>
        </w:rPr>
        <w:t>NC</w:t>
      </w:r>
      <w:r>
        <w:rPr>
          <w:rFonts w:ascii="Arial" w:cs="Arial" w:eastAsia="Arial" w:hAnsi="Arial"/>
          <w:sz w:val="18"/>
          <w:szCs w:val="18"/>
          <w:color w:val="231F20"/>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2021 E</w:t>
      </w:r>
      <w:r>
        <w:rPr>
          <w:rFonts w:ascii="Arial" w:cs="Arial" w:eastAsia="Arial" w:hAnsi="Arial"/>
          <w:sz w:val="13"/>
          <w:szCs w:val="13"/>
          <w:color w:val="231F20"/>
        </w:rPr>
        <w:t>QUITY</w:t>
      </w:r>
      <w:r>
        <w:rPr>
          <w:rFonts w:ascii="Arial" w:cs="Arial" w:eastAsia="Arial" w:hAnsi="Arial"/>
          <w:sz w:val="18"/>
          <w:szCs w:val="18"/>
          <w:color w:val="231F20"/>
        </w:rPr>
        <w:t xml:space="preserve"> I</w:t>
      </w:r>
      <w:r>
        <w:rPr>
          <w:rFonts w:ascii="Arial" w:cs="Arial" w:eastAsia="Arial" w:hAnsi="Arial"/>
          <w:sz w:val="13"/>
          <w:szCs w:val="13"/>
          <w:color w:val="231F20"/>
        </w:rPr>
        <w:t>NCENTIVE</w:t>
      </w:r>
      <w:r>
        <w:rPr>
          <w:rFonts w:ascii="Arial" w:cs="Arial" w:eastAsia="Arial" w:hAnsi="Arial"/>
          <w:sz w:val="18"/>
          <w:szCs w:val="18"/>
          <w:color w:val="231F20"/>
        </w:rPr>
        <w:t xml:space="preserve"> P</w:t>
      </w:r>
      <w:r>
        <w:rPr>
          <w:rFonts w:ascii="Arial" w:cs="Arial" w:eastAsia="Arial" w:hAnsi="Arial"/>
          <w:sz w:val="13"/>
          <w:szCs w:val="13"/>
          <w:color w:val="231F20"/>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2026-07-01T15:06:52Z</dcterms:created>
  <dcterms:modified xsi:type="dcterms:W3CDTF">2026-07-01T15:06:52Z</dcterms:modified>
</cp:coreProperties>
</file>