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woof_-_form_sd_2025.htm"/>
      <w:bookmarkStart w:id="1" w:name="kswoof__form_sd_2025"/>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SD</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SPECIALIZED DISCLOSURE REPORT</w:t>
      </w:r>
    </w:p>
    <w:p>
      <w:pPr>
        <w:pStyle w:val="TextBody"/>
        <w:bidi w:val="0"/>
        <w:jc w:val="center"/>
        <w:rPr>
          <w:rFonts w:ascii="Times New Roman" w:hAnsi="Times New Roman"/>
          <w:b/>
          <w:color w:val="000000"/>
          <w:sz w:val="48"/>
        </w:rPr>
      </w:pPr>
      <w:r>
        <w:rPr>
          <w:rFonts w:ascii="Times New Roman" w:hAnsi="Times New Roman"/>
          <w:b/>
          <w:color w:val="000000"/>
          <w:sz w:val="48"/>
        </w:rPr>
        <w:t>Petco Health and Wellness Company, Inc.</w:t>
      </w:r>
    </w:p>
    <w:p>
      <w:pPr>
        <w:pStyle w:val="TextBody"/>
        <w:bidi w:val="0"/>
        <w:jc w:val="center"/>
        <w:rPr>
          <w:rFonts w:ascii="Times New Roman" w:hAnsi="Times New Roman"/>
          <w:color w:val="000000"/>
          <w:sz w:val="15"/>
        </w:rPr>
      </w:pPr>
      <w:r>
        <w:rPr>
          <w:rFonts w:ascii="Times New Roman" w:hAnsi="Times New Roman"/>
          <w:color w:val="000000"/>
          <w:sz w:val="15"/>
        </w:rPr>
        <w:t>(Exact Name of the Registrant as Specified in Its Charter)</w:t>
      </w:r>
    </w:p>
    <w:tbl>
      <w:tblPr>
        <w:tblW w:w="6631" w:type="dxa"/>
        <w:jc w:val="left"/>
        <w:tblInd w:w="0" w:type="dxa"/>
        <w:tblLayout w:type="fixed"/>
        <w:tblCellMar>
          <w:top w:w="28" w:type="dxa"/>
          <w:left w:w="28" w:type="dxa"/>
          <w:bottom w:w="28" w:type="dxa"/>
          <w:right w:w="28" w:type="dxa"/>
        </w:tblCellMar>
      </w:tblPr>
      <w:tblGrid>
        <w:gridCol w:w="918"/>
        <w:gridCol w:w="805"/>
        <w:gridCol w:w="811"/>
        <w:gridCol w:w="1786"/>
        <w:gridCol w:w="2311"/>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001-39878</w:t>
            </w:r>
          </w:p>
        </w:tc>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81-1005932</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(State or Other Jurisdiction</w:t>
              <w:br/>
              <w:t>of Incorporation or Organization)</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(Commission File Number)</w:t>
            </w:r>
          </w:p>
        </w:tc>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(I.R.S Employer 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10850 Via Frontera</w:t>
            </w:r>
          </w:p>
        </w:tc>
        <w:tc>
          <w:tcPr>
            <w:tcW w:w="40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92127</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(Address of Principal Executive Offices)</w:t>
            </w:r>
          </w:p>
        </w:tc>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(Zip Code)</w:t>
            </w:r>
          </w:p>
        </w:tc>
      </w:tr>
    </w:tbl>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Giovanni Insana</w:t>
            </w:r>
          </w:p>
          <w:p>
            <w:pPr>
              <w:pStyle w:val="TableContents"/>
              <w:bidi w:val="0"/>
              <w:jc w:val="center"/>
              <w:rPr>
                <w:rFonts w:ascii="Times New Roman" w:hAnsi="Times New Roman"/>
                <w:b/>
                <w:color w:val="000000"/>
                <w:sz w:val="20"/>
              </w:rPr>
            </w:pPr>
            <w:r>
              <w:rPr>
                <w:rFonts w:ascii="Times New Roman" w:hAnsi="Times New Roman"/>
                <w:b/>
                <w:color w:val="000000"/>
                <w:sz w:val="20"/>
              </w:rPr>
              <w:t>Chief Legal Officer and Secretary</w:t>
            </w:r>
          </w:p>
          <w:p>
            <w:pPr>
              <w:pStyle w:val="TableContents"/>
              <w:bidi w:val="0"/>
              <w:spacing w:before="0" w:after="283"/>
              <w:jc w:val="center"/>
              <w:rPr>
                <w:rFonts w:ascii="Times New Roman" w:hAnsi="Times New Roman"/>
                <w:sz w:val="20"/>
              </w:rPr>
            </w:pP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453-7845</w:t>
            </w:r>
          </w:p>
        </w:tc>
      </w:tr>
    </w:tbl>
    <w:p>
      <w:pPr>
        <w:pStyle w:val="TextBody"/>
        <w:bidi w:val="0"/>
        <w:jc w:val="center"/>
        <w:rPr>
          <w:rFonts w:ascii="Times New Roman" w:hAnsi="Times New Roman"/>
          <w:sz w:val="20"/>
        </w:rPr>
      </w:pPr>
      <w:r>
        <w:rPr>
          <w:rFonts w:ascii="Times New Roman" w:hAnsi="Times New Roman"/>
          <w:color w:val="000000"/>
          <w:sz w:val="15"/>
        </w:rPr>
        <w:t>(Name and telephone number, including area code, of the person to contact in connection with this report)</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to indicate the rule pursuant to which this Form is being submitted, and provide the period to which the information in this Form applies: </w:t>
      </w:r>
    </w:p>
    <w:p>
      <w:pPr>
        <w:pStyle w:val="TextBody"/>
        <w:bidi w:val="0"/>
        <w:jc w:val="left"/>
        <w:rPr/>
      </w:pPr>
      <w:r>
        <w:rPr/>
        <w:t> </w:t>
      </w:r>
    </w:p>
    <w:p>
      <w:pPr>
        <w:pStyle w:val="TextBody"/>
        <w:bidi w:val="0"/>
        <w:spacing w:before="120" w:after="283"/>
        <w:jc w:val="left"/>
        <w:rPr>
          <w:color w:val="000000"/>
        </w:rPr>
      </w:pPr>
      <w:r>
        <w:rPr>
          <w:color w:val="000000"/>
        </w:rPr>
        <w:t xml:space="preserve">☒ </w:t>
      </w:r>
      <w:r>
        <w:rPr>
          <w:rFonts w:ascii="Times New Roman" w:hAnsi="Times New Roman"/>
          <w:color w:val="000000"/>
          <w:sz w:val="20"/>
        </w:rPr>
        <w:t>Rule 13p-1 under the Securities Exchange Act (17 CFR 240.13p-1) for the reporting period from January 1 to December 31, 2025.</w:t>
      </w:r>
    </w:p>
    <w:p>
      <w:pPr>
        <w:pStyle w:val="TextBody"/>
        <w:bidi w:val="0"/>
        <w:jc w:val="left"/>
        <w:rPr/>
      </w:pPr>
      <w:r>
        <w:rPr>
          <w:color w:val="000000"/>
        </w:rPr>
        <w:t xml:space="preserve">☐ </w:t>
      </w:r>
      <w:r>
        <w:rPr>
          <w:rFonts w:ascii="Times New Roman" w:hAnsi="Times New Roman"/>
          <w:color w:val="000000"/>
          <w:sz w:val="20"/>
        </w:rPr>
        <w:t>Rule 13q-1 under the Securities Exchange Act (17 CFR 240.13q-1) for the fiscal year ended _____.</w:t>
      </w:r>
    </w:p>
    <w:p>
      <w:pPr>
        <w:pStyle w:val="TextBody"/>
        <w:pBdr>
          <w:bottom w:val="doub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Section 1 - Conflict Minerals Disclosure</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Item 1.01 Conflict Minerals Disclosure and Report</w:t>
      </w:r>
    </w:p>
    <w:p>
      <w:pPr>
        <w:pStyle w:val="TextBody"/>
        <w:bidi w:val="0"/>
        <w:spacing w:before="120" w:after="283"/>
        <w:jc w:val="left"/>
        <w:rPr>
          <w:rFonts w:ascii="Times New Roman" w:hAnsi="Times New Roman"/>
          <w:i/>
          <w:color w:val="000000"/>
          <w:sz w:val="22"/>
        </w:rPr>
      </w:pPr>
      <w:r>
        <w:rPr>
          <w:rFonts w:ascii="Times New Roman" w:hAnsi="Times New Roman"/>
          <w:i/>
          <w:color w:val="000000"/>
          <w:sz w:val="22"/>
        </w:rPr>
        <w:t>Introduction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Form SD (this “Report”) is filed pursuant to Rule 13p-1 under the Securities Exchange Act of 1934, as amended, for the reporting period January 1, 2025 to December 31, 2025 (the “Reporting Period”).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Petco Health and Wellness Company, Inc. (“Petco”, the “Company”, or “we”) is a pet specialty retailer focused on improving the lives of pets, pet parents, and our own Petco partners. Building on more than 60 years of service to pets and the people who love and care for them, we serve our customers as a fully-integrated, omnichannel provider of pet products, services, and solutions. Our ecosystem provides our customers with a comprehensive offering of products and services to fulfill all their pets’ needs through our approximately 1,400 pet care centers across the United States, our digital channel, and our flexible fulfillment options. Additionally, we operate approximately 150 pet care centers in Mexico and 2 in Chile through a joint venture.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We contract with third-parties to manufacture our products. As part of the Company’s compliance with the rules of the U.S. Securities and Exchange Commission (the “SEC”) concerning conflict minerals, we therefore evaluated the products that we contract to manufacture to determine whether any such products contain conflict minerals that are necessary to the functionality or production of those products. The SEC defines the term “conflict mineral” to mean columbite-tantalite (coltan), cassiterite, gold, wolframite, or their derivatives, which are limited to tantalum, tin, and tungsten. In connection with such evaluation, we determined that the Company manufactured or contracted to manufacture certain products, such as toys, grooming tools, and aquarium supplies, during the Reporting Period that included components containing conflict minerals that are necessary to the functionality or production of those products (the “Covered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Reasonable Country of Origin Inquiry (</w:t>
      </w:r>
      <w:r>
        <w:rPr>
          <w:rFonts w:ascii="Times New Roman" w:hAnsi="Times New Roman"/>
          <w:color w:val="000000"/>
          <w:sz w:val="20"/>
        </w:rPr>
        <w:t>“</w:t>
      </w:r>
      <w:r>
        <w:rPr>
          <w:rFonts w:ascii="Times New Roman" w:hAnsi="Times New Roman"/>
          <w:i/>
          <w:color w:val="000000"/>
          <w:sz w:val="22"/>
        </w:rPr>
        <w:t>RCOI</w:t>
      </w:r>
      <w:r>
        <w:rPr>
          <w:rFonts w:ascii="Times New Roman" w:hAnsi="Times New Roman"/>
          <w:color w:val="000000"/>
          <w:sz w:val="20"/>
        </w:rPr>
        <w:t>”</w:t>
      </w:r>
      <w:r>
        <w:rPr>
          <w:rFonts w:ascii="Times New Roman" w:hAnsi="Times New Roman"/>
          <w:i/>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Following our initial determination that the Covered Products contain conflict minerals, we conducted a good faith RCOI reasonably designed to determine whether such conflict minerals may have originated in the Democratic Republic of Congo or an adjoining country (the “Covered Countries”). As part of this process, we obtained Conflict Minerals Reporting Templates (“CMRTs”) developed by the Responsible Minerals Initiative</w:t>
      </w:r>
      <w:r>
        <w:rPr>
          <w:rFonts w:ascii="Times New Roman" w:hAnsi="Times New Roman"/>
          <w:color w:val="000000"/>
          <w:sz w:val="20"/>
        </w:rPr>
        <w:t xml:space="preserve"> </w:t>
      </w:r>
      <w:r>
        <w:rPr>
          <w:rFonts w:ascii="Times New Roman" w:hAnsi="Times New Roman"/>
          <w:color w:val="000000"/>
          <w:sz w:val="22"/>
        </w:rPr>
        <w:t>from suppliers who supplied the Covered Products or components of the Covered Products to us during the Reporting Period that contained one or more conflict minerals.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CMRTs were reviewed for completeness and consistency, and, to the extent possible, we determined the specific conflict minerals that were supplied to us by each supplier in order to analyze each supplier’s CMRT more precisely. If a supplier did not provide a CMRT, we contacted such supplier for information about its conflict minerals policy and sourcing and reviewed such supplier’s conflict minerals disclosure on its public website, to the extent made available. After reviewing the CMRTs and other information provided or otherwise made available to us, we requested additional supplier information and followed up with suppliers as necessary.</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Determination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As a downstream purchaser of the Covered Products, we do not purchase any conflict minerals directly from mines, smelters, or refiners. We rely on our suppliers to gather information on the source of any conflict minerals used in our supply chain. Our suppliers provided us with information at a product-specific level which means that our suppliers reported on supply chain information for products produced for Petco.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Based on the results of our RCOI, the Company has concluded in good faith that (i) the conflict minerals necessary to the functionality or production of the Covered Products did not originate in any of the Covered Countries based on the responses of our suppliers or (ii) it does not have sufficient information to determine whether the conflict minerals necessary to the functionality or production of the Covered Products originated in any of the Covered Countries or came from recycled or scrap sources.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i/>
          <w:color w:val="000000"/>
          <w:sz w:val="22"/>
        </w:rPr>
      </w:pPr>
      <w:r>
        <w:rPr>
          <w:rFonts w:ascii="Times New Roman" w:hAnsi="Times New Roman"/>
          <w:i/>
          <w:color w:val="000000"/>
          <w:sz w:val="22"/>
        </w:rPr>
        <w:t>Additional Information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 copy of this Report is publicly available on the Company’s website at ir.petco.com. The Company’s website is provided for general information only and its contents are not incorporated by reference into this Form SD nor deemed to be filed with the SEC.</w:t>
      </w:r>
    </w:p>
    <w:p>
      <w:pPr>
        <w:pStyle w:val="TextBody"/>
        <w:bidi w:val="0"/>
        <w:jc w:val="left"/>
        <w:rPr/>
      </w:pPr>
      <w:r>
        <w:rPr/>
        <w:t> </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Section 2 - Resource Extraction Issuer Disclosure</w:t>
      </w:r>
    </w:p>
    <w:p>
      <w:pPr>
        <w:pStyle w:val="TextBody"/>
        <w:bidi w:val="0"/>
        <w:jc w:val="left"/>
        <w:rPr>
          <w:rFonts w:ascii="Times New Roman" w:hAnsi="Times New Roman"/>
          <w:b/>
          <w:color w:val="000000"/>
          <w:sz w:val="22"/>
        </w:rPr>
      </w:pPr>
      <w:r>
        <w:rPr>
          <w:rFonts w:ascii="Times New Roman" w:hAnsi="Times New Roman"/>
          <w:b/>
          <w:color w:val="000000"/>
          <w:sz w:val="22"/>
        </w:rPr>
        <w:t>Item 2.01. Resource Extraction Issuer Disclosure and Report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Not applicable.</w:t>
      </w:r>
    </w:p>
    <w:p>
      <w:pPr>
        <w:pStyle w:val="TextBody"/>
        <w:bidi w:val="0"/>
        <w:jc w:val="left"/>
        <w:rPr/>
      </w:pPr>
      <w:r>
        <w:rPr/>
        <w:t> </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Section 3 - Exhibits</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Item 3.01 Exhibits</w:t>
      </w:r>
    </w:p>
    <w:p>
      <w:pPr>
        <w:pStyle w:val="TextBody"/>
        <w:bidi w:val="0"/>
        <w:jc w:val="left"/>
        <w:rPr>
          <w:rFonts w:ascii="Times New Roman" w:hAnsi="Times New Roman"/>
          <w:color w:val="000000"/>
          <w:sz w:val="22"/>
        </w:rPr>
      </w:pPr>
      <w:r>
        <w:rPr>
          <w:rFonts w:ascii="Times New Roman" w:hAnsi="Times New Roman"/>
          <w:color w:val="000000"/>
          <w:sz w:val="22"/>
        </w:rPr>
        <w:t>Not applicable.</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0" w:after="187"/>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duly authorized undersigned.</w:t>
      </w:r>
    </w:p>
    <w:tbl>
      <w:tblPr>
        <w:tblW w:w="7009" w:type="dxa"/>
        <w:jc w:val="left"/>
        <w:tblInd w:w="0" w:type="dxa"/>
        <w:tblLayout w:type="fixed"/>
        <w:tblCellMar>
          <w:top w:w="28" w:type="dxa"/>
          <w:left w:w="28" w:type="dxa"/>
          <w:bottom w:w="28" w:type="dxa"/>
          <w:right w:w="28" w:type="dxa"/>
        </w:tblCellMar>
      </w:tblPr>
      <w:tblGrid>
        <w:gridCol w:w="616"/>
        <w:gridCol w:w="1426"/>
        <w:gridCol w:w="721"/>
        <w:gridCol w:w="4246"/>
      </w:tblGrid>
      <w:tr>
        <w:trPr/>
        <w:tc>
          <w:tcPr>
            <w:tcW w:w="61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2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2"/>
              </w:rPr>
            </w:pPr>
            <w:r>
              <w:rPr>
                <w:rFonts w:ascii="Times New Roman" w:hAnsi="Times New Roman"/>
                <w:b/>
                <w:color w:val="000000"/>
                <w:sz w:val="22"/>
              </w:rPr>
              <w:t>Petco Health and Wellness Company, Inc.</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4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Date:</w:t>
            </w:r>
          </w:p>
        </w:tc>
        <w:tc>
          <w:tcPr>
            <w:tcW w:w="14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May 13, 2026</w:t>
            </w:r>
          </w:p>
        </w:tc>
        <w:tc>
          <w:tcPr>
            <w:tcW w:w="7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 xml:space="preserve">By: </w:t>
            </w:r>
          </w:p>
        </w:tc>
        <w:tc>
          <w:tcPr>
            <w:tcW w:w="42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/s/ Giovanni Insana</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424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2"/>
              </w:rPr>
            </w:pPr>
            <w:r>
              <w:rPr>
                <w:rFonts w:ascii="Times New Roman" w:hAnsi="Times New Roman"/>
                <w:color w:val="000000"/>
                <w:sz w:val="22"/>
              </w:rPr>
              <w:t>Giovanni Insana</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424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2"/>
              </w:rPr>
            </w:pPr>
            <w:r>
              <w:rPr>
                <w:rFonts w:ascii="Times New Roman" w:hAnsi="Times New Roman"/>
                <w:color w:val="000000"/>
                <w:sz w:val="22"/>
              </w:rPr>
              <w:t>Chief Legal Officer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920</Words>
  <Characters>5144</Characters>
  <CharactersWithSpaces>6044</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